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分析说明与数据口径</w:t>
      </w:r>
    </w:p>
    <w:p>
      <w:pPr>
        <w:pStyle w:val="Subtitle"/>
      </w:pPr>
      <w:r>
        <w:t>基于UCI SECOM的ARIMA质量预测｜孙德鑫</w:t>
      </w:r>
    </w:p>
    <w:p>
      <w:pPr>
        <w:pStyle w:val="Heading1"/>
      </w:pPr>
      <w:r>
        <w:t>1 研究问题与主要结果</w:t>
      </w:r>
    </w:p>
    <w:p>
      <w:r>
        <w:t>前面各组的检测不合格率，能否帮助预测下一组20条记录的不合格率？前62组选择的模型为ARIMA(0,1,1)。后16组滚动检验的MAE为5.472个百分点，比历史累计平均的6.079低约9.97%；RMSE为7.491，高于历史平均的7.219。结论是本次平均绝对误差较低，但较大预测误差未改善。</w:t>
      </w:r>
    </w:p>
    <w:p>
      <w:pPr>
        <w:pStyle w:val="Heading1"/>
      </w:pPr>
      <w:r>
        <w:t>2 数据来源与样本</w:t>
      </w:r>
    </w:p>
    <w:p>
      <w:r>
        <w:t>UCI Machine Learning Repository，SECOM，McCann与Johnston（2008），DOI:10.24432/C54305，CC BY 4.0。来源：https://archive.ics.uci.edu/dataset/179/secom。原始标签文件secom_labels.data；−1为通过，1为失败。共1567条，其中104条失败，样本不合格率6.6369%。检测时间为2008-07-19 11:55:00至2008-10-17 06:07:00；86个日期有记录，每日1—62条。</w:t>
      </w:r>
    </w:p>
    <w:p>
      <w:pPr>
        <w:pStyle w:val="Heading1"/>
      </w:pPr>
      <w:r>
        <w:t>3 分组与时间口径</w:t>
      </w:r>
    </w:p>
    <w:p>
      <w:r>
        <w:t>按时间稳定排序，同时间按原始文件行序排列。连续20条一个组，共78组、1560条，包含104条失败；尾部7条均通过，只计入总体描述。前62组含1240条、85条失败，后16组含320条、19条失败。29个组没有失败。分析组是人为划分的等记录数组，不是已知的生产批次；横轴不是固定日历时间。公开数据未给出完整抽样设计，样本比例不直接等于整条生产线的总体质量水平。</w:t>
      </w:r>
    </w:p>
    <w:p>
      <w:r>
        <w:br w:type="page"/>
      </w:r>
    </w:p>
    <w:p>
      <w:pPr>
        <w:pStyle w:val="Heading1"/>
      </w:pPr>
      <w:r>
        <w:t>4 模型、变换与检验</w:t>
      </w:r>
    </w:p>
    <w:p>
      <w:r>
        <w:t>每组失败数为x，样本量为20。使用连续性修正：z = log((x + 0.5) / (20 − x + 0.5))。此变换使零失败组也能建模。</w:t>
      </w:r>
    </w:p>
    <w:p>
      <w:r>
        <w:t>在前62组比较18个候选：p、q取0、1、2，d取0或1。d=0带常数，d=1不带漂移，启用平稳性及可逆性约束。仅收敛且AICc有限的候选参与选择。AICc = AIC + 2k(k+1)/(n−d−k−1)，k包含方差参数。</w:t>
      </w:r>
    </w:p>
    <w:p>
      <w:r>
        <w:t>最优ARIMA(0,1,1)的AICc为150.393，第二名ARIMA(1,1,1)为150.454，差值很小，不能据此宣称唯一正确模型。</w:t>
      </w:r>
    </w:p>
    <w:p>
      <w:r>
        <w:t>后16组进行向前一步滚动预测。固定阶数，每一步以当时已有的全部历史重新估计参数。例如预测第63组时仅用1—62组；获得63组实际值后再预测64组。</w:t>
      </w:r>
    </w:p>
    <w:p>
      <w:r>
        <w:t>逆变换：clip((21 × expit(z) − 0.5)/20, 0, 1)。点预测是变换尺度预测均值的单调逆变换，可解释为模型中位数预测，不是积分校正后的原比例尺度均值。数据文件中的上下限是95%模型区间的逆变换，不是精确二项区间。</w:t>
      </w:r>
    </w:p>
    <w:p>
      <w:r>
        <w:t>两个对照为当时全部历史组的原始比例均值与最近5组均值。没有使用未来记录。全样本6.64%仅作描述，不是滚动预测对照值。</w:t>
      </w:r>
    </w:p>
    <w:p>
      <w:pPr>
        <w:pStyle w:val="Heading1"/>
      </w:pPr>
      <w:r>
        <w:t>5 误差指标与结果</w:t>
      </w:r>
    </w:p>
    <w:p>
      <w:r>
        <w:t>MAE是绝对误差的平均；RMSE是平方误差均值的平方根，对较大误差更敏感。比例差乘100后以百分点表示。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方法</w:t>
            </w:r>
          </w:p>
        </w:tc>
        <w:tc>
          <w:tcPr>
            <w:tcW w:type="dxa" w:w="3264"/>
          </w:tcPr>
          <w:p>
            <w:r>
              <w:t>MAE（百分点）</w:t>
            </w:r>
          </w:p>
        </w:tc>
        <w:tc>
          <w:tcPr>
            <w:tcW w:type="dxa" w:w="3264"/>
          </w:tcPr>
          <w:p>
            <w:r>
              <w:t>RMSE（百分点）</w:t>
            </w:r>
          </w:p>
        </w:tc>
      </w:tr>
      <w:tr>
        <w:tc>
          <w:tcPr>
            <w:tcW w:type="dxa" w:w="3264"/>
          </w:tcPr>
          <w:p>
            <w:r>
              <w:t>ARIMA(0,1,1)</w:t>
            </w:r>
          </w:p>
        </w:tc>
        <w:tc>
          <w:tcPr>
            <w:tcW w:type="dxa" w:w="3264"/>
          </w:tcPr>
          <w:p>
            <w:r>
              <w:t>5.472</w:t>
            </w:r>
          </w:p>
        </w:tc>
        <w:tc>
          <w:tcPr>
            <w:tcW w:type="dxa" w:w="3264"/>
          </w:tcPr>
          <w:p>
            <w:r>
              <w:t>7.491</w:t>
            </w:r>
          </w:p>
        </w:tc>
      </w:tr>
      <w:tr>
        <w:tc>
          <w:tcPr>
            <w:tcW w:type="dxa" w:w="3264"/>
          </w:tcPr>
          <w:p>
            <w:r>
              <w:t>历史累计平均</w:t>
            </w:r>
          </w:p>
        </w:tc>
        <w:tc>
          <w:tcPr>
            <w:tcW w:type="dxa" w:w="3264"/>
          </w:tcPr>
          <w:p>
            <w:r>
              <w:t>6.079</w:t>
            </w:r>
          </w:p>
        </w:tc>
        <w:tc>
          <w:tcPr>
            <w:tcW w:type="dxa" w:w="3264"/>
          </w:tcPr>
          <w:p>
            <w:r>
              <w:t>7.219</w:t>
            </w:r>
          </w:p>
        </w:tc>
      </w:tr>
      <w:tr>
        <w:tc>
          <w:tcPr>
            <w:tcW w:type="dxa" w:w="3264"/>
          </w:tcPr>
          <w:p>
            <w:r>
              <w:t>前5组平均</w:t>
            </w:r>
          </w:p>
        </w:tc>
        <w:tc>
          <w:tcPr>
            <w:tcW w:type="dxa" w:w="3264"/>
          </w:tcPr>
          <w:p>
            <w:r>
              <w:t>5.938</w:t>
            </w:r>
          </w:p>
        </w:tc>
        <w:tc>
          <w:tcPr>
            <w:tcW w:type="dxa" w:w="3264"/>
          </w:tcPr>
          <w:p>
            <w:r>
              <w:t>7.344</w:t>
            </w:r>
          </w:p>
        </w:tc>
      </w:tr>
    </w:tbl>
    <w:p>
      <w:r>
        <w:t>第67组实际25%，ARIMA预测3.612%，绝对误差21.388个百分点。相对MAE改善以未舍入值计算：(6.0785304−5.4723113)/6.0785304≈9.9731%。</w:t>
      </w:r>
    </w:p>
    <w:p>
      <w:r>
        <w:br w:type="page"/>
      </w:r>
    </w:p>
    <w:p>
      <w:pPr>
        <w:pStyle w:val="Heading1"/>
      </w:pPr>
      <w:r>
        <w:t>6 诊断、内部检查与解释范围</w:t>
      </w:r>
    </w:p>
    <w:p>
      <w:r>
        <w:t>训练序列变换后ADF p=0.310249；训练模型残差Ljung–Box检验p值：滞后5为0.182357，滞后10为0.661982。未发现该诊断下的显著残差自相关，不等于证明模型完全正确。</w:t>
      </w:r>
    </w:p>
    <w:p>
      <w:r>
        <w:t>训练期另用前42组选模、后20组滚动检查，仍选中ARIMA(0,1,1)。MAE：ARIMA 3.862、历史平均5.651、前5组平均4.000个百分点。该检查没有改变主分析62/16的划分，也未根据最终测试结果调参。</w:t>
      </w:r>
    </w:p>
    <w:p>
      <w:r>
        <w:t>16次预测仅支持这次样本的描述性比较，没有做统计显著性或长期稳定收益判断。没有估计工艺变量影响，也没有识别失败的因果机制。检验强度、停线或放行决策需结合抽样规则、过程信息及错误成本。</w:t>
      </w:r>
    </w:p>
    <w:p>
      <w:pPr>
        <w:pStyle w:val="Heading1"/>
      </w:pPr>
      <w:r>
        <w:t>7 三维模型与素材说明</w:t>
      </w:r>
    </w:p>
    <w:p>
      <w:r>
        <w:t>网页的20个芯片对象逐一对应真实记录，颜色及×标记对应检测标签。形状、尺寸、位置为教学示意；数据没有晶圆空间位置。三维场景用于解释记录如何汇总成不合格率，不是缺陷定位模型或工厂数字孪生。背景为AI生成概念插图。Three.js按MIT许可使用，许可文件附于网页。</w:t>
      </w:r>
    </w:p>
    <w:p>
      <w:pPr>
        <w:pStyle w:val="Heading1"/>
      </w:pPr>
      <w:r>
        <w:t>8 复现与文件清单</w:t>
      </w:r>
    </w:p>
    <w:p>
      <w:r>
        <w:t>分析数据目录包含原始标签、全部检测记录、78组统计、16组预测、候选模型比较、训练期内部检验、analysis.json、复现分析.py及requirements.txt。按requirements.txt安装依赖，运行复现分析.py可重新计算。网页读取预先计算好的结果。</w:t>
      </w:r>
    </w:p>
    <w:p>
      <w:r>
        <w:t>软件版本：Python 3.12.14；numpy 2.5.4；pandas 3.1.0；scipy 1.18.1；statsmodels 0.15.0。</w:t>
      </w:r>
    </w:p>
    <w:p>
      <w:r>
        <w:t>原始标签文件SHA-256：</w:t>
      </w:r>
    </w:p>
    <w:p>
      <w:r>
        <w:t>126884cf453705c9e61a903fe906f0665</w:t>
        <w:br/>
        <w:t>a3b45ce3639e621edc5c93c89627e03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孙德鑫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