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rFonts w:ascii="Calibri" w:hAnsi="Calibri"/>
          <w:b/>
          <w:color w:val="2E74B5"/>
          <w:sz w:val="20"/>
        </w:rPr>
        <w:t>WORKSHOP AGENDA</w:t>
      </w:r>
    </w:p>
    <w:p>
      <w:pPr>
        <w:spacing w:before="0" w:after="160"/>
      </w:pPr>
      <w:r>
        <w:rPr>
          <w:rFonts w:ascii="Calibri" w:hAnsi="Calibri"/>
          <w:b/>
          <w:color w:val="0B2545"/>
          <w:sz w:val="58"/>
        </w:rPr>
        <w:t>NCShare Crash Course</w:t>
      </w:r>
    </w:p>
    <w:p>
      <w:pPr>
        <w:spacing w:before="0" w:after="320"/>
      </w:pPr>
      <w:r>
        <w:rPr>
          <w:rFonts w:ascii="Calibri" w:hAnsi="Calibri"/>
          <w:color w:val="5D6772"/>
          <w:sz w:val="26"/>
        </w:rPr>
        <w:t>From cluster access to one reproducible CPU, GPU, and Jupyter environment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D4DDE7"/>
          <w:left w:val="single" w:sz="4" w:space="0" w:color="D4DDE7"/>
          <w:bottom w:val="single" w:sz="4" w:space="0" w:color="D4DDE7"/>
          <w:right w:val="single" w:sz="4" w:space="0" w:color="D4DDE7"/>
          <w:insideH w:val="single" w:sz="4" w:space="0" w:color="D4DDE7"/>
          <w:insideV w:val="single" w:sz="4" w:space="0" w:color="D4DDE7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  <w:cantSplit w:val="true"/>
        </w:trPr>
        <w:tc>
          <w:tcPr>
            <w:tcW w:type="dxa" w:w="2340"/>
            <w:shd w:fill="E8EEF5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2E74B5"/>
                <w:sz w:val="17"/>
              </w:rPr>
              <w:t>DATE</w:t>
              <w:br/>
            </w:r>
            <w:r>
              <w:rPr>
                <w:rFonts w:ascii="Calibri" w:hAnsi="Calibri"/>
                <w:b/>
                <w:color w:val="0B2545"/>
                <w:sz w:val="21"/>
              </w:rPr>
              <w:t>August 19</w:t>
            </w:r>
          </w:p>
        </w:tc>
        <w:tc>
          <w:tcPr>
            <w:tcW w:type="dxa" w:w="2340"/>
            <w:shd w:fill="E8EEF5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2E74B5"/>
                <w:sz w:val="17"/>
              </w:rPr>
              <w:t>FORMAT</w:t>
              <w:br/>
            </w:r>
            <w:r>
              <w:rPr>
                <w:rFonts w:ascii="Calibri" w:hAnsi="Calibri"/>
                <w:b/>
                <w:color w:val="0B2545"/>
                <w:sz w:val="21"/>
              </w:rPr>
              <w:t>In person</w:t>
            </w:r>
          </w:p>
        </w:tc>
        <w:tc>
          <w:tcPr>
            <w:tcW w:type="dxa" w:w="2340"/>
            <w:shd w:fill="E8EEF5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2E74B5"/>
                <w:sz w:val="17"/>
              </w:rPr>
              <w:t>HOURS</w:t>
              <w:br/>
            </w:r>
            <w:r>
              <w:rPr>
                <w:rFonts w:ascii="Calibri" w:hAnsi="Calibri"/>
                <w:b/>
                <w:color w:val="0B2545"/>
                <w:sz w:val="21"/>
              </w:rPr>
              <w:t>9:00-5:00</w:t>
            </w:r>
          </w:p>
        </w:tc>
        <w:tc>
          <w:tcPr>
            <w:tcW w:type="dxa" w:w="2340"/>
            <w:shd w:fill="E8EEF5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2E74B5"/>
                <w:sz w:val="17"/>
              </w:rPr>
              <w:t>AUDIENCE</w:t>
              <w:br/>
            </w:r>
            <w:r>
              <w:rPr>
                <w:rFonts w:ascii="Calibri" w:hAnsi="Calibri"/>
                <w:b/>
                <w:color w:val="0B2545"/>
                <w:sz w:val="21"/>
              </w:rPr>
              <w:t>New HPC users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Purpose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Move participants from “I have access” to “I can inspect a reproducible environment, choose resources, submit a job, and continue my analysis.” The day uses official NCShare guides and examples throughout.</w:t>
      </w:r>
    </w:p>
    <w:p>
      <w:pPr>
        <w:spacing w:after="120"/>
      </w:pPr>
      <w:hyperlink r:id="rId11">
        <w:r>
          <w:rPr>
            <w:color w:val="2E74B5"/>
            <w:u w:val="single"/>
          </w:rPr>
          <w:t>NCShare user guides</w:t>
        </w:r>
      </w:hyperlink>
      <w:r>
        <w:t xml:space="preserve">  •  </w:t>
      </w:r>
      <w:hyperlink r:id="rId12">
        <w:r>
          <w:rPr>
            <w:color w:val="2E74B5"/>
            <w:u w:val="single"/>
          </w:rPr>
          <w:t>NCShare examples</w:t>
        </w:r>
      </w:hyperlink>
    </w:p>
    <w:p>
      <w:pPr>
        <w:spacing w:before="120" w:after="160" w:line="288" w:lineRule="auto"/>
        <w:ind w:left="173" w:right="173"/>
        <w:shd w:fill="F4F6F9"/>
        <w:pBdr>
          <w:left w:val="single" w:sz="18" w:space="6" w:color="2E74B5"/>
        </w:pBdr>
      </w:pPr>
      <w:r>
        <w:rPr>
          <w:rFonts w:ascii="Calibri" w:hAnsi="Calibri"/>
          <w:b/>
          <w:color w:val="0B2545"/>
          <w:sz w:val="21"/>
        </w:rPr>
        <w:t xml:space="preserve">Before the workshop: </w:t>
      </w:r>
      <w:r>
        <w:rPr>
          <w:rFonts w:ascii="Calibri" w:hAnsi="Calibri"/>
          <w:color w:val="2F3337"/>
          <w:sz w:val="21"/>
        </w:rPr>
        <w:t>Active NCShare account; registered SSH public key; laptop with SSH client; course clone; shared course-SIF path; GPU access requested in advance. Pairing is available for participants still waiting for access.</w:t>
      </w:r>
    </w:p>
    <w:p>
      <w:pPr>
        <w:pStyle w:val="Heading1"/>
        <w:keepNext/>
      </w:pPr>
      <w:r>
        <w:t>Learning outcomes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Distinguish login, compute, CPU, and GPU nodes.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Choose among /hpc/home, /work, and job-local /scratch.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Separate Slurm resources, SIF software, bind-mounted data, and host GPU drivers.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Read an Apptainer definition and identify its build, provenance, and test evidence.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Submit, monitor, diagnose, and cancel Slurm jobs.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Run one-rank, four-rank MPI, and GPU workflows with reasonable resources.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Reuse the SIF to post-process HDF5 and export an accessible scientific figure.</w:t>
      </w:r>
    </w:p>
    <w:p>
      <w:r>
        <w:br w:type="page"/>
      </w:r>
    </w:p>
    <w:p>
      <w:pPr>
        <w:pStyle w:val="Heading1"/>
        <w:keepNext/>
      </w:pPr>
      <w:r>
        <w:t>At a glance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1680"/>
        <w:gridCol w:w="3180"/>
        <w:gridCol w:w="4500"/>
      </w:tblGrid>
      <w:tr>
        <w:trPr>
          <w:tblHeader w:val="true"/>
          <w:cantSplit w:val="true"/>
        </w:trPr>
        <w:tc>
          <w:tcPr>
            <w:tcW w:type="dxa" w:w="1680"/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Time</w:t>
            </w:r>
          </w:p>
        </w:tc>
        <w:tc>
          <w:tcPr>
            <w:tcW w:type="dxa" w:w="3180"/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Session</w:t>
            </w:r>
          </w:p>
        </w:tc>
        <w:tc>
          <w:tcPr>
            <w:tcW w:type="dxa" w:w="4500"/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Participant output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9:00-9:30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Check-in and setup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Verified access and course clone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9:30-9:45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Welcome and goals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Shared runnable outcomes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9:45-10:30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1A: cluster model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Login/storage/container preflight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10:30-10:45</w:t>
            </w:r>
          </w:p>
        </w:tc>
        <w:tc>
          <w:tcPr>
            <w:tcW w:type="dxa" w:w="318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Break</w:t>
            </w:r>
          </w:p>
        </w:tc>
        <w:tc>
          <w:tcPr>
            <w:tcW w:type="dxa" w:w="450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10:45-11:30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1B: guided practice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First interactive allocation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11:30-12:00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2: storage and I/O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Data-lifecycle plan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12:00-1:00</w:t>
            </w:r>
          </w:p>
        </w:tc>
        <w:tc>
          <w:tcPr>
            <w:tcW w:type="dxa" w:w="318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Lunch and discussion</w:t>
            </w:r>
          </w:p>
        </w:tc>
        <w:tc>
          <w:tcPr>
            <w:tcW w:type="dxa" w:w="450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1:00-1:30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3A: Apptainer blueprint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Inspected definition and SIF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1:30-2:15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3B: inoisy+ on CPUs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One-rank/four-rank HDF5 results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2:15-2:30</w:t>
            </w:r>
          </w:p>
        </w:tc>
        <w:tc>
          <w:tcPr>
            <w:tcW w:type="dxa" w:w="318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Break</w:t>
            </w:r>
          </w:p>
        </w:tc>
        <w:tc>
          <w:tcPr>
            <w:tcW w:type="dxa" w:w="450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2:30-3:30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3C: QuantUI on GPU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Verified GPU-offload result plus a measured CPU/GPU crossover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3:30-4:30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4: visualization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Post-processed figure and notebook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4:30-5:00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Wrap-up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Support path and next steps</w:t>
            </w:r>
          </w:p>
        </w:tc>
      </w:tr>
    </w:tbl>
    <w:p>
      <w:pPr>
        <w:pStyle w:val="Heading1"/>
        <w:keepNext/>
      </w:pPr>
      <w:r>
        <w:t>Session 1 • Access, cluster model, and essential tools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9:45-11:30 (with a 10:30-10:45 break). Explain only what participants need to request their first allocation, then practice immediately.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1500"/>
        <w:gridCol w:w="4650"/>
        <w:gridCol w:w="3210"/>
      </w:tblGrid>
      <w:tr>
        <w:trPr>
          <w:tblHeader w:val="true"/>
          <w:cantSplit w:val="true"/>
        </w:trPr>
        <w:tc>
          <w:tcPr>
            <w:tcW w:type="dxa" w:w="1500"/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Time</w:t>
            </w:r>
          </w:p>
        </w:tc>
        <w:tc>
          <w:tcPr>
            <w:tcW w:type="dxa" w:w="4650"/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Teach / do</w:t>
            </w:r>
          </w:p>
        </w:tc>
        <w:tc>
          <w:tcPr>
            <w:tcW w:type="dxa" w:w="3210"/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Concrete output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9:45-9:55</w:t>
            </w:r>
          </w:p>
        </w:tc>
        <w:tc>
          <w:tcPr>
            <w:tcW w:type="dxa" w:w="465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Map laptop → login → Slurm → compute → storage.</w:t>
            </w:r>
          </w:p>
        </w:tc>
        <w:tc>
          <w:tcPr>
            <w:tcW w:type="dxa" w:w="321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Annotated workflow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9:55-10:10</w:t>
            </w:r>
          </w:p>
        </w:tc>
        <w:tc>
          <w:tcPr>
            <w:tcW w:type="dxa" w:w="465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Explain CPU/GPU resources, partitions, memory, and wall time.</w:t>
            </w:r>
          </w:p>
        </w:tc>
        <w:tc>
          <w:tcPr>
            <w:tcW w:type="dxa" w:w="321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Resource vocabulary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10:10-10:20</w:t>
            </w:r>
          </w:p>
        </w:tc>
        <w:tc>
          <w:tcPr>
            <w:tcW w:type="dxa" w:w="465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Log in; verify identity, host, quota, and storage.</w:t>
            </w:r>
          </w:p>
        </w:tc>
        <w:tc>
          <w:tcPr>
            <w:tcW w:type="dxa" w:w="321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Completed preflight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10:20-10:30</w:t>
            </w:r>
          </w:p>
        </w:tc>
        <w:tc>
          <w:tcPr>
            <w:tcW w:type="dxa" w:w="465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Use ten commands and inspect the Apptainer model.</w:t>
            </w:r>
          </w:p>
        </w:tc>
        <w:tc>
          <w:tcPr>
            <w:tcW w:type="dxa" w:w="321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Command/container record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10:30-10:45</w:t>
            </w:r>
          </w:p>
        </w:tc>
        <w:tc>
          <w:tcPr>
            <w:tcW w:type="dxa" w:w="465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Break.</w:t>
            </w:r>
          </w:p>
        </w:tc>
        <w:tc>
          <w:tcPr>
            <w:tcW w:type="dxa" w:w="321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10:45-11:00</w:t>
            </w:r>
          </w:p>
        </w:tc>
        <w:tc>
          <w:tcPr>
            <w:tcW w:type="dxa" w:w="465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Clone the course and NCShare examples.</w:t>
            </w:r>
          </w:p>
        </w:tc>
        <w:tc>
          <w:tcPr>
            <w:tcW w:type="dxa" w:w="321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Local repositories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11:00-11:20</w:t>
            </w:r>
          </w:p>
        </w:tc>
        <w:tc>
          <w:tcPr>
            <w:tcW w:type="dxa" w:w="465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Request a compute shell; inspect and execute the course SIF.</w:t>
            </w:r>
          </w:p>
        </w:tc>
        <w:tc>
          <w:tcPr>
            <w:tcW w:type="dxa" w:w="321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First allocation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11:20-11:30</w:t>
            </w:r>
          </w:p>
        </w:tc>
        <w:tc>
          <w:tcPr>
            <w:tcW w:type="dxa" w:w="465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Answer: where am I, what do I have, where does output go?</w:t>
            </w:r>
          </w:p>
        </w:tc>
        <w:tc>
          <w:tcPr>
            <w:tcW w:type="dxa" w:w="321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Checkpoint answers</w:t>
            </w:r>
          </w:p>
        </w:tc>
      </w:tr>
    </w:tbl>
    <w:p>
      <w:pPr>
        <w:spacing w:before="120" w:after="160" w:line="288" w:lineRule="auto"/>
        <w:ind w:left="173" w:right="173"/>
        <w:shd w:fill="F4F6F9"/>
        <w:pBdr>
          <w:left w:val="single" w:sz="18" w:space="6" w:color="2E74B5"/>
        </w:pBdr>
      </w:pPr>
      <w:r>
        <w:rPr>
          <w:rFonts w:ascii="Calibri" w:hAnsi="Calibri"/>
          <w:b/>
          <w:color w:val="0B2545"/>
          <w:sz w:val="21"/>
        </w:rPr>
        <w:t xml:space="preserve">HPC administrator contribution: </w:t>
      </w:r>
      <w:r>
        <w:rPr>
          <w:rFonts w:ascii="Calibri" w:hAnsi="Calibri"/>
          <w:color w:val="2F3337"/>
          <w:sz w:val="21"/>
        </w:rPr>
        <w:t>HPC admins provide workshop access and teach the NCShare login/compute boundary, storage lifetimes, partitions, and how the shared Apptainer image is built, staged, launched, and supported.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Provided: command card, annotated Slurm/container/data workflow, access troubleshooting, and a verified interactive-allocation command.</w:t>
      </w:r>
    </w:p>
    <w:p>
      <w:pPr>
        <w:pStyle w:val="Heading1"/>
        <w:keepNext/>
      </w:pPr>
      <w:r>
        <w:t>Session 2 • Storage, transfer, and I/O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11:30-12:00. Participants choose the correct location for code, active data, temporary I/O, and retained results; practice scp/rsync; and write the data lifecycle for the afternoon jobs.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Use /hpc/home for scripts, the course clone, and small user configuration.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Use /work for active data and move retained results off NCShare.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Use the HPC-team-staged SIF instead of per-user scientific-software installs.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Use job-local /scratch for temporary high-I/O work and copy results out.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Never place sensitive data on NCShare.</w:t>
      </w:r>
    </w:p>
    <w:p>
      <w:pPr>
        <w:pStyle w:val="Heading1"/>
        <w:keepNext/>
      </w:pPr>
      <w:r>
        <w:t>Session 3 • From definition file to CPU and GPU jobs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1:00-3:30 (with a 2:15-2:30 break). This merged block covers requirements → definition → build/test/checksum → request → execute → monitor → inspect.</w:t>
      </w:r>
    </w:p>
    <w:p>
      <w:pPr>
        <w:pStyle w:val="Heading2"/>
        <w:keepNext/>
      </w:pPr>
      <w:r>
        <w:t>1:00-1:30 • Apptainer blueprint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Map both applications to one commented CUDA/Ubuntu definition file.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Locate Open MPI, parallel HDF5, GSL, HYPRE(maxdim=4), and unmodified inoisy4d.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Locate Python 3.11, QuantUI, CUDA wheels, Jupyter, and plotting libraries.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Separate SIF software from Slurm, host drivers, bind mounts, and mutable data.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Inspect labels, resolved package manifests, tests, and the SIF checksum.</w:t>
      </w:r>
    </w:p>
    <w:p>
      <w:pPr>
        <w:pStyle w:val="Heading2"/>
        <w:keepNext/>
      </w:pPr>
      <w:r>
        <w:t>1:30-2:15 • Containerized inoisy+ on CPUs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Inspect the application source and build provenance stored in the SIF.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Bind /work, then submit the same 16⁴ grid with one and four MPI ranks.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Use squeue, logs, and sacct to compare job state, time, memory, and exit code.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Diagnose Slurm → Apptainer → application before rebuilding or resubmitting.</w:t>
      </w:r>
    </w:p>
    <w:p>
      <w:pPr>
        <w:pStyle w:val="Heading2"/>
        <w:keepNext/>
      </w:pPr>
      <w:r>
        <w:t>2:30-3:30 • QuantUI on an H200 GPU, and when a GPU is worth it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Inspect the SIF's Python 3.11 environment, package manifests, and QuantUI version.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Separate Slurm's H200 allocation from Apptainer's --nv device exposure.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Verify the device/environment and submit a small RHF calculation.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Confirm QuantUI reports gpu_used=true; do not infer use from allocation alone.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Time the same calculation on CPU and GPU across growing basis sets.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Locate the crossover: overhead dominates small systems, arithmetic wins at scale.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State why a speedup without its CPU allocation is not a result.</w:t>
      </w:r>
    </w:p>
    <w:p>
      <w:pPr>
        <w:spacing w:before="120" w:after="160" w:line="288" w:lineRule="auto"/>
        <w:ind w:left="173" w:right="173"/>
        <w:shd w:fill="F4F6F9"/>
        <w:pBdr>
          <w:left w:val="single" w:sz="18" w:space="6" w:color="2E74B5"/>
        </w:pBdr>
      </w:pPr>
      <w:r>
        <w:rPr>
          <w:rFonts w:ascii="Calibri" w:hAnsi="Calibri"/>
          <w:b/>
          <w:color w:val="0B2545"/>
          <w:sz w:val="21"/>
        </w:rPr>
        <w:t xml:space="preserve">Provided: </w:t>
      </w:r>
      <w:r>
        <w:rPr>
          <w:rFonts w:ascii="Calibri" w:hAnsi="Calibri"/>
          <w:color w:val="2F3337"/>
          <w:sz w:val="21"/>
        </w:rPr>
        <w:t>Commented definition, build/test/CI blueprints, SIF checksum, one-rank/four-rank/GPU Slurm files, low-resolution settings, and troubleshooting.</w:t>
      </w:r>
    </w:p>
    <w:p>
      <w:pPr>
        <w:pStyle w:val="Heading1"/>
        <w:keepNext/>
      </w:pPr>
      <w:r>
        <w:t>Session 4 • Scientific visualization and post-processing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3:30-4:30. Launch Jupyter from the same SIF; inspect HDF5 lazily; choose honest color/normalization; run the containerized upstream GRF-to-emissivity converter; and export PNG/PDF figures with image, input, and plot provenance.</w:t>
      </w:r>
    </w:p>
    <w:p>
      <w:pPr>
        <w:pStyle w:val="Heading1"/>
        <w:keepNext/>
      </w:pPr>
      <w:r>
        <w:t>Wrap-up • 4:30-5:00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Review the end-to-end workflow, locate NCShare documentation and local support, capture unresolved questions, and show how participants can contribute examples.</w:t>
      </w:r>
    </w:p>
    <w:p>
      <w:pPr>
        <w:spacing w:before="120" w:after="160" w:line="288" w:lineRule="auto"/>
        <w:ind w:left="173" w:right="173"/>
        <w:shd w:fill="F4F6F9"/>
        <w:pBdr>
          <w:left w:val="single" w:sz="18" w:space="6" w:color="2E74B5"/>
        </w:pBdr>
      </w:pPr>
      <w:r>
        <w:rPr>
          <w:rFonts w:ascii="Calibri" w:hAnsi="Calibri"/>
          <w:b/>
          <w:color w:val="0B2545"/>
          <w:sz w:val="21"/>
        </w:rPr>
        <w:t xml:space="preserve">Bonus: </w:t>
      </w:r>
      <w:r>
        <w:rPr>
          <w:rFonts w:ascii="Calibri" w:hAnsi="Calibri"/>
          <w:color w:val="2F3337"/>
          <w:sz w:val="21"/>
        </w:rPr>
        <w:t>Repeat the workflow on a traditional module-based cluster with native compiler/MPI/HDF5/HYPRE and per-user conda, then compare provenance, maintenance, portability, and multi-node integration.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D6772"/>
        <w:sz w:val="18"/>
      </w:rPr>
      <w:t xml:space="preserve">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0"/>
    </w:pPr>
    <w:r>
      <w:rPr>
        <w:rFonts w:ascii="Calibri" w:hAnsi="Calibri"/>
        <w:b/>
        <w:color w:val="5D6772"/>
        <w:sz w:val="18"/>
      </w:rPr>
      <w:t>NCShare Crash Course</w:t>
    </w:r>
    <w:r>
      <w:rPr>
        <w:rFonts w:ascii="Calibri" w:hAnsi="Calibri"/>
        <w:color w:val="5D6772"/>
        <w:sz w:val="18"/>
      </w:rPr>
      <w:tab/>
      <w:t>Workshop Agenda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</w:pPr>
      <w:rPr>
        <w:rFonts w:ascii="Symbol" w:hAnsi="Symbo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F33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userguide.ncshare.org/guides/" TargetMode="External"/><Relationship Id="rId12" Type="http://schemas.openxmlformats.org/officeDocument/2006/relationships/hyperlink" Target="https://github.com/NCShare/examp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