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0"/>
      </w:pPr>
      <w:r>
        <w:rPr>
          <w:rFonts w:ascii="Calibri" w:hAnsi="Calibri"/>
          <w:b/>
          <w:color w:val="2E74B5"/>
          <w:sz w:val="20"/>
        </w:rPr>
        <w:t>WORKSHOP AGENDA</w:t>
      </w:r>
    </w:p>
    <w:p>
      <w:pPr>
        <w:spacing w:before="0" w:after="160"/>
      </w:pPr>
      <w:r>
        <w:rPr>
          <w:rFonts w:ascii="Calibri" w:hAnsi="Calibri"/>
          <w:b/>
          <w:color w:val="0B2545"/>
          <w:sz w:val="58"/>
        </w:rPr>
        <w:t>NCShare Crash Course</w:t>
      </w:r>
    </w:p>
    <w:p>
      <w:pPr>
        <w:spacing w:before="0" w:after="320"/>
      </w:pPr>
      <w:r>
        <w:rPr>
          <w:rFonts w:ascii="Calibri" w:hAnsi="Calibri"/>
          <w:color w:val="5D6772"/>
          <w:sz w:val="26"/>
        </w:rPr>
        <w:t>From cluster access to a reproducible CPU, GPU, and visualization workflow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4DDE7"/>
          <w:left w:val="single" w:sz="4" w:space="0" w:color="D4DDE7"/>
          <w:bottom w:val="single" w:sz="4" w:space="0" w:color="D4DDE7"/>
          <w:right w:val="single" w:sz="4" w:space="0" w:color="D4DDE7"/>
          <w:insideH w:val="single" w:sz="4" w:space="0" w:color="D4DDE7"/>
          <w:insideV w:val="single" w:sz="4" w:space="0" w:color="D4DDE7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DATE</w:t>
              <w:br/>
            </w:r>
            <w:r>
              <w:rPr>
                <w:rFonts w:ascii="Calibri" w:hAnsi="Calibri"/>
                <w:b/>
                <w:color w:val="0B2545"/>
                <w:sz w:val="21"/>
              </w:rPr>
              <w:t>August 19</w:t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FORMAT</w:t>
              <w:br/>
            </w:r>
            <w:r>
              <w:rPr>
                <w:rFonts w:ascii="Calibri" w:hAnsi="Calibri"/>
                <w:b/>
                <w:color w:val="0B2545"/>
                <w:sz w:val="21"/>
              </w:rPr>
              <w:t>In person</w:t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HOURS</w:t>
              <w:br/>
            </w:r>
            <w:r>
              <w:rPr>
                <w:rFonts w:ascii="Calibri" w:hAnsi="Calibri"/>
                <w:b/>
                <w:color w:val="0B2545"/>
                <w:sz w:val="21"/>
              </w:rPr>
              <w:t>9:00-5:00</w:t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AUDIENCE</w:t>
              <w:br/>
            </w:r>
            <w:r>
              <w:rPr>
                <w:rFonts w:ascii="Calibri" w:hAnsi="Calibri"/>
                <w:b/>
                <w:color w:val="0B2545"/>
                <w:sz w:val="21"/>
              </w:rPr>
              <w:t>New HPC users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Purpose</w:t>
      </w:r>
    </w:p>
    <w:p>
      <w:pPr>
        <w:spacing w:before="0" w:after="120" w:line="300" w:lineRule="auto"/>
      </w:pPr>
      <w:r>
        <w:rPr>
          <w:rFonts w:ascii="Calibri" w:hAnsi="Calibri"/>
          <w:color w:val="2F3337"/>
          <w:sz w:val="22"/>
        </w:rPr>
        <w:t>Move participants from “I have access” to “I can choose resources, submit a job, inspect its output, and continue my analysis.” The day uses the official NCShare guides and examples throughout.</w:t>
      </w:r>
    </w:p>
    <w:p>
      <w:pPr>
        <w:spacing w:after="120"/>
      </w:pPr>
      <w:hyperlink r:id="rId11">
        <w:r>
          <w:rPr>
            <w:color w:val="2E74B5"/>
            <w:u w:val="single"/>
          </w:rPr>
          <w:t>NCShare user guides</w:t>
        </w:r>
      </w:hyperlink>
      <w:r>
        <w:t xml:space="preserve">  •  </w:t>
      </w:r>
      <w:hyperlink r:id="rId12">
        <w:r>
          <w:rPr>
            <w:color w:val="2E74B5"/>
            <w:u w:val="single"/>
          </w:rPr>
          <w:t>NCShare examples</w:t>
        </w:r>
      </w:hyperlink>
    </w:p>
    <w:p>
      <w:pPr>
        <w:spacing w:before="120" w:after="160" w:line="288" w:lineRule="auto"/>
        <w:ind w:left="173" w:right="173"/>
        <w:shd w:fill="F4F6F9"/>
        <w:pBdr>
          <w:left w:val="single" w:sz="18" w:space="6" w:color="2E74B5"/>
        </w:pBdr>
      </w:pPr>
      <w:r>
        <w:rPr>
          <w:rFonts w:ascii="Calibri" w:hAnsi="Calibri"/>
          <w:b/>
          <w:color w:val="0B2545"/>
          <w:sz w:val="21"/>
        </w:rPr>
        <w:t xml:space="preserve">Before the workshop: </w:t>
      </w:r>
      <w:r>
        <w:rPr>
          <w:rFonts w:ascii="Calibri" w:hAnsi="Calibri"/>
          <w:color w:val="2F3337"/>
          <w:sz w:val="21"/>
        </w:rPr>
        <w:t>Active NCShare account; registered SSH public key; laptop with SSH client; course clone; user-owned Miniforge; GPU access requested in advance. Pairing is available for participants still waiting for access.</w:t>
      </w:r>
    </w:p>
    <w:p>
      <w:pPr>
        <w:pStyle w:val="Heading1"/>
        <w:keepNext/>
      </w:pPr>
      <w:r>
        <w:t>Learning outcomes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F3337"/>
          <w:sz w:val="22"/>
        </w:rPr>
        <w:t>Distinguish login, compute, CPU, and GPU nodes.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F3337"/>
          <w:sz w:val="22"/>
        </w:rPr>
        <w:t>Choose among /hpc/home, /work, and job-local /scratch.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F3337"/>
          <w:sz w:val="22"/>
        </w:rPr>
        <w:t>Load modules, install a user-space library, compile C/MPI code, and manage conda.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F3337"/>
          <w:sz w:val="22"/>
        </w:rPr>
        <w:t>Submit, monitor, diagnose, and cancel Slurm jobs.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F3337"/>
          <w:sz w:val="22"/>
        </w:rPr>
        <w:t>Run one-rank, four-rank MPI, and GPU workflows with reasonable resources.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F3337"/>
          <w:sz w:val="22"/>
        </w:rPr>
        <w:t>Inspect HDF5, post-process a GRF, and export an accessible scientific figure.</w:t>
      </w:r>
    </w:p>
    <w:p>
      <w:r>
        <w:br w:type="page"/>
      </w:r>
    </w:p>
    <w:p>
      <w:pPr>
        <w:pStyle w:val="Heading1"/>
        <w:keepNext/>
      </w:pPr>
      <w:r>
        <w:t>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680"/>
        <w:gridCol w:w="3180"/>
        <w:gridCol w:w="4500"/>
      </w:tblGrid>
      <w:tr>
        <w:trPr>
          <w:tblHeader w:val="true"/>
        </w:trPr>
        <w:tc>
          <w:tcPr>
            <w:tcW w:type="dxa" w:w="16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Time</w:t>
            </w:r>
          </w:p>
        </w:tc>
        <w:tc>
          <w:tcPr>
            <w:tcW w:type="dxa" w:w="31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Session</w:t>
            </w:r>
          </w:p>
        </w:tc>
        <w:tc>
          <w:tcPr>
            <w:tcW w:type="dxa" w:w="4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Participant output</w:t>
            </w:r>
          </w:p>
        </w:tc>
      </w:tr>
      <w:tr>
        <w:trPr/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9:00-9:30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Check-in and setup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Verified access and course clone</w:t>
            </w:r>
          </w:p>
        </w:tc>
      </w:tr>
      <w:tr>
        <w:trPr/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9:30-9:45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Welcome and goals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Shared runnable outcomes</w:t>
            </w:r>
          </w:p>
        </w:tc>
      </w:tr>
      <w:tr>
        <w:trPr/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9:45-10:30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Session 1A: cluster model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Login/storage/module preflight</w:t>
            </w:r>
          </w:p>
        </w:tc>
      </w:tr>
      <w:tr>
        <w:trPr/>
        <w:tc>
          <w:tcPr>
            <w:tcW w:type="dxa" w:w="16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10:30-10:45</w:t>
            </w:r>
          </w:p>
        </w:tc>
        <w:tc>
          <w:tcPr>
            <w:tcW w:type="dxa" w:w="31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Break</w:t>
            </w:r>
          </w:p>
        </w:tc>
        <w:tc>
          <w:tcPr>
            <w:tcW w:type="dxa" w:w="45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</w:r>
          </w:p>
        </w:tc>
      </w:tr>
      <w:tr>
        <w:trPr/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10:45-11:30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Session 1B: guided practice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First interactive allocation</w:t>
            </w:r>
          </w:p>
        </w:tc>
      </w:tr>
      <w:tr>
        <w:trPr/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11:30-12:00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Session 2: storage and I/O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Data-lifecycle plan</w:t>
            </w:r>
          </w:p>
        </w:tc>
      </w:tr>
      <w:tr>
        <w:trPr/>
        <w:tc>
          <w:tcPr>
            <w:tcW w:type="dxa" w:w="16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12:00-1:00</w:t>
            </w:r>
          </w:p>
        </w:tc>
        <w:tc>
          <w:tcPr>
            <w:tcW w:type="dxa" w:w="31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Lunch and discussion</w:t>
            </w:r>
          </w:p>
        </w:tc>
        <w:tc>
          <w:tcPr>
            <w:tcW w:type="dxa" w:w="45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</w:r>
          </w:p>
        </w:tc>
      </w:tr>
      <w:tr>
        <w:trPr/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1:00-2:15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Session 3A: inoisy+ on CPUs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One-rank/four-rank HDF5 results</w:t>
            </w:r>
          </w:p>
        </w:tc>
      </w:tr>
      <w:tr>
        <w:trPr/>
        <w:tc>
          <w:tcPr>
            <w:tcW w:type="dxa" w:w="16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2:15-2:30</w:t>
            </w:r>
          </w:p>
        </w:tc>
        <w:tc>
          <w:tcPr>
            <w:tcW w:type="dxa" w:w="31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Break</w:t>
            </w:r>
          </w:p>
        </w:tc>
        <w:tc>
          <w:tcPr>
            <w:tcW w:type="dxa" w:w="45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</w:r>
          </w:p>
        </w:tc>
      </w:tr>
      <w:tr>
        <w:trPr/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2:30-3:30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Session 3B: QuantUI on GPU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Verified GPU-offload result</w:t>
            </w:r>
          </w:p>
        </w:tc>
      </w:tr>
      <w:tr>
        <w:trPr/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3:30-4:30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Session 4: visualization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Post-processed figure and notebook</w:t>
            </w:r>
          </w:p>
        </w:tc>
      </w:tr>
      <w:tr>
        <w:trPr/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4:30-5:00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Wrap-up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Support path and next steps</w:t>
            </w:r>
          </w:p>
        </w:tc>
      </w:tr>
    </w:tbl>
    <w:p>
      <w:pPr>
        <w:pStyle w:val="Heading1"/>
        <w:keepNext/>
      </w:pPr>
      <w:r>
        <w:t>Session 1 • Access, cluster model, and essential tools</w:t>
      </w:r>
    </w:p>
    <w:p>
      <w:pPr>
        <w:spacing w:before="0" w:after="120" w:line="300" w:lineRule="auto"/>
      </w:pPr>
      <w:r>
        <w:rPr>
          <w:rFonts w:ascii="Calibri" w:hAnsi="Calibri"/>
          <w:color w:val="2F3337"/>
          <w:sz w:val="22"/>
        </w:rPr>
        <w:t>9:45-11:30 (with a 10:30-10:45 break). Explain only what participants need to request their first allocation, then practice immediately.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500"/>
        <w:gridCol w:w="4650"/>
        <w:gridCol w:w="321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Time</w:t>
            </w:r>
          </w:p>
        </w:tc>
        <w:tc>
          <w:tcPr>
            <w:tcW w:type="dxa" w:w="4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Teach / do</w:t>
            </w:r>
          </w:p>
        </w:tc>
        <w:tc>
          <w:tcPr>
            <w:tcW w:type="dxa" w:w="32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Concrete output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9:45-9:55</w:t>
            </w:r>
          </w:p>
        </w:tc>
        <w:tc>
          <w:tcPr>
            <w:tcW w:type="dxa" w:w="4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Map laptop → login → Slurm → compute → storage.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Annotated workflow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9:55-10:10</w:t>
            </w:r>
          </w:p>
        </w:tc>
        <w:tc>
          <w:tcPr>
            <w:tcW w:type="dxa" w:w="4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Explain CPU/GPU resources, partitions, memory, and wall time.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Resource vocabulary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10:10-10:20</w:t>
            </w:r>
          </w:p>
        </w:tc>
        <w:tc>
          <w:tcPr>
            <w:tcW w:type="dxa" w:w="4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Log in; verify identity, host, quota, and storage.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Completed preflight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10:20-10:30</w:t>
            </w:r>
          </w:p>
        </w:tc>
        <w:tc>
          <w:tcPr>
            <w:tcW w:type="dxa" w:w="4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Use ten commands and inspect the module system.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Command/module record</w:t>
            </w:r>
          </w:p>
        </w:tc>
      </w:tr>
      <w:tr>
        <w:trPr/>
        <w:tc>
          <w:tcPr>
            <w:tcW w:type="dxa" w:w="15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10:30-10:45</w:t>
            </w:r>
          </w:p>
        </w:tc>
        <w:tc>
          <w:tcPr>
            <w:tcW w:type="dxa" w:w="46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Break.</w:t>
            </w:r>
          </w:p>
        </w:tc>
        <w:tc>
          <w:tcPr>
            <w:tcW w:type="dxa" w:w="321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10:45-11:00</w:t>
            </w:r>
          </w:p>
        </w:tc>
        <w:tc>
          <w:tcPr>
            <w:tcW w:type="dxa" w:w="4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Clone the course and NCShare examples.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Local repositories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11:00-11:20</w:t>
            </w:r>
          </w:p>
        </w:tc>
        <w:tc>
          <w:tcPr>
            <w:tcW w:type="dxa" w:w="4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Request a compute shell; compare hosts and allocation variables.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First allocation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11:20-11:30</w:t>
            </w:r>
          </w:p>
        </w:tc>
        <w:tc>
          <w:tcPr>
            <w:tcW w:type="dxa" w:w="4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Answer: where am I, what do I have, where does output go?</w:t>
            </w:r>
          </w:p>
        </w:tc>
        <w:tc>
          <w:tcPr>
            <w:tcW w:type="dxa" w:w="3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2F3337"/>
                <w:sz w:val="18"/>
              </w:rPr>
              <w:t>Checkpoint answers</w:t>
            </w:r>
          </w:p>
        </w:tc>
      </w:tr>
    </w:tbl>
    <w:p>
      <w:pPr>
        <w:spacing w:before="120" w:after="160" w:line="288" w:lineRule="auto"/>
        <w:ind w:left="173" w:right="173"/>
        <w:shd w:fill="F4F6F9"/>
        <w:pBdr>
          <w:left w:val="single" w:sz="18" w:space="6" w:color="2E74B5"/>
        </w:pBdr>
      </w:pPr>
      <w:r>
        <w:rPr>
          <w:rFonts w:ascii="Calibri" w:hAnsi="Calibri"/>
          <w:b/>
          <w:color w:val="0B2545"/>
          <w:sz w:val="21"/>
        </w:rPr>
        <w:t xml:space="preserve">HPC administrator contribution: </w:t>
      </w:r>
      <w:r>
        <w:rPr>
          <w:rFonts w:ascii="Calibri" w:hAnsi="Calibri"/>
          <w:color w:val="2F3337"/>
          <w:sz w:val="21"/>
        </w:rPr>
        <w:t>HPC admins provide workshop access and teach the NCShare login/compute boundary, storage lifetimes, partitions, and support path.</w:t>
      </w:r>
    </w:p>
    <w:p>
      <w:pPr>
        <w:spacing w:before="0" w:after="120" w:line="300" w:lineRule="auto"/>
      </w:pPr>
      <w:r>
        <w:rPr>
          <w:rFonts w:ascii="Calibri" w:hAnsi="Calibri"/>
          <w:color w:val="2F3337"/>
          <w:sz w:val="22"/>
        </w:rPr>
        <w:t>Provided: command card, annotated cluster workflow, access troubleshooting, and a verified interactive-allocation command.</w:t>
      </w:r>
    </w:p>
    <w:p>
      <w:pPr>
        <w:pStyle w:val="Heading1"/>
        <w:keepNext/>
      </w:pPr>
      <w:r>
        <w:t>Session 2 • Storage, transfer, and I/O</w:t>
      </w:r>
    </w:p>
    <w:p>
      <w:pPr>
        <w:spacing w:before="0" w:after="120" w:line="300" w:lineRule="auto"/>
      </w:pPr>
      <w:r>
        <w:rPr>
          <w:rFonts w:ascii="Calibri" w:hAnsi="Calibri"/>
          <w:color w:val="2F3337"/>
          <w:sz w:val="22"/>
        </w:rPr>
        <w:t>11:30-12:00. Participants choose the correct location for code, active data, temporary I/O, and retained results; practice scp/rsync; and write the data lifecycle for the afternoon jobs.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F3337"/>
          <w:sz w:val="22"/>
        </w:rPr>
        <w:t>Use /hpc/home for scripts, environments, and user software.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F3337"/>
          <w:sz w:val="22"/>
        </w:rPr>
        <w:t>Use /work for active data and move retained results off NCShare.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F3337"/>
          <w:sz w:val="22"/>
        </w:rPr>
        <w:t>Use job-local /scratch for temporary high-I/O work and copy results out.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F3337"/>
          <w:sz w:val="22"/>
        </w:rPr>
        <w:t>Never place sensitive data on NCShare.</w:t>
      </w:r>
    </w:p>
    <w:p>
      <w:pPr>
        <w:pStyle w:val="Heading1"/>
        <w:keepNext/>
      </w:pPr>
      <w:r>
        <w:t>Session 3 • From source code to CPU and GPU jobs</w:t>
      </w:r>
    </w:p>
    <w:p>
      <w:pPr>
        <w:spacing w:before="0" w:after="120" w:line="300" w:lineRule="auto"/>
      </w:pPr>
      <w:r>
        <w:rPr>
          <w:rFonts w:ascii="Calibri" w:hAnsi="Calibri"/>
          <w:color w:val="2F3337"/>
          <w:sz w:val="22"/>
        </w:rPr>
        <w:t>1:00-3:30 (with a 2:15-2:30 break). This merged block covers clone → environment → install/compile → request → submit → monitor → inspect.</w:t>
      </w:r>
    </w:p>
    <w:p>
      <w:pPr>
        <w:pStyle w:val="Heading2"/>
        <w:keepNext/>
      </w:pPr>
      <w:r>
        <w:t>1:00-1:45 • inoisy+ on CPUs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F3337"/>
          <w:sz w:val="22"/>
        </w:rPr>
        <w:t>Clone a real scientific C/MPI repository and inspect its README and Makefile.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F3337"/>
          <w:sz w:val="22"/>
        </w:rPr>
        <w:t>Load compiler, MPI, parallel HDF5, and GSL modules.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F3337"/>
          <w:sz w:val="22"/>
        </w:rPr>
        <w:t>Install a user-space HYPRE build with four-dimensional SStruct support.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F3337"/>
          <w:sz w:val="22"/>
        </w:rPr>
        <w:t>Compile unmodified inoisy4d without editing its source or Makefile.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F3337"/>
          <w:sz w:val="22"/>
        </w:rPr>
        <w:t>Submit the same 16⁴ global grid with one and four MPI ranks; retain HDF5 output.</w:t>
      </w:r>
    </w:p>
    <w:p>
      <w:pPr>
        <w:pStyle w:val="Heading2"/>
        <w:keepNext/>
      </w:pPr>
      <w:r>
        <w:t>1:45-2:15 • Scheduler and efficiency debrief</w:t>
      </w:r>
    </w:p>
    <w:p>
      <w:pPr>
        <w:spacing w:before="0" w:after="120" w:line="300" w:lineRule="auto"/>
      </w:pPr>
      <w:r>
        <w:rPr>
          <w:rFonts w:ascii="Calibri" w:hAnsi="Calibri"/>
          <w:color w:val="2F3337"/>
          <w:sz w:val="22"/>
        </w:rPr>
        <w:t>Use squeue, logs, and sacct to compare job states, elapsed time, memory, and exit codes. Treat slower parallel timing for a tiny problem as a lesson in overhead, not a reason to request more resources.</w:t>
      </w:r>
    </w:p>
    <w:p>
      <w:r>
        <w:br w:type="page"/>
      </w:r>
    </w:p>
    <w:p>
      <w:pPr>
        <w:pStyle w:val="Heading2"/>
        <w:keepNext/>
      </w:pPr>
      <w:r>
        <w:t>2:30-3:15 • QuantUI on an H200 GPU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F3337"/>
          <w:sz w:val="22"/>
        </w:rPr>
        <w:t>Create a Python 3.11 conda environment on a CPU allocation.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F3337"/>
          <w:sz w:val="22"/>
        </w:rPr>
        <w:t>Install QuantUI plus CUDA 12.x GPU wheels and register its Jupyter kernel.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F3337"/>
          <w:sz w:val="22"/>
        </w:rPr>
        <w:t>Request one H200 GPU, verify the device, and submit a small RHF calculation.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2F3337"/>
          <w:sz w:val="22"/>
        </w:rPr>
        <w:t>Confirm QuantUI reports gpu_used=true; do not infer use from allocation alone.</w:t>
      </w:r>
    </w:p>
    <w:p>
      <w:pPr>
        <w:pStyle w:val="Heading2"/>
        <w:keepNext/>
      </w:pPr>
      <w:r>
        <w:t>3:15-3:30 • CPU/GPU comparison</w:t>
      </w:r>
    </w:p>
    <w:p>
      <w:pPr>
        <w:spacing w:before="0" w:after="120" w:line="300" w:lineRule="auto"/>
      </w:pPr>
      <w:r>
        <w:rPr>
          <w:rFonts w:ascii="Calibri" w:hAnsi="Calibri"/>
          <w:color w:val="2F3337"/>
          <w:sz w:val="22"/>
        </w:rPr>
        <w:t>Compare the Slurm files, identify work that does not benefit from a GPU, and record one resource change to make before scaling.</w:t>
      </w:r>
    </w:p>
    <w:p>
      <w:pPr>
        <w:spacing w:before="120" w:after="160" w:line="288" w:lineRule="auto"/>
        <w:ind w:left="173" w:right="173"/>
        <w:shd w:fill="F4F6F9"/>
        <w:pBdr>
          <w:left w:val="single" w:sz="18" w:space="6" w:color="2E74B5"/>
        </w:pBdr>
      </w:pPr>
      <w:r>
        <w:rPr>
          <w:rFonts w:ascii="Calibri" w:hAnsi="Calibri"/>
          <w:b/>
          <w:color w:val="0B2545"/>
          <w:sz w:val="21"/>
        </w:rPr>
        <w:t xml:space="preserve">Provided: </w:t>
      </w:r>
      <w:r>
        <w:rPr>
          <w:rFonts w:ascii="Calibri" w:hAnsi="Calibri"/>
          <w:color w:val="2F3337"/>
          <w:sz w:val="21"/>
        </w:rPr>
        <w:t>HYPRE/build helpers, one-rank/four-rank/GPU Slurm files, low-resolution settings, expected outputs, and troubleshooting checkpoints.</w:t>
      </w:r>
    </w:p>
    <w:p>
      <w:pPr>
        <w:pStyle w:val="Heading1"/>
        <w:keepNext/>
      </w:pPr>
      <w:r>
        <w:t>Session 4 • Scientific visualization and post-processing</w:t>
      </w:r>
    </w:p>
    <w:p>
      <w:pPr>
        <w:spacing w:before="0" w:after="120" w:line="300" w:lineRule="auto"/>
      </w:pPr>
      <w:r>
        <w:rPr>
          <w:rFonts w:ascii="Calibri" w:hAnsi="Calibri"/>
          <w:color w:val="2F3337"/>
          <w:sz w:val="22"/>
        </w:rPr>
        <w:t>3:30-4:30. In Jupyter, inspect HDF5 lazily, plot distributions and slices, choose honest color/normalization, run the upstream GRF-to-emissivity converter, compare raw and positive fields, and export PNG/PDF figures with provenance.</w:t>
      </w:r>
    </w:p>
    <w:p>
      <w:pPr>
        <w:pStyle w:val="Heading1"/>
        <w:keepNext/>
      </w:pPr>
      <w:r>
        <w:t>Wrap-up • 4:30-5:00</w:t>
      </w:r>
    </w:p>
    <w:p>
      <w:pPr>
        <w:spacing w:before="0" w:after="120" w:line="300" w:lineRule="auto"/>
      </w:pPr>
      <w:r>
        <w:rPr>
          <w:rFonts w:ascii="Calibri" w:hAnsi="Calibri"/>
          <w:color w:val="2F3337"/>
          <w:sz w:val="22"/>
        </w:rPr>
        <w:t>Review the end-to-end workflow, locate NCShare documentation and local support, capture unresolved questions, and show how participants can contribute examples.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D6772"/>
        <w:sz w:val="18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/>
        <w:b/>
        <w:color w:val="5D6772"/>
        <w:sz w:val="18"/>
      </w:rPr>
      <w:t>NCShare Crash Course</w:t>
    </w:r>
    <w:r>
      <w:rPr>
        <w:rFonts w:ascii="Calibri" w:hAnsi="Calibri"/>
        <w:color w:val="5D6772"/>
        <w:sz w:val="18"/>
      </w:rPr>
      <w:tab/>
      <w:t>Workshop Agenda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Symbol" w:hAnsi="Symbo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F33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userguide.ncshare.org/guides/" TargetMode="External"/><Relationship Id="rId12" Type="http://schemas.openxmlformats.org/officeDocument/2006/relationships/hyperlink" Target="https://github.com/NCShare/examp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