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A21F4" w14:textId="77777777" w:rsidR="00922499" w:rsidRDefault="00922499" w:rsidP="00922499">
      <w:r>
        <w:rPr>
          <w:rFonts w:hint="eastAsia"/>
        </w:rPr>
        <w:t>•ソロバリアント“</w:t>
      </w:r>
      <w:r>
        <w:t xml:space="preserve"> Yin＆Yang”•</w:t>
      </w:r>
    </w:p>
    <w:p w14:paraId="710535B9" w14:textId="77777777" w:rsidR="00922499" w:rsidRDefault="00922499" w:rsidP="00922499">
      <w:r>
        <w:rPr>
          <w:rFonts w:hint="eastAsia"/>
        </w:rPr>
        <w:t>このゲームモードでの目標は、スターティングタイルの周りの</w:t>
      </w:r>
      <w:r>
        <w:t>28のスペースで構成されるガーデンボードの中央部分を完成させることです。</w:t>
      </w:r>
    </w:p>
    <w:p w14:paraId="6FEB013A" w14:textId="77777777" w:rsidR="00922499" w:rsidRDefault="00922499" w:rsidP="00922499">
      <w:r>
        <w:rPr>
          <w:rFonts w:hint="eastAsia"/>
        </w:rPr>
        <w:t>このゲームモードでは、ボードの端のスペースは使用しません装飾品カード</w:t>
      </w:r>
      <w:r>
        <w:t>は収集されず、キャラクターの能力は利用できず、</w:t>
      </w:r>
      <w:r>
        <w:rPr>
          <w:rFonts w:hint="eastAsia"/>
        </w:rPr>
        <w:t>プレイヤーボード</w:t>
      </w:r>
      <w:r>
        <w:t>は使用されません。</w:t>
      </w:r>
    </w:p>
    <w:p w14:paraId="259B0B21" w14:textId="77777777" w:rsidR="00922499" w:rsidRDefault="00922499" w:rsidP="00922499">
      <w:r>
        <w:rPr>
          <w:rFonts w:hint="eastAsia"/>
        </w:rPr>
        <w:t>利用可能な合法的な動きがないか、庭のタイルの</w:t>
      </w:r>
      <w:r>
        <w:t>1つのスタックが使い果たされ、ランタンの助けを借りてゲームを続行できない場合、ゲームはすぐに終了します。あなたは敗北しました。ガーデンボードの中央部分のすべてのスペースをカバーできれば、勝ちです。</w:t>
      </w:r>
    </w:p>
    <w:p w14:paraId="4806AA9C" w14:textId="77777777" w:rsidR="00922499" w:rsidRDefault="00922499" w:rsidP="00922499">
      <w:r>
        <w:rPr>
          <w:rFonts w:hint="eastAsia"/>
        </w:rPr>
        <w:t>この場合、パフォーマンスをスコアリングし、スコアをチャートと比較して、あなたの成績を確認します。</w:t>
      </w:r>
    </w:p>
    <w:p w14:paraId="42CBF04C" w14:textId="77777777" w:rsidR="00922499" w:rsidRDefault="00922499" w:rsidP="00922499"/>
    <w:p w14:paraId="24CE7458" w14:textId="77777777" w:rsidR="00922499" w:rsidRDefault="00922499" w:rsidP="00922499">
      <w:r>
        <w:rPr>
          <w:rFonts w:hint="eastAsia"/>
        </w:rPr>
        <w:t>ソロバリアントのセットアップはマルチプレイヤーゲームと同じですが、以下の変更があります。</w:t>
      </w:r>
    </w:p>
    <w:p w14:paraId="1F521A8E" w14:textId="77777777" w:rsidR="00922499" w:rsidRDefault="00922499" w:rsidP="00922499">
      <w:pPr>
        <w:pStyle w:val="ListParagraph"/>
        <w:numPr>
          <w:ilvl w:val="0"/>
          <w:numId w:val="1"/>
        </w:numPr>
        <w:ind w:leftChars="0"/>
      </w:pPr>
      <w:r>
        <w:t>開始キャラクターカードをシャッフルします。 2枚引き、1枚を正面に向けます。</w:t>
      </w:r>
    </w:p>
    <w:p w14:paraId="2BD1711C" w14:textId="77777777" w:rsidR="00922499" w:rsidRPr="000E08C0" w:rsidRDefault="00922499" w:rsidP="00922499">
      <w:r>
        <w:rPr>
          <w:rFonts w:hint="eastAsia"/>
        </w:rPr>
        <w:t>一致するキャラクターのミニチュアを見つけて、カードに置きます。キャラクターのスキルはゲーム中使用されませんが、視野設定は通常どおり使用されます。</w:t>
      </w:r>
    </w:p>
    <w:p w14:paraId="1CED0981" w14:textId="77777777" w:rsidR="00922499" w:rsidRDefault="00922499" w:rsidP="00922499">
      <w:r>
        <w:rPr>
          <w:rFonts w:hint="eastAsia"/>
        </w:rPr>
        <w:t>キャラクターが庭に配置された後、選択されていないカードを調べます。一致するキャラクターのミニチュアを見つけて、利用可能な場所の庭のボードに置きます。その後、選択されていないキャラクターカードをゲームボックスに戻します。</w:t>
      </w:r>
    </w:p>
    <w:p w14:paraId="4C925488" w14:textId="77777777" w:rsidR="00922499" w:rsidRDefault="00922499" w:rsidP="00922499">
      <w:r>
        <w:rPr>
          <w:rFonts w:hint="eastAsia"/>
        </w:rPr>
        <w:t>このように配置されたキャラクターのミニチュアは、「中立」と見なされます。コインは授与されませんが、ガーデンボードのキャラクタースポットを占有します。ニュートラルキャラクターの視線は、ソロバリアントでは重要ではありません。</w:t>
      </w:r>
    </w:p>
    <w:p w14:paraId="24C1C7DD" w14:textId="77777777" w:rsidR="00922499" w:rsidRDefault="00922499" w:rsidP="00922499">
      <w:r>
        <w:rPr>
          <w:rFonts w:hint="eastAsia"/>
        </w:rPr>
        <w:t>残りの</w:t>
      </w:r>
      <w:r>
        <w:t>4枚の開始キャラクターカードを他の6枚とシャッフルします。これらのカードは、10人のキャラクターのキャラクターデッキで構成されています。メインボードの横に裏向きに置き、上位2人のキャラクターを公開します。</w:t>
      </w:r>
    </w:p>
    <w:p w14:paraId="391D36B0" w14:textId="77777777" w:rsidR="00922499" w:rsidRDefault="00922499" w:rsidP="00922499">
      <w:pPr>
        <w:pStyle w:val="ListParagraph"/>
        <w:numPr>
          <w:ilvl w:val="0"/>
          <w:numId w:val="1"/>
        </w:numPr>
        <w:ind w:leftChars="0"/>
      </w:pPr>
      <w:r>
        <w:t>54枚の装飾カードをシャッフルし、デッキを下向きにします。</w:t>
      </w:r>
    </w:p>
    <w:p w14:paraId="30C7C9C4" w14:textId="77777777" w:rsidR="00922499" w:rsidRDefault="00922499" w:rsidP="00922499">
      <w:pPr>
        <w:pStyle w:val="ListParagraph"/>
        <w:numPr>
          <w:ilvl w:val="1"/>
          <w:numId w:val="1"/>
        </w:numPr>
        <w:ind w:leftChars="0"/>
      </w:pPr>
      <w:r>
        <w:t>2.1上部の4枚の装飾カードを明らかにし、それぞれの庭のタイルスタックの隣に1枚の表を上に置きます。</w:t>
      </w:r>
    </w:p>
    <w:p w14:paraId="7B943725" w14:textId="77777777" w:rsidR="00922499" w:rsidRDefault="00922499" w:rsidP="00922499">
      <w:pPr>
        <w:pStyle w:val="ListParagraph"/>
        <w:numPr>
          <w:ilvl w:val="0"/>
          <w:numId w:val="1"/>
        </w:numPr>
        <w:ind w:leftChars="0"/>
      </w:pPr>
      <w:r>
        <w:t>4つの小さな風景トークンと4つの大きな風景トークンをシャッフルします。 10ページのセットアップ図に示されているスペースに表向きに配置します。覚えておいてください。このモードでは、10ページのセットアップ図の緑の領域で示されるように、中央の庭の外側のスペースにガーデンタイルを配置できません。</w:t>
      </w:r>
    </w:p>
    <w:p w14:paraId="00148992" w14:textId="77777777" w:rsidR="00922499" w:rsidRDefault="00922499" w:rsidP="00922499">
      <w:pPr>
        <w:pStyle w:val="ListParagraph"/>
        <w:numPr>
          <w:ilvl w:val="0"/>
          <w:numId w:val="1"/>
        </w:numPr>
        <w:ind w:leftChars="0"/>
      </w:pPr>
      <w:r>
        <w:t>ソロプレイ用の4つの特別なランタントークンを目の前に置きます。残りのすべてのランタントークンとすべての</w:t>
      </w:r>
      <w:r>
        <w:rPr>
          <w:rFonts w:hint="eastAsia"/>
        </w:rPr>
        <w:t>プレイヤーボード</w:t>
      </w:r>
      <w:r>
        <w:t>をゲームボックスに戻します。</w:t>
      </w:r>
    </w:p>
    <w:p w14:paraId="2EEE54B9" w14:textId="77777777" w:rsidR="00922499" w:rsidRDefault="00922499" w:rsidP="00922499">
      <w:r w:rsidRPr="000E08C0">
        <w:rPr>
          <w:rFonts w:hint="eastAsia"/>
        </w:rPr>
        <w:t>重要：プレイヤーボードは、ソロバリアントでは使用されません。</w:t>
      </w:r>
    </w:p>
    <w:p w14:paraId="48A35D0C" w14:textId="77777777" w:rsidR="00FC7ADE" w:rsidRPr="00922499" w:rsidRDefault="00FC7ADE">
      <w:bookmarkStart w:id="0" w:name="_GoBack"/>
      <w:bookmarkEnd w:id="0"/>
    </w:p>
    <w:sectPr w:rsidR="00FC7ADE" w:rsidRPr="009224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28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99"/>
    <w:rsid w:val="00922499"/>
    <w:rsid w:val="00F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96391C"/>
  <w15:chartTrackingRefBased/>
  <w15:docId w15:val="{CF1042DE-A3F2-4C7A-9437-DD9A3E4F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9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9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Yamashita, Takano</dc:creator>
  <cp:keywords/>
  <dc:description/>
  <cp:lastModifiedBy>Yamashita, Takano</cp:lastModifiedBy>
  <cp:revision>1</cp:revision>
  <dcterms:created xsi:type="dcterms:W3CDTF">2019-10-04T01:42:00Z</dcterms:created>
  <dcterms:modified xsi:type="dcterms:W3CDTF">2019-10-04T01:43:00Z</dcterms:modified>
</cp:coreProperties>
</file>