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B1F60">
      <w:pPr>
        <w:rPr>
          <w:rFonts w:ascii="仿宋_GB2312" w:hAnsi="仿宋_GB2312" w:eastAsia="仿宋_GB2312"/>
          <w:sz w:val="32"/>
        </w:rPr>
      </w:pPr>
      <w:r>
        <w:rPr>
          <w:rFonts w:hint="eastAsia" w:ascii="仿宋_GB2312" w:hAnsi="仿宋_GB2312" w:eastAsia="仿宋_GB2312"/>
          <w:b/>
          <w:sz w:val="32"/>
        </w:rPr>
        <w:t>附件</w:t>
      </w:r>
    </w:p>
    <w:p w14:paraId="5F588C48">
      <w:pPr>
        <w:rPr>
          <w:sz w:val="24"/>
          <w:szCs w:val="28"/>
        </w:rPr>
      </w:pPr>
    </w:p>
    <w:p w14:paraId="207FE16C">
      <w:pPr>
        <w:rPr>
          <w:sz w:val="24"/>
          <w:szCs w:val="28"/>
        </w:rPr>
      </w:pPr>
    </w:p>
    <w:p w14:paraId="458C7002">
      <w:pPr>
        <w:rPr>
          <w:sz w:val="24"/>
          <w:szCs w:val="28"/>
        </w:rPr>
      </w:pPr>
    </w:p>
    <w:p w14:paraId="7BFA38EF">
      <w:pPr>
        <w:pStyle w:val="3"/>
        <w:rPr>
          <w:rFonts w:ascii="黑体" w:hAnsi="宋体" w:eastAsia="黑体"/>
          <w:sz w:val="52"/>
          <w:szCs w:val="52"/>
        </w:rPr>
      </w:pPr>
      <w:r>
        <w:rPr>
          <w:rFonts w:hint="eastAsia" w:ascii="黑体" w:hAnsi="宋体" w:eastAsia="黑体"/>
          <w:sz w:val="52"/>
          <w:szCs w:val="52"/>
        </w:rPr>
        <w:t>南昌大学202</w:t>
      </w:r>
      <w:r>
        <w:rPr>
          <w:rFonts w:hint="eastAsia" w:ascii="黑体" w:hAnsi="宋体" w:eastAsia="黑体"/>
          <w:sz w:val="52"/>
          <w:szCs w:val="52"/>
          <w:lang w:val="en-US" w:eastAsia="zh-CN"/>
        </w:rPr>
        <w:t>6</w:t>
      </w:r>
      <w:r>
        <w:rPr>
          <w:rFonts w:hint="eastAsia" w:ascii="黑体" w:hAnsi="宋体" w:eastAsia="黑体"/>
          <w:sz w:val="52"/>
          <w:szCs w:val="52"/>
        </w:rPr>
        <w:t>年</w:t>
      </w:r>
    </w:p>
    <w:p w14:paraId="15CB81A5">
      <w:pPr>
        <w:pStyle w:val="3"/>
        <w:rPr>
          <w:rFonts w:ascii="黑体" w:hAnsi="宋体" w:eastAsia="黑体"/>
          <w:spacing w:val="16"/>
          <w:sz w:val="52"/>
          <w:szCs w:val="52"/>
        </w:rPr>
      </w:pPr>
      <w:r>
        <w:rPr>
          <w:rFonts w:hint="eastAsia" w:ascii="黑体" w:hAnsi="宋体" w:eastAsia="黑体"/>
          <w:sz w:val="52"/>
          <w:szCs w:val="52"/>
        </w:rPr>
        <w:t>“香樟助学”育人项目中期检查表</w:t>
      </w:r>
    </w:p>
    <w:p w14:paraId="2C4C7318">
      <w:pPr>
        <w:pStyle w:val="3"/>
        <w:spacing w:line="900" w:lineRule="exact"/>
        <w:rPr>
          <w:rFonts w:ascii="黑体" w:hAnsi="宋体" w:eastAsia="黑体"/>
          <w:sz w:val="52"/>
          <w:szCs w:val="52"/>
        </w:rPr>
      </w:pPr>
    </w:p>
    <w:p w14:paraId="6DB41B6C">
      <w:pPr>
        <w:keepNext w:val="0"/>
        <w:keepLines w:val="0"/>
        <w:pageBreakBefore w:val="0"/>
        <w:widowControl w:val="0"/>
        <w:kinsoku/>
        <w:wordWrap/>
        <w:overflowPunct/>
        <w:topLinePunct w:val="0"/>
        <w:autoSpaceDE/>
        <w:autoSpaceDN/>
        <w:bidi w:val="0"/>
        <w:adjustRightInd w:val="0"/>
        <w:snapToGrid w:val="0"/>
        <w:spacing w:line="800" w:lineRule="exact"/>
        <w:ind w:firstLine="1600" w:firstLineChars="300"/>
        <w:jc w:val="both"/>
        <w:textAlignment w:val="auto"/>
        <w:rPr>
          <w:rFonts w:hint="default" w:ascii="Calibri" w:hAnsi="Calibri" w:eastAsia="黑体" w:cs="Times New Roman"/>
          <w:b/>
          <w:sz w:val="32"/>
          <w:szCs w:val="20"/>
          <w:u w:val="single"/>
          <w:lang w:val="en-US" w:eastAsia="zh-CN"/>
        </w:rPr>
      </w:pPr>
      <w:r>
        <w:rPr>
          <w:rFonts w:hint="eastAsia" w:ascii="黑体" w:hAnsi="黑体" w:eastAsia="黑体" w:cs="Times New Roman"/>
          <w:b/>
          <w:spacing w:val="106"/>
          <w:kern w:val="0"/>
          <w:sz w:val="32"/>
          <w:fitText w:val="1920" w:id="582041540"/>
        </w:rPr>
        <w:t>项目名</w:t>
      </w:r>
      <w:r>
        <w:rPr>
          <w:rFonts w:hint="eastAsia" w:ascii="黑体" w:hAnsi="黑体" w:eastAsia="黑体" w:cs="Times New Roman"/>
          <w:b/>
          <w:spacing w:val="2"/>
          <w:kern w:val="0"/>
          <w:sz w:val="32"/>
          <w:fitText w:val="1920" w:id="582041540"/>
        </w:rPr>
        <w:t>称</w:t>
      </w:r>
      <w:r>
        <w:rPr>
          <w:rFonts w:hint="eastAsia" w:ascii="黑体" w:hAnsi="黑体" w:eastAsia="黑体" w:cs="Times New Roman"/>
          <w:b/>
          <w:kern w:val="0"/>
          <w:sz w:val="32"/>
          <w:lang w:eastAsia="zh-CN"/>
        </w:rPr>
        <w:t>：</w:t>
      </w:r>
      <w:r>
        <w:rPr>
          <w:rFonts w:hint="eastAsia" w:ascii="黑体" w:hAnsi="黑体" w:eastAsia="黑体" w:cs="Times New Roman"/>
          <w:b/>
          <w:sz w:val="32"/>
          <w:u w:val="single"/>
          <w:lang w:val="en-US" w:eastAsia="zh-CN"/>
        </w:rPr>
        <w:t xml:space="preserve">       香樟助航 智伴校园       </w:t>
      </w:r>
    </w:p>
    <w:p w14:paraId="10D37F77">
      <w:pPr>
        <w:keepNext w:val="0"/>
        <w:keepLines w:val="0"/>
        <w:pageBreakBefore w:val="0"/>
        <w:widowControl w:val="0"/>
        <w:kinsoku/>
        <w:wordWrap/>
        <w:overflowPunct/>
        <w:topLinePunct w:val="0"/>
        <w:autoSpaceDE/>
        <w:autoSpaceDN/>
        <w:bidi w:val="0"/>
        <w:adjustRightInd w:val="0"/>
        <w:snapToGrid w:val="0"/>
        <w:spacing w:line="800" w:lineRule="exact"/>
        <w:ind w:firstLine="1175" w:firstLineChars="200"/>
        <w:jc w:val="both"/>
        <w:textAlignment w:val="auto"/>
        <w:rPr>
          <w:rFonts w:hint="eastAsia" w:ascii="黑体" w:hAnsi="黑体" w:eastAsia="黑体" w:cs="Times New Roman"/>
          <w:b/>
          <w:sz w:val="32"/>
          <w:lang w:eastAsia="zh-CN"/>
        </w:rPr>
      </w:pPr>
      <w:r>
        <w:rPr>
          <w:rFonts w:hint="eastAsia" w:ascii="黑体" w:hAnsi="黑体" w:eastAsia="黑体" w:cs="Times New Roman"/>
          <w:b/>
          <w:spacing w:val="133"/>
          <w:kern w:val="0"/>
          <w:sz w:val="32"/>
          <w:fitText w:val="1920" w:id="1373530400"/>
        </w:rPr>
        <w:t xml:space="preserve"> 负责</w:t>
      </w:r>
      <w:r>
        <w:rPr>
          <w:rFonts w:hint="eastAsia" w:ascii="黑体" w:hAnsi="黑体" w:eastAsia="黑体" w:cs="Times New Roman"/>
          <w:b/>
          <w:spacing w:val="1"/>
          <w:kern w:val="0"/>
          <w:sz w:val="32"/>
          <w:fitText w:val="1920" w:id="1373530400"/>
        </w:rPr>
        <w:t>人</w:t>
      </w:r>
      <w:r>
        <w:rPr>
          <w:rFonts w:hint="eastAsia" w:ascii="黑体" w:hAnsi="黑体" w:eastAsia="黑体" w:cs="Times New Roman"/>
          <w:b/>
          <w:kern w:val="0"/>
          <w:sz w:val="32"/>
          <w:lang w:eastAsia="zh-CN"/>
        </w:rPr>
        <w:t xml:space="preserve">：  </w:t>
      </w:r>
      <w:r>
        <w:rPr>
          <w:rFonts w:hint="eastAsia" w:ascii="黑体" w:hAnsi="黑体" w:eastAsia="黑体" w:cs="Times New Roman"/>
          <w:b/>
          <w:sz w:val="32"/>
          <w:u w:val="single"/>
          <w:lang w:val="en-US" w:eastAsia="zh-CN"/>
        </w:rPr>
        <w:t xml:space="preserve"> </w:t>
      </w:r>
      <w:r>
        <w:rPr>
          <w:rFonts w:hint="eastAsia" w:ascii="黑体" w:hAnsi="黑体" w:eastAsia="黑体" w:cs="Times New Roman"/>
          <w:b/>
          <w:kern w:val="0"/>
          <w:sz w:val="32"/>
          <w:u w:val="single"/>
          <w:lang w:eastAsia="zh-CN"/>
        </w:rPr>
        <w:t xml:space="preserve">周俊杰 </w:t>
      </w:r>
      <w:r>
        <w:rPr>
          <w:rFonts w:hint="eastAsia" w:ascii="黑体" w:hAnsi="黑体" w:eastAsia="黑体" w:cs="Times New Roman"/>
          <w:b/>
          <w:kern w:val="0"/>
          <w:sz w:val="32"/>
          <w:u w:val="none"/>
          <w:lang w:val="en-US" w:eastAsia="zh-CN"/>
        </w:rPr>
        <w:t xml:space="preserve"> 学 号：</w:t>
      </w:r>
      <w:r>
        <w:rPr>
          <w:rFonts w:hint="eastAsia" w:ascii="黑体" w:hAnsi="黑体" w:eastAsia="黑体" w:cs="Times New Roman"/>
          <w:b/>
          <w:sz w:val="32"/>
          <w:u w:val="single"/>
          <w:lang w:val="en-US" w:eastAsia="zh-CN"/>
        </w:rPr>
        <w:t xml:space="preserve">   </w:t>
      </w:r>
      <w:r>
        <w:rPr>
          <w:rFonts w:hint="eastAsia" w:ascii="黑体" w:hAnsi="黑体" w:eastAsia="黑体" w:cs="Times New Roman"/>
          <w:b/>
          <w:kern w:val="0"/>
          <w:sz w:val="32"/>
          <w:u w:val="single"/>
          <w:lang w:val="en-US" w:eastAsia="zh-CN"/>
        </w:rPr>
        <w:t xml:space="preserve">6004124247   </w:t>
      </w:r>
    </w:p>
    <w:p w14:paraId="2CED79BC">
      <w:pPr>
        <w:keepNext w:val="0"/>
        <w:keepLines w:val="0"/>
        <w:pageBreakBefore w:val="0"/>
        <w:widowControl w:val="0"/>
        <w:kinsoku/>
        <w:wordWrap/>
        <w:overflowPunct/>
        <w:topLinePunct w:val="0"/>
        <w:autoSpaceDE/>
        <w:autoSpaceDN/>
        <w:bidi w:val="0"/>
        <w:adjustRightInd w:val="0"/>
        <w:snapToGrid w:val="0"/>
        <w:spacing w:line="800" w:lineRule="exact"/>
        <w:ind w:firstLine="1600" w:firstLineChars="300"/>
        <w:jc w:val="both"/>
        <w:textAlignment w:val="auto"/>
        <w:rPr>
          <w:rFonts w:hint="eastAsia" w:ascii="黑体" w:hAnsi="黑体" w:eastAsia="黑体" w:cs="Times New Roman"/>
          <w:b/>
          <w:sz w:val="32"/>
          <w:lang w:eastAsia="zh-CN"/>
        </w:rPr>
      </w:pPr>
      <w:r>
        <w:rPr>
          <w:rFonts w:hint="eastAsia" w:ascii="黑体" w:hAnsi="黑体" w:eastAsia="黑体" w:cs="Times New Roman"/>
          <w:b/>
          <w:spacing w:val="106"/>
          <w:kern w:val="0"/>
          <w:sz w:val="32"/>
          <w:fitText w:val="1920" w:id="1938294384"/>
        </w:rPr>
        <w:t>联系电</w:t>
      </w:r>
      <w:r>
        <w:rPr>
          <w:rFonts w:hint="eastAsia" w:ascii="黑体" w:hAnsi="黑体" w:eastAsia="黑体" w:cs="Times New Roman"/>
          <w:b/>
          <w:spacing w:val="2"/>
          <w:kern w:val="0"/>
          <w:sz w:val="32"/>
          <w:fitText w:val="1920" w:id="1938294384"/>
        </w:rPr>
        <w:t>话</w:t>
      </w:r>
      <w:r>
        <w:rPr>
          <w:rFonts w:hint="eastAsia" w:ascii="黑体" w:hAnsi="黑体" w:eastAsia="黑体" w:cs="Times New Roman"/>
          <w:b/>
          <w:kern w:val="0"/>
          <w:sz w:val="32"/>
          <w:lang w:eastAsia="zh-CN"/>
        </w:rPr>
        <w:t>：</w:t>
      </w:r>
      <w:r>
        <w:rPr>
          <w:rFonts w:hint="eastAsia" w:ascii="黑体" w:hAnsi="黑体" w:eastAsia="黑体" w:cs="Times New Roman"/>
          <w:b/>
          <w:sz w:val="32"/>
          <w:u w:val="single"/>
          <w:lang w:val="en-US" w:eastAsia="zh-CN"/>
        </w:rPr>
        <w:t xml:space="preserve">       </w:t>
      </w:r>
      <w:r>
        <w:rPr>
          <w:rFonts w:hint="eastAsia" w:ascii="黑体" w:hAnsi="黑体" w:eastAsia="黑体" w:cs="Times New Roman"/>
          <w:b/>
          <w:kern w:val="0"/>
          <w:sz w:val="32"/>
          <w:u w:val="single"/>
          <w:lang w:val="en-US" w:eastAsia="zh-CN"/>
        </w:rPr>
        <w:t xml:space="preserve">13677092640             </w:t>
      </w:r>
    </w:p>
    <w:p w14:paraId="18E8170C">
      <w:pPr>
        <w:keepNext w:val="0"/>
        <w:keepLines w:val="0"/>
        <w:pageBreakBefore w:val="0"/>
        <w:widowControl w:val="0"/>
        <w:kinsoku/>
        <w:wordWrap/>
        <w:overflowPunct/>
        <w:topLinePunct w:val="0"/>
        <w:autoSpaceDE/>
        <w:autoSpaceDN/>
        <w:bidi w:val="0"/>
        <w:adjustRightInd w:val="0"/>
        <w:snapToGrid w:val="0"/>
        <w:spacing w:line="800" w:lineRule="exact"/>
        <w:ind w:firstLine="1600" w:firstLineChars="300"/>
        <w:jc w:val="both"/>
        <w:textAlignment w:val="auto"/>
        <w:rPr>
          <w:rFonts w:hint="default" w:ascii="黑体" w:hAnsi="黑体" w:eastAsia="黑体" w:cs="Times New Roman"/>
          <w:b/>
          <w:sz w:val="32"/>
          <w:lang w:val="en-US" w:eastAsia="zh-CN"/>
        </w:rPr>
      </w:pPr>
      <w:r>
        <w:rPr>
          <w:rFonts w:hint="eastAsia" w:ascii="黑体" w:hAnsi="黑体" w:eastAsia="黑体" w:cs="Times New Roman"/>
          <w:b/>
          <w:spacing w:val="106"/>
          <w:kern w:val="0"/>
          <w:sz w:val="32"/>
          <w:fitText w:val="1920" w:id="277628491"/>
          <w:lang w:val="en-US" w:eastAsia="zh-CN"/>
        </w:rPr>
        <w:t>指导老</w:t>
      </w:r>
      <w:r>
        <w:rPr>
          <w:rFonts w:hint="eastAsia" w:ascii="黑体" w:hAnsi="黑体" w:eastAsia="黑体" w:cs="Times New Roman"/>
          <w:b/>
          <w:spacing w:val="2"/>
          <w:kern w:val="0"/>
          <w:sz w:val="32"/>
          <w:fitText w:val="1920" w:id="277628491"/>
          <w:lang w:val="en-US" w:eastAsia="zh-CN"/>
        </w:rPr>
        <w:t>师</w:t>
      </w:r>
      <w:r>
        <w:rPr>
          <w:rFonts w:hint="eastAsia" w:ascii="黑体" w:hAnsi="黑体" w:eastAsia="黑体" w:cs="Times New Roman"/>
          <w:b/>
          <w:kern w:val="0"/>
          <w:sz w:val="32"/>
          <w:lang w:val="en-US" w:eastAsia="zh-CN"/>
        </w:rPr>
        <w:t>：</w:t>
      </w:r>
      <w:r>
        <w:rPr>
          <w:rFonts w:hint="eastAsia" w:ascii="黑体" w:hAnsi="黑体" w:eastAsia="黑体" w:cs="Times New Roman"/>
          <w:b/>
          <w:sz w:val="32"/>
          <w:u w:val="single"/>
          <w:lang w:val="en-US" w:eastAsia="zh-CN"/>
        </w:rPr>
        <w:t xml:space="preserve">       </w:t>
      </w:r>
      <w:r>
        <w:rPr>
          <w:rFonts w:hint="eastAsia" w:ascii="黑体" w:hAnsi="黑体" w:eastAsia="黑体" w:cs="Times New Roman"/>
          <w:b/>
          <w:kern w:val="0"/>
          <w:sz w:val="32"/>
          <w:u w:val="single"/>
          <w:lang w:val="en-US" w:eastAsia="zh-CN"/>
        </w:rPr>
        <w:t xml:space="preserve">夏勍                    </w:t>
      </w:r>
    </w:p>
    <w:p w14:paraId="3059D59B">
      <w:pPr>
        <w:keepNext w:val="0"/>
        <w:keepLines w:val="0"/>
        <w:pageBreakBefore w:val="0"/>
        <w:widowControl w:val="0"/>
        <w:kinsoku/>
        <w:wordWrap/>
        <w:overflowPunct/>
        <w:topLinePunct w:val="0"/>
        <w:autoSpaceDE/>
        <w:autoSpaceDN/>
        <w:bidi w:val="0"/>
        <w:adjustRightInd w:val="0"/>
        <w:snapToGrid w:val="0"/>
        <w:spacing w:line="800" w:lineRule="exact"/>
        <w:ind w:firstLineChars="0"/>
        <w:jc w:val="both"/>
        <w:textAlignment w:val="auto"/>
        <w:rPr>
          <w:rFonts w:hint="eastAsia" w:ascii="黑体" w:hAnsi="黑体" w:eastAsia="黑体" w:cs="Times New Roman"/>
          <w:b/>
          <w:sz w:val="32"/>
          <w:lang w:val="en-US" w:eastAsia="zh-CN"/>
        </w:rPr>
      </w:pPr>
      <w:r>
        <w:rPr>
          <w:rFonts w:hint="eastAsia" w:ascii="黑体" w:hAnsi="黑体" w:eastAsia="黑体" w:cs="Times New Roman"/>
          <w:b/>
          <w:sz w:val="32"/>
          <w:lang w:val="en-US" w:eastAsia="zh-CN"/>
        </w:rPr>
        <w:t xml:space="preserve">          项目所在</w:t>
      </w:r>
      <w:r>
        <w:rPr>
          <w:rFonts w:hint="eastAsia" w:ascii="黑体" w:hAnsi="黑体" w:eastAsia="黑体" w:cs="Times New Roman"/>
          <w:b/>
          <w:sz w:val="32"/>
        </w:rPr>
        <w:t>单位</w:t>
      </w:r>
      <w:r>
        <w:rPr>
          <w:rFonts w:hint="eastAsia" w:ascii="黑体" w:hAnsi="黑体" w:eastAsia="黑体" w:cs="Times New Roman"/>
          <w:b/>
          <w:sz w:val="32"/>
          <w:lang w:eastAsia="zh-CN"/>
        </w:rPr>
        <w:t>：</w:t>
      </w:r>
      <w:r>
        <w:rPr>
          <w:rFonts w:hint="eastAsia" w:ascii="黑体" w:hAnsi="黑体" w:eastAsia="黑体" w:cs="Times New Roman"/>
          <w:b/>
          <w:sz w:val="32"/>
          <w:u w:val="single"/>
          <w:lang w:val="en-US" w:eastAsia="zh-CN"/>
        </w:rPr>
        <w:t xml:space="preserve">       </w:t>
      </w:r>
      <w:r>
        <w:rPr>
          <w:rFonts w:hint="eastAsia" w:ascii="黑体" w:hAnsi="黑体" w:eastAsia="黑体" w:cs="Times New Roman"/>
          <w:b/>
          <w:kern w:val="0"/>
          <w:sz w:val="32"/>
          <w:u w:val="single"/>
          <w:lang w:val="en-US" w:eastAsia="zh-CN"/>
        </w:rPr>
        <w:t xml:space="preserve">党委学生工作部          </w:t>
      </w:r>
    </w:p>
    <w:p w14:paraId="669379CD">
      <w:pPr>
        <w:adjustRightInd w:val="0"/>
        <w:snapToGrid w:val="0"/>
        <w:spacing w:line="800" w:lineRule="exact"/>
        <w:ind w:firstLine="1587" w:firstLineChars="494"/>
        <w:rPr>
          <w:rFonts w:ascii="黑体" w:hAnsi="黑体" w:eastAsia="黑体"/>
          <w:b/>
          <w:sz w:val="32"/>
        </w:rPr>
      </w:pPr>
    </w:p>
    <w:p w14:paraId="5B2CA784">
      <w:pPr>
        <w:widowControl/>
        <w:spacing w:line="560" w:lineRule="exact"/>
        <w:rPr>
          <w:rFonts w:ascii="仿宋_GB2312" w:hAnsi="宋体" w:eastAsia="仿宋_GB2312"/>
          <w:sz w:val="28"/>
        </w:rPr>
      </w:pPr>
    </w:p>
    <w:p w14:paraId="76B34EFB">
      <w:pPr>
        <w:widowControl/>
        <w:spacing w:line="560" w:lineRule="exact"/>
        <w:rPr>
          <w:rFonts w:ascii="仿宋_GB2312" w:hAnsi="宋体" w:eastAsia="仿宋_GB2312"/>
          <w:sz w:val="28"/>
        </w:rPr>
      </w:pPr>
    </w:p>
    <w:p w14:paraId="4AC48EFD">
      <w:pPr>
        <w:widowControl/>
        <w:spacing w:line="560" w:lineRule="exact"/>
        <w:rPr>
          <w:rFonts w:ascii="仿宋_GB2312" w:hAnsi="宋体" w:eastAsia="仿宋_GB2312"/>
          <w:sz w:val="28"/>
        </w:rPr>
      </w:pPr>
    </w:p>
    <w:p w14:paraId="0B8A0150">
      <w:pPr>
        <w:spacing w:line="360" w:lineRule="auto"/>
        <w:rPr>
          <w:b/>
          <w:sz w:val="32"/>
        </w:rPr>
      </w:pPr>
    </w:p>
    <w:p w14:paraId="72C50DC0">
      <w:pPr>
        <w:spacing w:line="420" w:lineRule="exact"/>
        <w:rPr>
          <w:rFonts w:ascii="仿宋_GB2312" w:hAnsi="宋体" w:eastAsia="仿宋_GB2312"/>
          <w:sz w:val="30"/>
          <w:szCs w:val="20"/>
        </w:rPr>
      </w:pPr>
    </w:p>
    <w:p w14:paraId="5D476065">
      <w:pPr>
        <w:widowControl/>
        <w:jc w:val="center"/>
        <w:textAlignment w:val="center"/>
        <w:rPr>
          <w:rFonts w:ascii="黑体" w:hAnsi="黑体" w:eastAsia="黑体"/>
          <w:sz w:val="28"/>
          <w:szCs w:val="28"/>
        </w:rPr>
      </w:pPr>
      <w:r>
        <w:rPr>
          <w:rFonts w:hint="eastAsia" w:ascii="黑体" w:hAnsi="黑体" w:eastAsia="黑体"/>
          <w:sz w:val="28"/>
          <w:szCs w:val="28"/>
        </w:rPr>
        <w:t>南昌大学学生资助中心</w:t>
      </w:r>
    </w:p>
    <w:p w14:paraId="45F4B8C1">
      <w:pPr>
        <w:sectPr>
          <w:footerReference r:id="rId3" w:type="even"/>
          <w:pgSz w:w="11906" w:h="16838"/>
          <w:pgMar w:top="1928" w:right="1418" w:bottom="1701" w:left="1474" w:header="851" w:footer="992" w:gutter="0"/>
          <w:cols w:space="720" w:num="1"/>
          <w:docGrid w:type="lines" w:linePitch="312" w:charSpace="0"/>
        </w:sectPr>
      </w:pPr>
    </w:p>
    <w:p w14:paraId="6666FCC2">
      <w:pPr>
        <w:jc w:val="center"/>
        <w:rPr>
          <w:rFonts w:hint="eastAsia"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t>一、项目情况</w:t>
      </w:r>
    </w:p>
    <w:tbl>
      <w:tblPr>
        <w:tblStyle w:val="4"/>
        <w:tblpPr w:leftFromText="180" w:rightFromText="180" w:vertAnchor="text" w:horzAnchor="page" w:tblpX="1526" w:tblpY="4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1225"/>
        <w:gridCol w:w="1525"/>
        <w:gridCol w:w="1650"/>
        <w:gridCol w:w="675"/>
        <w:gridCol w:w="1375"/>
        <w:gridCol w:w="1525"/>
      </w:tblGrid>
      <w:tr w14:paraId="5A9D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143" w:type="dxa"/>
            <w:gridSpan w:val="2"/>
            <w:noWrap w:val="0"/>
            <w:vAlign w:val="center"/>
          </w:tcPr>
          <w:p w14:paraId="35B9A6FC">
            <w:pPr>
              <w:jc w:val="center"/>
              <w:rPr>
                <w:rFonts w:hint="default" w:ascii="仿宋_GB2312" w:eastAsia="仿宋_GB2312" w:cs="Times New Roman"/>
                <w:sz w:val="24"/>
                <w:lang w:val="en-US" w:eastAsia="zh-CN"/>
              </w:rPr>
            </w:pPr>
            <w:r>
              <w:rPr>
                <w:rFonts w:hint="eastAsia" w:ascii="仿宋_GB2312" w:eastAsia="仿宋_GB2312" w:cs="Times New Roman"/>
                <w:b/>
                <w:bCs/>
                <w:sz w:val="24"/>
                <w:lang w:val="en-US" w:eastAsia="zh-CN"/>
              </w:rPr>
              <w:t>项目名称</w:t>
            </w:r>
          </w:p>
        </w:tc>
        <w:tc>
          <w:tcPr>
            <w:tcW w:w="6750" w:type="dxa"/>
            <w:gridSpan w:val="5"/>
            <w:noWrap w:val="0"/>
            <w:vAlign w:val="center"/>
          </w:tcPr>
          <w:p w14:paraId="3AB55F44">
            <w:pPr>
              <w:jc w:val="center"/>
            </w:pPr>
            <w:r>
              <w:rPr>
                <w:rFonts w:ascii="仿宋_GB2312" w:hAnsi="仿宋_GB2312" w:eastAsia="仿宋_GB2312"/>
                <w:b w:val="0"/>
                <w:color w:val="000000"/>
                <w:sz w:val="24"/>
              </w:rPr>
              <w:t>香樟助航 智伴校园</w:t>
            </w:r>
          </w:p>
        </w:tc>
      </w:tr>
      <w:tr w14:paraId="020E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143" w:type="dxa"/>
            <w:gridSpan w:val="2"/>
            <w:noWrap w:val="0"/>
            <w:vAlign w:val="center"/>
          </w:tcPr>
          <w:p w14:paraId="0E8F2E64">
            <w:pPr>
              <w:jc w:val="center"/>
              <w:rPr>
                <w:rFonts w:hint="eastAsia" w:ascii="仿宋_GB2312" w:eastAsia="仿宋_GB2312" w:cs="Times New Roman"/>
                <w:sz w:val="24"/>
                <w:lang w:val="en-US" w:eastAsia="zh-CN"/>
              </w:rPr>
            </w:pPr>
            <w:r>
              <w:rPr>
                <w:rFonts w:hint="eastAsia" w:ascii="仿宋_GB2312" w:eastAsia="仿宋_GB2312" w:cs="Times New Roman"/>
                <w:b/>
                <w:bCs/>
                <w:sz w:val="24"/>
                <w:lang w:val="en-US" w:eastAsia="zh-CN"/>
              </w:rPr>
              <w:t>指导老师姓名</w:t>
            </w:r>
          </w:p>
        </w:tc>
        <w:tc>
          <w:tcPr>
            <w:tcW w:w="1525" w:type="dxa"/>
            <w:noWrap w:val="0"/>
            <w:vAlign w:val="center"/>
          </w:tcPr>
          <w:p w14:paraId="341FF389">
            <w:pPr>
              <w:jc w:val="center"/>
            </w:pPr>
            <w:r>
              <w:rPr>
                <w:rFonts w:hint="eastAsia" w:ascii="仿宋" w:hAnsi="仿宋" w:eastAsia="仿宋" w:cs="仿宋"/>
                <w:b w:val="0"/>
                <w:color w:val="000000"/>
                <w:sz w:val="24"/>
                <w:lang w:eastAsia="zh-CN"/>
              </w:rPr>
              <w:t>夏</w:t>
            </w:r>
            <w:r>
              <w:rPr>
                <w:rFonts w:hint="eastAsia" w:ascii="仿宋" w:hAnsi="仿宋" w:eastAsia="仿宋" w:cs="仿宋"/>
                <w:b w:val="0"/>
                <w:color w:val="000000"/>
                <w:sz w:val="24"/>
              </w:rPr>
              <w:t>勍</w:t>
            </w:r>
          </w:p>
        </w:tc>
        <w:tc>
          <w:tcPr>
            <w:tcW w:w="2325" w:type="dxa"/>
            <w:gridSpan w:val="2"/>
            <w:noWrap w:val="0"/>
            <w:vAlign w:val="center"/>
          </w:tcPr>
          <w:p w14:paraId="0B9309A1">
            <w:pPr>
              <w:jc w:val="center"/>
              <w:rPr>
                <w:rFonts w:hint="eastAsia" w:ascii="仿宋_GB2312" w:eastAsia="仿宋_GB2312" w:cs="Times New Roman"/>
                <w:sz w:val="24"/>
              </w:rPr>
            </w:pPr>
            <w:r>
              <w:rPr>
                <w:rFonts w:hint="eastAsia" w:ascii="仿宋_GB2312" w:eastAsia="仿宋_GB2312" w:cs="Times New Roman"/>
                <w:b/>
                <w:bCs/>
                <w:sz w:val="24"/>
                <w:lang w:val="en-US" w:eastAsia="zh-CN"/>
              </w:rPr>
              <w:t>指导老师联系电话</w:t>
            </w:r>
          </w:p>
        </w:tc>
        <w:tc>
          <w:tcPr>
            <w:tcW w:w="2900" w:type="dxa"/>
            <w:gridSpan w:val="2"/>
            <w:noWrap w:val="0"/>
            <w:vAlign w:val="center"/>
          </w:tcPr>
          <w:p w14:paraId="32A4EA7C">
            <w:pPr>
              <w:jc w:val="center"/>
            </w:pPr>
            <w:r>
              <w:rPr>
                <w:rFonts w:ascii="仿宋_GB2312" w:hAnsi="仿宋_GB2312" w:eastAsia="仿宋_GB2312"/>
                <w:b w:val="0"/>
                <w:color w:val="000000"/>
                <w:sz w:val="24"/>
              </w:rPr>
              <w:t>13097205819</w:t>
            </w:r>
          </w:p>
        </w:tc>
      </w:tr>
      <w:tr w14:paraId="2E22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2143" w:type="dxa"/>
            <w:gridSpan w:val="2"/>
            <w:noWrap w:val="0"/>
            <w:vAlign w:val="center"/>
          </w:tcPr>
          <w:p w14:paraId="7144AF47">
            <w:pPr>
              <w:jc w:val="center"/>
              <w:rPr>
                <w:rFonts w:hint="default" w:ascii="仿宋_GB2312" w:eastAsia="仿宋_GB2312" w:cs="Times New Roman"/>
                <w:sz w:val="24"/>
                <w:lang w:val="en-US"/>
              </w:rPr>
            </w:pPr>
            <w:r>
              <w:rPr>
                <w:rFonts w:hint="eastAsia" w:ascii="仿宋_GB2312" w:eastAsia="仿宋_GB2312" w:cs="Times New Roman"/>
                <w:b/>
                <w:bCs/>
                <w:sz w:val="24"/>
                <w:lang w:val="en-US" w:eastAsia="zh-CN"/>
              </w:rPr>
              <w:t>申报项目级别</w:t>
            </w:r>
          </w:p>
        </w:tc>
        <w:tc>
          <w:tcPr>
            <w:tcW w:w="1525" w:type="dxa"/>
            <w:noWrap w:val="0"/>
            <w:vAlign w:val="center"/>
          </w:tcPr>
          <w:p w14:paraId="3A4A3BE0">
            <w:pPr>
              <w:jc w:val="center"/>
            </w:pPr>
            <w:r>
              <w:rPr>
                <w:rFonts w:ascii="仿宋_GB2312" w:hAnsi="仿宋_GB2312" w:eastAsia="仿宋_GB2312"/>
                <w:b w:val="0"/>
                <w:color w:val="000000"/>
                <w:sz w:val="24"/>
              </w:rPr>
              <w:t>重点项目</w:t>
            </w:r>
          </w:p>
        </w:tc>
        <w:tc>
          <w:tcPr>
            <w:tcW w:w="2325" w:type="dxa"/>
            <w:gridSpan w:val="2"/>
            <w:noWrap w:val="0"/>
            <w:vAlign w:val="center"/>
          </w:tcPr>
          <w:p w14:paraId="6269E781">
            <w:pPr>
              <w:jc w:val="center"/>
              <w:rPr>
                <w:rFonts w:hint="eastAsia" w:ascii="仿宋_GB2312" w:eastAsia="仿宋_GB2312" w:cs="Times New Roman"/>
                <w:sz w:val="24"/>
                <w:lang w:val="en-US" w:eastAsia="zh-CN"/>
              </w:rPr>
            </w:pPr>
            <w:r>
              <w:rPr>
                <w:rFonts w:hint="eastAsia" w:ascii="仿宋_GB2312" w:eastAsia="仿宋_GB2312" w:cs="Times New Roman"/>
                <w:b/>
                <w:bCs/>
                <w:sz w:val="24"/>
                <w:lang w:val="en-US" w:eastAsia="zh-CN"/>
              </w:rPr>
              <w:t>项目所在单位</w:t>
            </w:r>
          </w:p>
        </w:tc>
        <w:tc>
          <w:tcPr>
            <w:tcW w:w="2900" w:type="dxa"/>
            <w:gridSpan w:val="2"/>
            <w:noWrap w:val="0"/>
            <w:vAlign w:val="center"/>
          </w:tcPr>
          <w:p w14:paraId="718705CC">
            <w:pPr>
              <w:jc w:val="center"/>
            </w:pPr>
            <w:r>
              <w:rPr>
                <w:rFonts w:ascii="仿宋_GB2312" w:hAnsi="仿宋_GB2312" w:eastAsia="仿宋_GB2312"/>
                <w:b w:val="0"/>
                <w:color w:val="000000"/>
                <w:sz w:val="24"/>
              </w:rPr>
              <w:t>党委学生工作部</w:t>
            </w:r>
          </w:p>
        </w:tc>
      </w:tr>
      <w:tr w14:paraId="1EA6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trPr>
        <w:tc>
          <w:tcPr>
            <w:tcW w:w="2143" w:type="dxa"/>
            <w:gridSpan w:val="2"/>
            <w:noWrap w:val="0"/>
            <w:vAlign w:val="center"/>
          </w:tcPr>
          <w:p w14:paraId="2EBFB0A4">
            <w:pPr>
              <w:jc w:val="center"/>
              <w:rPr>
                <w:rFonts w:hint="eastAsia" w:ascii="仿宋_GB2312" w:eastAsia="仿宋_GB2312" w:cs="Times New Roman"/>
                <w:sz w:val="24"/>
                <w:lang w:val="en-US" w:eastAsia="zh-CN"/>
              </w:rPr>
            </w:pPr>
            <w:r>
              <w:rPr>
                <w:rFonts w:hint="eastAsia" w:ascii="仿宋_GB2312" w:eastAsia="仿宋_GB2312" w:cs="Times New Roman"/>
                <w:b/>
                <w:bCs/>
                <w:sz w:val="24"/>
                <w:lang w:val="en-US" w:eastAsia="zh-CN"/>
              </w:rPr>
              <w:t>申报项目类别</w:t>
            </w:r>
          </w:p>
        </w:tc>
        <w:tc>
          <w:tcPr>
            <w:tcW w:w="6750" w:type="dxa"/>
            <w:gridSpan w:val="5"/>
            <w:noWrap w:val="0"/>
            <w:vAlign w:val="center"/>
          </w:tcPr>
          <w:p w14:paraId="010E63C1">
            <w:pPr>
              <w:spacing w:before="0" w:after="0" w:line="240" w:lineRule="auto"/>
              <w:jc w:val="center"/>
            </w:pPr>
            <w:r>
              <w:rPr>
                <w:rFonts w:ascii="仿宋_GB2312" w:hAnsi="仿宋_GB2312" w:eastAsia="仿宋_GB2312"/>
                <w:sz w:val="24"/>
              </w:rPr>
              <w:t>□思想引领类  ☑学业发展类  □职业发展类  □视野开阔类</w:t>
            </w:r>
          </w:p>
          <w:p w14:paraId="411C64E2">
            <w:pPr>
              <w:spacing w:before="0" w:after="0" w:line="240" w:lineRule="auto"/>
              <w:jc w:val="center"/>
            </w:pPr>
            <w:r>
              <w:rPr>
                <w:rFonts w:ascii="仿宋_GB2312" w:hAnsi="仿宋_GB2312" w:eastAsia="仿宋_GB2312"/>
                <w:sz w:val="24"/>
              </w:rPr>
              <w:t>□素质拓展类  □志愿服务与社会责任类 □其他类</w:t>
            </w:r>
          </w:p>
        </w:tc>
      </w:tr>
      <w:tr w14:paraId="6D8E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8893" w:type="dxa"/>
            <w:gridSpan w:val="7"/>
            <w:noWrap w:val="0"/>
            <w:vAlign w:val="center"/>
          </w:tcPr>
          <w:p w14:paraId="5268CDD3">
            <w:pPr>
              <w:jc w:val="center"/>
              <w:rPr>
                <w:rFonts w:hint="eastAsia" w:ascii="仿宋_GB2312" w:eastAsia="仿宋_GB2312" w:cs="Times New Roman"/>
                <w:sz w:val="24"/>
              </w:rPr>
            </w:pPr>
            <w:r>
              <w:rPr>
                <w:rFonts w:hint="eastAsia" w:ascii="仿宋_GB2312" w:eastAsia="仿宋_GB2312" w:cs="Times New Roman"/>
                <w:b/>
                <w:bCs/>
                <w:sz w:val="24"/>
                <w:lang w:val="en-US" w:eastAsia="zh-CN"/>
              </w:rPr>
              <w:t>项目成员基本情况</w:t>
            </w:r>
          </w:p>
        </w:tc>
      </w:tr>
      <w:tr w14:paraId="6A93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18" w:type="dxa"/>
            <w:noWrap w:val="0"/>
            <w:vAlign w:val="center"/>
          </w:tcPr>
          <w:p w14:paraId="0B528415">
            <w:pPr>
              <w:jc w:val="center"/>
              <w:rPr>
                <w:rFonts w:hint="eastAsia" w:ascii="仿宋_GB2312" w:eastAsia="仿宋_GB2312" w:cs="Times New Roman"/>
                <w:b/>
                <w:bCs/>
                <w:sz w:val="24"/>
                <w:lang w:val="en-US" w:eastAsia="zh-CN"/>
              </w:rPr>
            </w:pPr>
            <w:r>
              <w:rPr>
                <w:rFonts w:hint="eastAsia" w:ascii="仿宋_GB2312" w:eastAsia="仿宋_GB2312" w:cs="Times New Roman"/>
                <w:b/>
                <w:bCs/>
                <w:sz w:val="24"/>
                <w:lang w:val="en-US" w:eastAsia="zh-CN"/>
              </w:rPr>
              <w:t>序号</w:t>
            </w:r>
          </w:p>
        </w:tc>
        <w:tc>
          <w:tcPr>
            <w:tcW w:w="1225" w:type="dxa"/>
            <w:noWrap w:val="0"/>
            <w:vAlign w:val="center"/>
          </w:tcPr>
          <w:p w14:paraId="237EC4E4">
            <w:pPr>
              <w:jc w:val="center"/>
              <w:rPr>
                <w:rFonts w:hint="eastAsia" w:ascii="仿宋_GB2312" w:eastAsia="仿宋_GB2312" w:cs="Times New Roman"/>
                <w:b/>
                <w:bCs/>
                <w:sz w:val="24"/>
                <w:lang w:val="en-US" w:eastAsia="zh-CN"/>
              </w:rPr>
            </w:pPr>
            <w:r>
              <w:rPr>
                <w:rFonts w:hint="eastAsia" w:ascii="仿宋_GB2312" w:eastAsia="仿宋_GB2312" w:cs="Times New Roman"/>
                <w:b/>
                <w:bCs/>
                <w:sz w:val="24"/>
                <w:lang w:val="en-US" w:eastAsia="zh-CN"/>
              </w:rPr>
              <w:t>姓名</w:t>
            </w:r>
          </w:p>
        </w:tc>
        <w:tc>
          <w:tcPr>
            <w:tcW w:w="1525" w:type="dxa"/>
            <w:noWrap w:val="0"/>
            <w:vAlign w:val="center"/>
          </w:tcPr>
          <w:p w14:paraId="42EEB139">
            <w:pPr>
              <w:jc w:val="center"/>
              <w:rPr>
                <w:rFonts w:hint="eastAsia" w:ascii="仿宋_GB2312" w:eastAsia="仿宋_GB2312" w:cs="Times New Roman"/>
                <w:b/>
                <w:bCs/>
                <w:sz w:val="24"/>
                <w:lang w:val="en-US" w:eastAsia="zh-CN"/>
              </w:rPr>
            </w:pPr>
            <w:r>
              <w:rPr>
                <w:rFonts w:hint="eastAsia" w:ascii="仿宋_GB2312" w:eastAsia="仿宋_GB2312" w:cs="Times New Roman"/>
                <w:b/>
                <w:bCs/>
                <w:sz w:val="24"/>
                <w:lang w:val="en-US" w:eastAsia="zh-CN"/>
              </w:rPr>
              <w:t>学号</w:t>
            </w:r>
          </w:p>
        </w:tc>
        <w:tc>
          <w:tcPr>
            <w:tcW w:w="1650" w:type="dxa"/>
            <w:noWrap w:val="0"/>
            <w:vAlign w:val="center"/>
          </w:tcPr>
          <w:p w14:paraId="0B2948E6">
            <w:pPr>
              <w:jc w:val="center"/>
              <w:rPr>
                <w:rFonts w:hint="eastAsia" w:ascii="仿宋_GB2312" w:eastAsia="仿宋_GB2312" w:cs="Times New Roman"/>
                <w:b/>
                <w:bCs/>
                <w:sz w:val="24"/>
                <w:lang w:val="en-US" w:eastAsia="zh-CN"/>
              </w:rPr>
            </w:pPr>
            <w:r>
              <w:rPr>
                <w:rFonts w:hint="eastAsia" w:ascii="仿宋_GB2312" w:eastAsia="仿宋_GB2312" w:cs="Times New Roman"/>
                <w:b/>
                <w:bCs/>
                <w:sz w:val="24"/>
                <w:lang w:val="en-US" w:eastAsia="zh-CN"/>
              </w:rPr>
              <w:t>联系电话</w:t>
            </w:r>
          </w:p>
        </w:tc>
        <w:tc>
          <w:tcPr>
            <w:tcW w:w="2050" w:type="dxa"/>
            <w:gridSpan w:val="2"/>
            <w:noWrap w:val="0"/>
            <w:vAlign w:val="center"/>
          </w:tcPr>
          <w:p w14:paraId="76EF4110">
            <w:pPr>
              <w:jc w:val="center"/>
              <w:rPr>
                <w:rFonts w:hint="default" w:ascii="仿宋_GB2312" w:eastAsia="仿宋_GB2312" w:cs="Times New Roman"/>
                <w:b/>
                <w:bCs/>
                <w:sz w:val="24"/>
                <w:lang w:val="en-US" w:eastAsia="zh-CN"/>
              </w:rPr>
            </w:pPr>
            <w:r>
              <w:rPr>
                <w:rFonts w:hint="eastAsia" w:ascii="仿宋_GB2312" w:eastAsia="仿宋_GB2312" w:cs="Times New Roman"/>
                <w:b/>
                <w:bCs/>
                <w:sz w:val="24"/>
                <w:lang w:val="en-US" w:eastAsia="zh-CN"/>
              </w:rPr>
              <w:t>建档等级（特困/困难/一般困难）</w:t>
            </w:r>
          </w:p>
        </w:tc>
        <w:tc>
          <w:tcPr>
            <w:tcW w:w="1525" w:type="dxa"/>
            <w:noWrap w:val="0"/>
            <w:vAlign w:val="center"/>
          </w:tcPr>
          <w:p w14:paraId="60B480FE">
            <w:pPr>
              <w:jc w:val="center"/>
              <w:rPr>
                <w:rFonts w:hint="eastAsia" w:ascii="仿宋_GB2312" w:eastAsia="仿宋_GB2312" w:cs="Times New Roman"/>
                <w:b/>
                <w:bCs/>
                <w:sz w:val="24"/>
                <w:lang w:val="en-US" w:eastAsia="zh-CN"/>
              </w:rPr>
            </w:pPr>
            <w:r>
              <w:rPr>
                <w:rFonts w:hint="eastAsia" w:ascii="仿宋_GB2312" w:eastAsia="仿宋_GB2312" w:cs="Times New Roman"/>
                <w:b/>
                <w:bCs/>
                <w:sz w:val="24"/>
                <w:lang w:val="en-US" w:eastAsia="zh-CN"/>
              </w:rPr>
              <w:t>成员性质</w:t>
            </w:r>
          </w:p>
        </w:tc>
      </w:tr>
      <w:tr w14:paraId="632B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72FCAF04">
            <w:pPr>
              <w:spacing w:before="0" w:after="0" w:line="240" w:lineRule="auto"/>
              <w:jc w:val="center"/>
            </w:pPr>
            <w:r>
              <w:rPr>
                <w:rFonts w:hint="eastAsia" w:ascii="仿宋_GB2312" w:hAnsi="仿宋_GB2312" w:eastAsia="仿宋_GB2312" w:cs="Times New Roman"/>
                <w:sz w:val="24"/>
              </w:rPr>
              <w:t>1</w:t>
            </w:r>
          </w:p>
        </w:tc>
        <w:tc>
          <w:tcPr>
            <w:tcW w:w="1225" w:type="dxa"/>
            <w:noWrap w:val="0"/>
            <w:vAlign w:val="center"/>
          </w:tcPr>
          <w:p w14:paraId="0F1B5EFB">
            <w:pPr>
              <w:spacing w:before="0" w:after="0" w:line="240" w:lineRule="auto"/>
              <w:jc w:val="center"/>
            </w:pPr>
            <w:r>
              <w:rPr>
                <w:rFonts w:hint="eastAsia" w:ascii="仿宋_GB2312" w:hAnsi="仿宋_GB2312" w:eastAsia="仿宋_GB2312" w:cs="Times New Roman"/>
                <w:sz w:val="24"/>
              </w:rPr>
              <w:t>周俊杰</w:t>
            </w:r>
          </w:p>
        </w:tc>
        <w:tc>
          <w:tcPr>
            <w:tcW w:w="1525" w:type="dxa"/>
            <w:noWrap w:val="0"/>
            <w:vAlign w:val="center"/>
          </w:tcPr>
          <w:p w14:paraId="6400A9E2">
            <w:pPr>
              <w:spacing w:before="0" w:after="0" w:line="240" w:lineRule="auto"/>
              <w:jc w:val="center"/>
            </w:pPr>
            <w:r>
              <w:rPr>
                <w:rFonts w:hint="eastAsia" w:ascii="仿宋_GB2312" w:hAnsi="仿宋_GB2312" w:eastAsia="仿宋_GB2312" w:cs="Times New Roman"/>
                <w:sz w:val="24"/>
              </w:rPr>
              <w:t>6004124247</w:t>
            </w:r>
          </w:p>
        </w:tc>
        <w:tc>
          <w:tcPr>
            <w:tcW w:w="1650" w:type="dxa"/>
            <w:noWrap w:val="0"/>
            <w:vAlign w:val="center"/>
          </w:tcPr>
          <w:p w14:paraId="24668F61">
            <w:pPr>
              <w:spacing w:before="0" w:after="0" w:line="240" w:lineRule="auto"/>
              <w:jc w:val="center"/>
            </w:pPr>
            <w:r>
              <w:rPr>
                <w:rFonts w:hint="eastAsia" w:ascii="仿宋_GB2312" w:hAnsi="仿宋_GB2312" w:eastAsia="仿宋_GB2312" w:cs="Times New Roman"/>
                <w:sz w:val="24"/>
              </w:rPr>
              <w:t>13677092640</w:t>
            </w:r>
          </w:p>
        </w:tc>
        <w:tc>
          <w:tcPr>
            <w:tcW w:w="2050" w:type="dxa"/>
            <w:gridSpan w:val="2"/>
            <w:noWrap w:val="0"/>
            <w:vAlign w:val="center"/>
          </w:tcPr>
          <w:p w14:paraId="6EEC5DF6">
            <w:pPr>
              <w:spacing w:before="0" w:after="0" w:line="240" w:lineRule="auto"/>
              <w:jc w:val="center"/>
            </w:pPr>
            <w:r>
              <w:rPr>
                <w:rFonts w:hint="eastAsia" w:ascii="仿宋_GB2312" w:hAnsi="仿宋_GB2312" w:eastAsia="仿宋_GB2312" w:cs="Times New Roman"/>
                <w:sz w:val="24"/>
              </w:rPr>
              <w:t>无</w:t>
            </w:r>
          </w:p>
        </w:tc>
        <w:tc>
          <w:tcPr>
            <w:tcW w:w="1525" w:type="dxa"/>
            <w:noWrap w:val="0"/>
            <w:vAlign w:val="center"/>
          </w:tcPr>
          <w:p w14:paraId="2D002D06">
            <w:pPr>
              <w:spacing w:before="0" w:after="0" w:line="240" w:lineRule="auto"/>
              <w:jc w:val="center"/>
            </w:pPr>
            <w:r>
              <w:rPr>
                <w:rFonts w:hint="eastAsia" w:ascii="仿宋_GB2312" w:hAnsi="仿宋_GB2312" w:eastAsia="仿宋_GB2312" w:cs="Times New Roman"/>
                <w:sz w:val="24"/>
              </w:rPr>
              <w:t>项目负责人</w:t>
            </w:r>
          </w:p>
        </w:tc>
      </w:tr>
      <w:tr w14:paraId="1ACE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5DE253D6">
            <w:pPr>
              <w:spacing w:before="0" w:after="0" w:line="240" w:lineRule="auto"/>
              <w:jc w:val="center"/>
            </w:pPr>
            <w:r>
              <w:rPr>
                <w:rFonts w:hint="eastAsia" w:ascii="仿宋_GB2312" w:hAnsi="仿宋_GB2312" w:eastAsia="仿宋_GB2312" w:cs="Times New Roman"/>
                <w:sz w:val="24"/>
              </w:rPr>
              <w:t>2</w:t>
            </w:r>
          </w:p>
        </w:tc>
        <w:tc>
          <w:tcPr>
            <w:tcW w:w="1225" w:type="dxa"/>
            <w:noWrap w:val="0"/>
            <w:vAlign w:val="center"/>
          </w:tcPr>
          <w:p w14:paraId="63B0BA0C">
            <w:pPr>
              <w:spacing w:before="0" w:after="0" w:line="240" w:lineRule="auto"/>
              <w:jc w:val="center"/>
            </w:pPr>
            <w:r>
              <w:rPr>
                <w:rFonts w:hint="eastAsia" w:ascii="仿宋_GB2312" w:hAnsi="仿宋_GB2312" w:eastAsia="仿宋_GB2312" w:cs="Times New Roman"/>
                <w:sz w:val="24"/>
              </w:rPr>
              <w:t>林方魁</w:t>
            </w:r>
          </w:p>
        </w:tc>
        <w:tc>
          <w:tcPr>
            <w:tcW w:w="1525" w:type="dxa"/>
            <w:noWrap w:val="0"/>
            <w:vAlign w:val="center"/>
          </w:tcPr>
          <w:p w14:paraId="64FCBEB9">
            <w:pPr>
              <w:spacing w:before="0" w:after="0" w:line="240" w:lineRule="auto"/>
              <w:jc w:val="center"/>
            </w:pPr>
            <w:r>
              <w:rPr>
                <w:rFonts w:hint="eastAsia" w:ascii="仿宋_GB2312" w:hAnsi="仿宋_GB2312" w:eastAsia="仿宋_GB2312" w:cs="Times New Roman"/>
                <w:sz w:val="24"/>
              </w:rPr>
              <w:t>9110125015</w:t>
            </w:r>
          </w:p>
        </w:tc>
        <w:tc>
          <w:tcPr>
            <w:tcW w:w="1650" w:type="dxa"/>
            <w:noWrap w:val="0"/>
            <w:vAlign w:val="center"/>
          </w:tcPr>
          <w:p w14:paraId="7F2622BB">
            <w:pPr>
              <w:spacing w:before="0" w:after="0" w:line="240" w:lineRule="auto"/>
              <w:jc w:val="center"/>
            </w:pPr>
            <w:r>
              <w:rPr>
                <w:rFonts w:hint="eastAsia" w:ascii="仿宋_GB2312" w:hAnsi="仿宋_GB2312" w:eastAsia="仿宋_GB2312" w:cs="Times New Roman"/>
                <w:sz w:val="24"/>
              </w:rPr>
              <w:t>15880993898</w:t>
            </w:r>
          </w:p>
        </w:tc>
        <w:tc>
          <w:tcPr>
            <w:tcW w:w="2050" w:type="dxa"/>
            <w:gridSpan w:val="2"/>
            <w:noWrap w:val="0"/>
            <w:vAlign w:val="center"/>
          </w:tcPr>
          <w:p w14:paraId="78BB30ED">
            <w:pPr>
              <w:spacing w:before="0" w:after="0" w:line="240" w:lineRule="auto"/>
              <w:jc w:val="center"/>
            </w:pPr>
            <w:r>
              <w:rPr>
                <w:rFonts w:hint="eastAsia" w:ascii="仿宋_GB2312" w:hAnsi="仿宋_GB2312" w:eastAsia="仿宋_GB2312" w:cs="Times New Roman"/>
                <w:sz w:val="24"/>
              </w:rPr>
              <w:t>无</w:t>
            </w:r>
          </w:p>
        </w:tc>
        <w:tc>
          <w:tcPr>
            <w:tcW w:w="1525" w:type="dxa"/>
            <w:noWrap w:val="0"/>
            <w:vAlign w:val="center"/>
          </w:tcPr>
          <w:p w14:paraId="5DB082DF">
            <w:pPr>
              <w:spacing w:before="0" w:after="0" w:line="240" w:lineRule="auto"/>
              <w:jc w:val="center"/>
            </w:pPr>
            <w:r>
              <w:rPr>
                <w:rFonts w:hint="eastAsia" w:ascii="仿宋_GB2312" w:hAnsi="仿宋_GB2312" w:eastAsia="仿宋_GB2312" w:cs="Times New Roman"/>
                <w:sz w:val="24"/>
              </w:rPr>
              <w:t>成员</w:t>
            </w:r>
          </w:p>
        </w:tc>
      </w:tr>
      <w:tr w14:paraId="1E1A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1E5A293F">
            <w:pPr>
              <w:spacing w:before="0" w:after="0" w:line="240" w:lineRule="auto"/>
              <w:jc w:val="center"/>
            </w:pPr>
            <w:r>
              <w:rPr>
                <w:rFonts w:hint="eastAsia" w:ascii="仿宋_GB2312" w:hAnsi="仿宋_GB2312" w:eastAsia="仿宋_GB2312" w:cs="Times New Roman"/>
                <w:sz w:val="24"/>
              </w:rPr>
              <w:t>3</w:t>
            </w:r>
          </w:p>
        </w:tc>
        <w:tc>
          <w:tcPr>
            <w:tcW w:w="1225" w:type="dxa"/>
            <w:noWrap w:val="0"/>
            <w:vAlign w:val="center"/>
          </w:tcPr>
          <w:p w14:paraId="72920848">
            <w:pPr>
              <w:spacing w:before="0" w:after="0" w:line="240" w:lineRule="auto"/>
              <w:jc w:val="center"/>
            </w:pPr>
            <w:r>
              <w:rPr>
                <w:rFonts w:hint="eastAsia" w:ascii="仿宋_GB2312" w:hAnsi="仿宋_GB2312" w:eastAsia="仿宋_GB2312" w:cs="Times New Roman"/>
                <w:sz w:val="24"/>
              </w:rPr>
              <w:t>甘宇强</w:t>
            </w:r>
          </w:p>
        </w:tc>
        <w:tc>
          <w:tcPr>
            <w:tcW w:w="1525" w:type="dxa"/>
            <w:noWrap w:val="0"/>
            <w:vAlign w:val="center"/>
          </w:tcPr>
          <w:p w14:paraId="6B532747">
            <w:pPr>
              <w:spacing w:before="0" w:after="0" w:line="240" w:lineRule="auto"/>
              <w:jc w:val="center"/>
            </w:pPr>
            <w:r>
              <w:rPr>
                <w:rFonts w:hint="eastAsia" w:ascii="仿宋_GB2312" w:hAnsi="仿宋_GB2312" w:eastAsia="仿宋_GB2312" w:cs="Times New Roman"/>
                <w:sz w:val="24"/>
              </w:rPr>
              <w:t>8002125133</w:t>
            </w:r>
          </w:p>
        </w:tc>
        <w:tc>
          <w:tcPr>
            <w:tcW w:w="1650" w:type="dxa"/>
            <w:noWrap w:val="0"/>
            <w:vAlign w:val="center"/>
          </w:tcPr>
          <w:p w14:paraId="1F7BE0DC">
            <w:pPr>
              <w:spacing w:before="0" w:after="0" w:line="240" w:lineRule="auto"/>
              <w:jc w:val="center"/>
            </w:pPr>
            <w:r>
              <w:rPr>
                <w:rFonts w:hint="eastAsia" w:ascii="仿宋_GB2312" w:hAnsi="仿宋_GB2312" w:eastAsia="仿宋_GB2312" w:cs="Times New Roman"/>
                <w:sz w:val="24"/>
              </w:rPr>
              <w:t>15279962589</w:t>
            </w:r>
          </w:p>
        </w:tc>
        <w:tc>
          <w:tcPr>
            <w:tcW w:w="2050" w:type="dxa"/>
            <w:gridSpan w:val="2"/>
            <w:noWrap w:val="0"/>
            <w:vAlign w:val="center"/>
          </w:tcPr>
          <w:p w14:paraId="6AF5E7C5">
            <w:pPr>
              <w:spacing w:before="0" w:after="0" w:line="240" w:lineRule="auto"/>
              <w:jc w:val="center"/>
            </w:pPr>
            <w:r>
              <w:rPr>
                <w:rFonts w:hint="eastAsia" w:ascii="仿宋_GB2312" w:hAnsi="仿宋_GB2312" w:eastAsia="仿宋_GB2312" w:cs="Times New Roman"/>
                <w:sz w:val="24"/>
              </w:rPr>
              <w:t>特殊困难</w:t>
            </w:r>
          </w:p>
        </w:tc>
        <w:tc>
          <w:tcPr>
            <w:tcW w:w="1525" w:type="dxa"/>
            <w:noWrap w:val="0"/>
            <w:vAlign w:val="center"/>
          </w:tcPr>
          <w:p w14:paraId="4B23659E">
            <w:pPr>
              <w:spacing w:before="0" w:after="0" w:line="240" w:lineRule="auto"/>
              <w:jc w:val="center"/>
            </w:pPr>
            <w:r>
              <w:rPr>
                <w:rFonts w:hint="eastAsia" w:ascii="仿宋_GB2312" w:hAnsi="仿宋_GB2312" w:eastAsia="仿宋_GB2312" w:cs="Times New Roman"/>
                <w:sz w:val="24"/>
              </w:rPr>
              <w:t>成员</w:t>
            </w:r>
          </w:p>
        </w:tc>
      </w:tr>
      <w:tr w14:paraId="365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419642F8">
            <w:pPr>
              <w:spacing w:before="0" w:after="0" w:line="240" w:lineRule="auto"/>
              <w:jc w:val="center"/>
            </w:pPr>
            <w:r>
              <w:rPr>
                <w:rFonts w:hint="eastAsia" w:ascii="仿宋_GB2312" w:hAnsi="仿宋_GB2312" w:eastAsia="仿宋_GB2312" w:cs="Times New Roman"/>
                <w:sz w:val="24"/>
              </w:rPr>
              <w:t>4</w:t>
            </w:r>
          </w:p>
        </w:tc>
        <w:tc>
          <w:tcPr>
            <w:tcW w:w="1225" w:type="dxa"/>
            <w:noWrap w:val="0"/>
            <w:vAlign w:val="center"/>
          </w:tcPr>
          <w:p w14:paraId="6C84DBC0">
            <w:pPr>
              <w:spacing w:before="0" w:after="0" w:line="240" w:lineRule="auto"/>
              <w:jc w:val="center"/>
            </w:pPr>
            <w:r>
              <w:rPr>
                <w:rFonts w:hint="eastAsia" w:ascii="仿宋_GB2312" w:hAnsi="仿宋_GB2312" w:eastAsia="仿宋_GB2312" w:cs="Times New Roman"/>
                <w:sz w:val="24"/>
              </w:rPr>
              <w:t>矣润羲</w:t>
            </w:r>
          </w:p>
        </w:tc>
        <w:tc>
          <w:tcPr>
            <w:tcW w:w="1525" w:type="dxa"/>
            <w:noWrap w:val="0"/>
            <w:vAlign w:val="center"/>
          </w:tcPr>
          <w:p w14:paraId="0414CE85">
            <w:pPr>
              <w:spacing w:before="0" w:after="0" w:line="240" w:lineRule="auto"/>
              <w:jc w:val="center"/>
            </w:pPr>
            <w:r>
              <w:rPr>
                <w:rFonts w:hint="eastAsia" w:ascii="仿宋_GB2312" w:hAnsi="仿宋_GB2312" w:eastAsia="仿宋_GB2312" w:cs="Times New Roman"/>
                <w:sz w:val="24"/>
              </w:rPr>
              <w:t>8002124311</w:t>
            </w:r>
          </w:p>
        </w:tc>
        <w:tc>
          <w:tcPr>
            <w:tcW w:w="1650" w:type="dxa"/>
            <w:noWrap w:val="0"/>
            <w:vAlign w:val="center"/>
          </w:tcPr>
          <w:p w14:paraId="61C47BAC">
            <w:pPr>
              <w:spacing w:before="0" w:after="0" w:line="240" w:lineRule="auto"/>
              <w:jc w:val="center"/>
            </w:pPr>
            <w:r>
              <w:rPr>
                <w:rFonts w:hint="eastAsia" w:ascii="仿宋_GB2312" w:hAnsi="仿宋_GB2312" w:eastAsia="仿宋_GB2312" w:cs="Times New Roman"/>
                <w:sz w:val="24"/>
              </w:rPr>
              <w:t>18213885389</w:t>
            </w:r>
          </w:p>
        </w:tc>
        <w:tc>
          <w:tcPr>
            <w:tcW w:w="2050" w:type="dxa"/>
            <w:gridSpan w:val="2"/>
            <w:noWrap w:val="0"/>
            <w:vAlign w:val="center"/>
          </w:tcPr>
          <w:p w14:paraId="79A1CC93">
            <w:pPr>
              <w:spacing w:before="0" w:after="0" w:line="240" w:lineRule="auto"/>
              <w:jc w:val="center"/>
            </w:pPr>
            <w:r>
              <w:rPr>
                <w:rFonts w:hint="eastAsia" w:ascii="仿宋_GB2312" w:hAnsi="仿宋_GB2312" w:eastAsia="仿宋_GB2312" w:cs="Times New Roman"/>
                <w:sz w:val="24"/>
              </w:rPr>
              <w:t>一般困难</w:t>
            </w:r>
          </w:p>
        </w:tc>
        <w:tc>
          <w:tcPr>
            <w:tcW w:w="1525" w:type="dxa"/>
            <w:noWrap w:val="0"/>
            <w:vAlign w:val="center"/>
          </w:tcPr>
          <w:p w14:paraId="4F760097">
            <w:pPr>
              <w:spacing w:before="0" w:after="0" w:line="240" w:lineRule="auto"/>
              <w:jc w:val="center"/>
            </w:pPr>
            <w:r>
              <w:rPr>
                <w:rFonts w:hint="eastAsia" w:ascii="仿宋_GB2312" w:hAnsi="仿宋_GB2312" w:eastAsia="仿宋_GB2312" w:cs="Times New Roman"/>
                <w:sz w:val="24"/>
              </w:rPr>
              <w:t>成员</w:t>
            </w:r>
          </w:p>
        </w:tc>
      </w:tr>
      <w:tr w14:paraId="10DA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1F2CE5C7">
            <w:pPr>
              <w:spacing w:before="0" w:after="0" w:line="240" w:lineRule="auto"/>
              <w:jc w:val="center"/>
            </w:pPr>
            <w:r>
              <w:rPr>
                <w:rFonts w:hint="eastAsia" w:ascii="仿宋_GB2312" w:hAnsi="仿宋_GB2312" w:eastAsia="仿宋_GB2312" w:cs="Times New Roman"/>
                <w:sz w:val="24"/>
              </w:rPr>
              <w:t>5</w:t>
            </w:r>
          </w:p>
        </w:tc>
        <w:tc>
          <w:tcPr>
            <w:tcW w:w="1225" w:type="dxa"/>
            <w:noWrap w:val="0"/>
            <w:vAlign w:val="center"/>
          </w:tcPr>
          <w:p w14:paraId="5B1B421C">
            <w:pPr>
              <w:spacing w:before="0" w:after="0" w:line="240" w:lineRule="auto"/>
              <w:jc w:val="center"/>
            </w:pPr>
            <w:r>
              <w:rPr>
                <w:rFonts w:hint="eastAsia" w:ascii="仿宋_GB2312" w:hAnsi="仿宋_GB2312" w:eastAsia="仿宋_GB2312" w:cs="Times New Roman"/>
                <w:sz w:val="24"/>
              </w:rPr>
              <w:t>古佳乐</w:t>
            </w:r>
          </w:p>
        </w:tc>
        <w:tc>
          <w:tcPr>
            <w:tcW w:w="1525" w:type="dxa"/>
            <w:noWrap w:val="0"/>
            <w:vAlign w:val="center"/>
          </w:tcPr>
          <w:p w14:paraId="7DC4F122">
            <w:pPr>
              <w:spacing w:before="0" w:after="0" w:line="240" w:lineRule="auto"/>
              <w:jc w:val="center"/>
            </w:pPr>
            <w:r>
              <w:rPr>
                <w:rFonts w:hint="eastAsia" w:ascii="仿宋_GB2312" w:hAnsi="仿宋_GB2312" w:eastAsia="仿宋_GB2312" w:cs="Times New Roman"/>
                <w:sz w:val="24"/>
              </w:rPr>
              <w:t>8008123201</w:t>
            </w:r>
          </w:p>
        </w:tc>
        <w:tc>
          <w:tcPr>
            <w:tcW w:w="1650" w:type="dxa"/>
            <w:noWrap w:val="0"/>
            <w:vAlign w:val="center"/>
          </w:tcPr>
          <w:p w14:paraId="46A82D6E">
            <w:pPr>
              <w:spacing w:before="0" w:after="0" w:line="240" w:lineRule="auto"/>
              <w:jc w:val="center"/>
            </w:pPr>
            <w:r>
              <w:rPr>
                <w:rFonts w:hint="eastAsia" w:ascii="仿宋_GB2312" w:hAnsi="仿宋_GB2312" w:eastAsia="仿宋_GB2312" w:cs="Times New Roman"/>
                <w:sz w:val="24"/>
              </w:rPr>
              <w:t>18047410343</w:t>
            </w:r>
          </w:p>
        </w:tc>
        <w:tc>
          <w:tcPr>
            <w:tcW w:w="2050" w:type="dxa"/>
            <w:gridSpan w:val="2"/>
            <w:noWrap w:val="0"/>
            <w:vAlign w:val="center"/>
          </w:tcPr>
          <w:p w14:paraId="742CE60A">
            <w:pPr>
              <w:spacing w:before="0" w:after="0" w:line="240" w:lineRule="auto"/>
              <w:jc w:val="center"/>
            </w:pPr>
            <w:r>
              <w:rPr>
                <w:rFonts w:hint="eastAsia" w:ascii="仿宋_GB2312" w:hAnsi="仿宋_GB2312" w:eastAsia="仿宋_GB2312" w:cs="Times New Roman"/>
                <w:sz w:val="24"/>
              </w:rPr>
              <w:t>困难</w:t>
            </w:r>
          </w:p>
        </w:tc>
        <w:tc>
          <w:tcPr>
            <w:tcW w:w="1525" w:type="dxa"/>
            <w:noWrap w:val="0"/>
            <w:vAlign w:val="center"/>
          </w:tcPr>
          <w:p w14:paraId="69F4E6FE">
            <w:pPr>
              <w:spacing w:before="0" w:after="0" w:line="240" w:lineRule="auto"/>
              <w:jc w:val="center"/>
            </w:pPr>
            <w:r>
              <w:rPr>
                <w:rFonts w:hint="eastAsia" w:ascii="仿宋_GB2312" w:hAnsi="仿宋_GB2312" w:eastAsia="仿宋_GB2312" w:cs="Times New Roman"/>
                <w:sz w:val="24"/>
              </w:rPr>
              <w:t>成员</w:t>
            </w:r>
          </w:p>
        </w:tc>
      </w:tr>
      <w:tr w14:paraId="249A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4BEF5FFB">
            <w:pPr>
              <w:spacing w:before="0" w:after="0" w:line="240" w:lineRule="auto"/>
              <w:jc w:val="center"/>
            </w:pPr>
            <w:r>
              <w:rPr>
                <w:rFonts w:hint="eastAsia" w:ascii="仿宋_GB2312" w:hAnsi="仿宋_GB2312" w:eastAsia="仿宋_GB2312" w:cs="Times New Roman"/>
                <w:sz w:val="24"/>
              </w:rPr>
              <w:t>6</w:t>
            </w:r>
          </w:p>
        </w:tc>
        <w:tc>
          <w:tcPr>
            <w:tcW w:w="1225" w:type="dxa"/>
            <w:noWrap w:val="0"/>
            <w:vAlign w:val="center"/>
          </w:tcPr>
          <w:p w14:paraId="0C39AEF1">
            <w:pPr>
              <w:spacing w:before="0" w:after="0" w:line="240" w:lineRule="auto"/>
              <w:jc w:val="center"/>
            </w:pPr>
            <w:r>
              <w:rPr>
                <w:rFonts w:hint="eastAsia" w:ascii="仿宋_GB2312" w:hAnsi="仿宋_GB2312" w:eastAsia="仿宋_GB2312" w:cs="Times New Roman"/>
                <w:sz w:val="24"/>
              </w:rPr>
              <w:t>朱振楠</w:t>
            </w:r>
          </w:p>
        </w:tc>
        <w:tc>
          <w:tcPr>
            <w:tcW w:w="1525" w:type="dxa"/>
            <w:noWrap w:val="0"/>
            <w:vAlign w:val="center"/>
          </w:tcPr>
          <w:p w14:paraId="7C4B9504">
            <w:pPr>
              <w:spacing w:before="0" w:after="0" w:line="240" w:lineRule="auto"/>
              <w:jc w:val="center"/>
            </w:pPr>
            <w:r>
              <w:rPr>
                <w:rFonts w:hint="eastAsia" w:ascii="仿宋_GB2312" w:hAnsi="仿宋_GB2312" w:eastAsia="仿宋_GB2312" w:cs="Times New Roman"/>
                <w:sz w:val="24"/>
              </w:rPr>
              <w:t>9110124205</w:t>
            </w:r>
          </w:p>
        </w:tc>
        <w:tc>
          <w:tcPr>
            <w:tcW w:w="1650" w:type="dxa"/>
            <w:noWrap w:val="0"/>
            <w:vAlign w:val="center"/>
          </w:tcPr>
          <w:p w14:paraId="1D7BF40F">
            <w:pPr>
              <w:spacing w:before="0" w:after="0" w:line="240" w:lineRule="auto"/>
              <w:jc w:val="center"/>
            </w:pPr>
            <w:r>
              <w:rPr>
                <w:rFonts w:hint="eastAsia" w:ascii="仿宋_GB2312" w:hAnsi="仿宋_GB2312" w:eastAsia="仿宋_GB2312" w:cs="Times New Roman"/>
                <w:sz w:val="24"/>
              </w:rPr>
              <w:t>19577850025</w:t>
            </w:r>
          </w:p>
        </w:tc>
        <w:tc>
          <w:tcPr>
            <w:tcW w:w="2050" w:type="dxa"/>
            <w:gridSpan w:val="2"/>
            <w:noWrap w:val="0"/>
            <w:vAlign w:val="center"/>
          </w:tcPr>
          <w:p w14:paraId="0312E6B8">
            <w:pPr>
              <w:spacing w:before="0" w:after="0" w:line="240" w:lineRule="auto"/>
              <w:jc w:val="center"/>
            </w:pPr>
            <w:r>
              <w:rPr>
                <w:rFonts w:hint="eastAsia" w:ascii="仿宋_GB2312" w:hAnsi="仿宋_GB2312" w:eastAsia="仿宋_GB2312" w:cs="Times New Roman"/>
                <w:sz w:val="24"/>
              </w:rPr>
              <w:t>特殊困难</w:t>
            </w:r>
          </w:p>
        </w:tc>
        <w:tc>
          <w:tcPr>
            <w:tcW w:w="1525" w:type="dxa"/>
            <w:noWrap w:val="0"/>
            <w:vAlign w:val="center"/>
          </w:tcPr>
          <w:p w14:paraId="3B5DF71B">
            <w:pPr>
              <w:spacing w:before="0" w:after="0" w:line="240" w:lineRule="auto"/>
              <w:jc w:val="center"/>
            </w:pPr>
            <w:r>
              <w:rPr>
                <w:rFonts w:hint="eastAsia" w:ascii="仿宋_GB2312" w:hAnsi="仿宋_GB2312" w:eastAsia="仿宋_GB2312" w:cs="Times New Roman"/>
                <w:sz w:val="24"/>
              </w:rPr>
              <w:t>成员</w:t>
            </w:r>
          </w:p>
        </w:tc>
      </w:tr>
      <w:tr w14:paraId="5E5A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004A2BA8">
            <w:pPr>
              <w:jc w:val="center"/>
              <w:rPr>
                <w:rFonts w:hint="eastAsia" w:ascii="仿宋_GB2312" w:eastAsia="仿宋_GB2312" w:cs="Times New Roman"/>
                <w:sz w:val="24"/>
              </w:rPr>
            </w:pPr>
          </w:p>
        </w:tc>
        <w:tc>
          <w:tcPr>
            <w:tcW w:w="1225" w:type="dxa"/>
            <w:noWrap w:val="0"/>
            <w:vAlign w:val="center"/>
          </w:tcPr>
          <w:p w14:paraId="0BFC32A8">
            <w:pPr>
              <w:jc w:val="center"/>
              <w:rPr>
                <w:rFonts w:hint="eastAsia" w:ascii="仿宋_GB2312" w:eastAsia="仿宋_GB2312" w:cs="Times New Roman"/>
                <w:sz w:val="24"/>
              </w:rPr>
            </w:pPr>
          </w:p>
        </w:tc>
        <w:tc>
          <w:tcPr>
            <w:tcW w:w="1525" w:type="dxa"/>
            <w:noWrap w:val="0"/>
            <w:vAlign w:val="center"/>
          </w:tcPr>
          <w:p w14:paraId="11729321">
            <w:pPr>
              <w:jc w:val="center"/>
              <w:rPr>
                <w:rFonts w:hint="eastAsia" w:ascii="仿宋_GB2312" w:eastAsia="仿宋_GB2312" w:cs="Times New Roman"/>
                <w:sz w:val="24"/>
              </w:rPr>
            </w:pPr>
          </w:p>
        </w:tc>
        <w:tc>
          <w:tcPr>
            <w:tcW w:w="1650" w:type="dxa"/>
            <w:noWrap w:val="0"/>
            <w:vAlign w:val="center"/>
          </w:tcPr>
          <w:p w14:paraId="6A4CB502">
            <w:pPr>
              <w:jc w:val="center"/>
              <w:rPr>
                <w:rFonts w:hint="eastAsia" w:ascii="仿宋_GB2312" w:eastAsia="仿宋_GB2312" w:cs="Times New Roman"/>
                <w:sz w:val="24"/>
              </w:rPr>
            </w:pPr>
          </w:p>
        </w:tc>
        <w:tc>
          <w:tcPr>
            <w:tcW w:w="2050" w:type="dxa"/>
            <w:gridSpan w:val="2"/>
            <w:noWrap w:val="0"/>
            <w:vAlign w:val="center"/>
          </w:tcPr>
          <w:p w14:paraId="48875996">
            <w:pPr>
              <w:jc w:val="center"/>
              <w:rPr>
                <w:rFonts w:hint="eastAsia" w:ascii="仿宋_GB2312" w:eastAsia="仿宋_GB2312" w:cs="Times New Roman"/>
                <w:sz w:val="24"/>
              </w:rPr>
            </w:pPr>
          </w:p>
        </w:tc>
        <w:tc>
          <w:tcPr>
            <w:tcW w:w="1525" w:type="dxa"/>
            <w:noWrap w:val="0"/>
            <w:vAlign w:val="center"/>
          </w:tcPr>
          <w:p w14:paraId="476AB3CF">
            <w:pPr>
              <w:jc w:val="center"/>
              <w:rPr>
                <w:rFonts w:hint="eastAsia" w:ascii="仿宋_GB2312" w:eastAsia="仿宋_GB2312" w:cs="Times New Roman"/>
                <w:sz w:val="24"/>
              </w:rPr>
            </w:pPr>
          </w:p>
        </w:tc>
      </w:tr>
      <w:tr w14:paraId="4BE6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208B55AE">
            <w:pPr>
              <w:jc w:val="center"/>
              <w:rPr>
                <w:rFonts w:hint="eastAsia" w:ascii="仿宋_GB2312" w:eastAsia="仿宋_GB2312" w:cs="Times New Roman"/>
                <w:sz w:val="24"/>
              </w:rPr>
            </w:pPr>
          </w:p>
        </w:tc>
        <w:tc>
          <w:tcPr>
            <w:tcW w:w="1225" w:type="dxa"/>
            <w:noWrap w:val="0"/>
            <w:vAlign w:val="center"/>
          </w:tcPr>
          <w:p w14:paraId="1824F7A9">
            <w:pPr>
              <w:jc w:val="center"/>
              <w:rPr>
                <w:rFonts w:hint="eastAsia" w:ascii="仿宋_GB2312" w:eastAsia="仿宋_GB2312" w:cs="Times New Roman"/>
                <w:sz w:val="24"/>
              </w:rPr>
            </w:pPr>
          </w:p>
        </w:tc>
        <w:tc>
          <w:tcPr>
            <w:tcW w:w="1525" w:type="dxa"/>
            <w:noWrap w:val="0"/>
            <w:vAlign w:val="center"/>
          </w:tcPr>
          <w:p w14:paraId="13A178A6">
            <w:pPr>
              <w:jc w:val="center"/>
              <w:rPr>
                <w:rFonts w:hint="eastAsia" w:ascii="仿宋_GB2312" w:eastAsia="仿宋_GB2312" w:cs="Times New Roman"/>
                <w:sz w:val="24"/>
              </w:rPr>
            </w:pPr>
          </w:p>
        </w:tc>
        <w:tc>
          <w:tcPr>
            <w:tcW w:w="1650" w:type="dxa"/>
            <w:noWrap w:val="0"/>
            <w:vAlign w:val="center"/>
          </w:tcPr>
          <w:p w14:paraId="3DAD0D3D">
            <w:pPr>
              <w:jc w:val="center"/>
              <w:rPr>
                <w:rFonts w:hint="eastAsia" w:ascii="仿宋_GB2312" w:eastAsia="仿宋_GB2312" w:cs="Times New Roman"/>
                <w:sz w:val="24"/>
              </w:rPr>
            </w:pPr>
          </w:p>
        </w:tc>
        <w:tc>
          <w:tcPr>
            <w:tcW w:w="2050" w:type="dxa"/>
            <w:gridSpan w:val="2"/>
            <w:noWrap w:val="0"/>
            <w:vAlign w:val="center"/>
          </w:tcPr>
          <w:p w14:paraId="3CFA10BC">
            <w:pPr>
              <w:jc w:val="center"/>
              <w:rPr>
                <w:rFonts w:hint="eastAsia" w:ascii="仿宋_GB2312" w:eastAsia="仿宋_GB2312" w:cs="Times New Roman"/>
                <w:sz w:val="24"/>
              </w:rPr>
            </w:pPr>
          </w:p>
        </w:tc>
        <w:tc>
          <w:tcPr>
            <w:tcW w:w="1525" w:type="dxa"/>
            <w:noWrap w:val="0"/>
            <w:vAlign w:val="center"/>
          </w:tcPr>
          <w:p w14:paraId="6C83178E">
            <w:pPr>
              <w:jc w:val="center"/>
              <w:rPr>
                <w:rFonts w:hint="eastAsia" w:ascii="仿宋_GB2312" w:eastAsia="仿宋_GB2312" w:cs="Times New Roman"/>
                <w:sz w:val="24"/>
              </w:rPr>
            </w:pPr>
          </w:p>
        </w:tc>
      </w:tr>
      <w:tr w14:paraId="7B2C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425CF9DC">
            <w:pPr>
              <w:jc w:val="center"/>
              <w:rPr>
                <w:rFonts w:hint="eastAsia" w:ascii="仿宋_GB2312" w:eastAsia="仿宋_GB2312" w:cs="Times New Roman"/>
                <w:sz w:val="24"/>
              </w:rPr>
            </w:pPr>
          </w:p>
        </w:tc>
        <w:tc>
          <w:tcPr>
            <w:tcW w:w="1225" w:type="dxa"/>
            <w:noWrap w:val="0"/>
            <w:vAlign w:val="center"/>
          </w:tcPr>
          <w:p w14:paraId="290AA171">
            <w:pPr>
              <w:jc w:val="center"/>
              <w:rPr>
                <w:rFonts w:hint="eastAsia" w:ascii="仿宋_GB2312" w:eastAsia="仿宋_GB2312" w:cs="Times New Roman"/>
                <w:sz w:val="24"/>
              </w:rPr>
            </w:pPr>
          </w:p>
        </w:tc>
        <w:tc>
          <w:tcPr>
            <w:tcW w:w="1525" w:type="dxa"/>
            <w:noWrap w:val="0"/>
            <w:vAlign w:val="center"/>
          </w:tcPr>
          <w:p w14:paraId="064A438C">
            <w:pPr>
              <w:jc w:val="center"/>
              <w:rPr>
                <w:rFonts w:hint="eastAsia" w:ascii="仿宋_GB2312" w:eastAsia="仿宋_GB2312" w:cs="Times New Roman"/>
                <w:sz w:val="24"/>
              </w:rPr>
            </w:pPr>
          </w:p>
        </w:tc>
        <w:tc>
          <w:tcPr>
            <w:tcW w:w="1650" w:type="dxa"/>
            <w:noWrap w:val="0"/>
            <w:vAlign w:val="center"/>
          </w:tcPr>
          <w:p w14:paraId="1DD17A5B">
            <w:pPr>
              <w:jc w:val="center"/>
              <w:rPr>
                <w:rFonts w:hint="eastAsia" w:ascii="仿宋_GB2312" w:eastAsia="仿宋_GB2312" w:cs="Times New Roman"/>
                <w:sz w:val="24"/>
              </w:rPr>
            </w:pPr>
          </w:p>
        </w:tc>
        <w:tc>
          <w:tcPr>
            <w:tcW w:w="2050" w:type="dxa"/>
            <w:gridSpan w:val="2"/>
            <w:noWrap w:val="0"/>
            <w:vAlign w:val="center"/>
          </w:tcPr>
          <w:p w14:paraId="10DE8CA3">
            <w:pPr>
              <w:jc w:val="center"/>
              <w:rPr>
                <w:rFonts w:hint="eastAsia" w:ascii="仿宋_GB2312" w:eastAsia="仿宋_GB2312" w:cs="Times New Roman"/>
                <w:sz w:val="24"/>
              </w:rPr>
            </w:pPr>
          </w:p>
        </w:tc>
        <w:tc>
          <w:tcPr>
            <w:tcW w:w="1525" w:type="dxa"/>
            <w:noWrap w:val="0"/>
            <w:vAlign w:val="center"/>
          </w:tcPr>
          <w:p w14:paraId="2D8F280A">
            <w:pPr>
              <w:jc w:val="center"/>
              <w:rPr>
                <w:rFonts w:hint="eastAsia" w:ascii="仿宋_GB2312" w:eastAsia="仿宋_GB2312" w:cs="Times New Roman"/>
                <w:sz w:val="24"/>
              </w:rPr>
            </w:pPr>
          </w:p>
        </w:tc>
      </w:tr>
      <w:tr w14:paraId="0C7D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6F1ED4AD">
            <w:pPr>
              <w:jc w:val="center"/>
              <w:rPr>
                <w:rFonts w:hint="eastAsia" w:ascii="仿宋_GB2312" w:eastAsia="仿宋_GB2312" w:cs="Times New Roman"/>
                <w:sz w:val="24"/>
              </w:rPr>
            </w:pPr>
          </w:p>
        </w:tc>
        <w:tc>
          <w:tcPr>
            <w:tcW w:w="1225" w:type="dxa"/>
            <w:noWrap w:val="0"/>
            <w:vAlign w:val="center"/>
          </w:tcPr>
          <w:p w14:paraId="69C64B66">
            <w:pPr>
              <w:jc w:val="center"/>
              <w:rPr>
                <w:rFonts w:hint="eastAsia" w:ascii="仿宋_GB2312" w:eastAsia="仿宋_GB2312" w:cs="Times New Roman"/>
                <w:sz w:val="24"/>
              </w:rPr>
            </w:pPr>
          </w:p>
        </w:tc>
        <w:tc>
          <w:tcPr>
            <w:tcW w:w="1525" w:type="dxa"/>
            <w:noWrap w:val="0"/>
            <w:vAlign w:val="center"/>
          </w:tcPr>
          <w:p w14:paraId="762ACE1C">
            <w:pPr>
              <w:jc w:val="center"/>
              <w:rPr>
                <w:rFonts w:hint="eastAsia" w:ascii="仿宋_GB2312" w:eastAsia="仿宋_GB2312" w:cs="Times New Roman"/>
                <w:sz w:val="24"/>
              </w:rPr>
            </w:pPr>
          </w:p>
        </w:tc>
        <w:tc>
          <w:tcPr>
            <w:tcW w:w="1650" w:type="dxa"/>
            <w:noWrap w:val="0"/>
            <w:vAlign w:val="center"/>
          </w:tcPr>
          <w:p w14:paraId="18DDE64F">
            <w:pPr>
              <w:jc w:val="center"/>
              <w:rPr>
                <w:rFonts w:hint="eastAsia" w:ascii="仿宋_GB2312" w:eastAsia="仿宋_GB2312" w:cs="Times New Roman"/>
                <w:sz w:val="24"/>
              </w:rPr>
            </w:pPr>
          </w:p>
        </w:tc>
        <w:tc>
          <w:tcPr>
            <w:tcW w:w="2050" w:type="dxa"/>
            <w:gridSpan w:val="2"/>
            <w:noWrap w:val="0"/>
            <w:vAlign w:val="center"/>
          </w:tcPr>
          <w:p w14:paraId="36AE408B">
            <w:pPr>
              <w:jc w:val="center"/>
              <w:rPr>
                <w:rFonts w:hint="eastAsia" w:ascii="仿宋_GB2312" w:eastAsia="仿宋_GB2312" w:cs="Times New Roman"/>
                <w:sz w:val="24"/>
              </w:rPr>
            </w:pPr>
          </w:p>
        </w:tc>
        <w:tc>
          <w:tcPr>
            <w:tcW w:w="1525" w:type="dxa"/>
            <w:noWrap w:val="0"/>
            <w:vAlign w:val="center"/>
          </w:tcPr>
          <w:p w14:paraId="21342524">
            <w:pPr>
              <w:jc w:val="center"/>
              <w:rPr>
                <w:rFonts w:hint="eastAsia" w:ascii="仿宋_GB2312" w:eastAsia="仿宋_GB2312" w:cs="Times New Roman"/>
                <w:sz w:val="24"/>
              </w:rPr>
            </w:pPr>
          </w:p>
        </w:tc>
      </w:tr>
      <w:tr w14:paraId="0A66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18" w:type="dxa"/>
            <w:noWrap w:val="0"/>
            <w:vAlign w:val="center"/>
          </w:tcPr>
          <w:p w14:paraId="130EC0F2">
            <w:pPr>
              <w:jc w:val="center"/>
              <w:rPr>
                <w:rFonts w:hint="eastAsia" w:ascii="仿宋_GB2312" w:eastAsia="仿宋_GB2312" w:cs="Times New Roman"/>
                <w:sz w:val="24"/>
              </w:rPr>
            </w:pPr>
          </w:p>
        </w:tc>
        <w:tc>
          <w:tcPr>
            <w:tcW w:w="1225" w:type="dxa"/>
            <w:noWrap w:val="0"/>
            <w:vAlign w:val="center"/>
          </w:tcPr>
          <w:p w14:paraId="1560071C">
            <w:pPr>
              <w:jc w:val="center"/>
              <w:rPr>
                <w:rFonts w:hint="eastAsia" w:ascii="仿宋_GB2312" w:eastAsia="仿宋_GB2312" w:cs="Times New Roman"/>
                <w:sz w:val="24"/>
              </w:rPr>
            </w:pPr>
          </w:p>
        </w:tc>
        <w:tc>
          <w:tcPr>
            <w:tcW w:w="1525" w:type="dxa"/>
            <w:noWrap w:val="0"/>
            <w:vAlign w:val="center"/>
          </w:tcPr>
          <w:p w14:paraId="1D4FA5D5">
            <w:pPr>
              <w:jc w:val="center"/>
              <w:rPr>
                <w:rFonts w:hint="eastAsia" w:ascii="仿宋_GB2312" w:eastAsia="仿宋_GB2312" w:cs="Times New Roman"/>
                <w:sz w:val="24"/>
              </w:rPr>
            </w:pPr>
          </w:p>
        </w:tc>
        <w:tc>
          <w:tcPr>
            <w:tcW w:w="1650" w:type="dxa"/>
            <w:noWrap w:val="0"/>
            <w:vAlign w:val="center"/>
          </w:tcPr>
          <w:p w14:paraId="498B9EA0">
            <w:pPr>
              <w:jc w:val="center"/>
              <w:rPr>
                <w:rFonts w:hint="eastAsia" w:ascii="仿宋_GB2312" w:eastAsia="仿宋_GB2312" w:cs="Times New Roman"/>
                <w:sz w:val="24"/>
              </w:rPr>
            </w:pPr>
          </w:p>
        </w:tc>
        <w:tc>
          <w:tcPr>
            <w:tcW w:w="2050" w:type="dxa"/>
            <w:gridSpan w:val="2"/>
            <w:noWrap w:val="0"/>
            <w:vAlign w:val="center"/>
          </w:tcPr>
          <w:p w14:paraId="5092AC77">
            <w:pPr>
              <w:jc w:val="center"/>
              <w:rPr>
                <w:rFonts w:hint="eastAsia" w:ascii="仿宋_GB2312" w:eastAsia="仿宋_GB2312" w:cs="Times New Roman"/>
                <w:sz w:val="24"/>
              </w:rPr>
            </w:pPr>
          </w:p>
        </w:tc>
        <w:tc>
          <w:tcPr>
            <w:tcW w:w="1525" w:type="dxa"/>
            <w:noWrap w:val="0"/>
            <w:vAlign w:val="center"/>
          </w:tcPr>
          <w:p w14:paraId="3FF154D6">
            <w:pPr>
              <w:jc w:val="center"/>
              <w:rPr>
                <w:rFonts w:hint="eastAsia" w:ascii="仿宋_GB2312" w:eastAsia="仿宋_GB2312" w:cs="Times New Roman"/>
                <w:sz w:val="24"/>
              </w:rPr>
            </w:pPr>
          </w:p>
        </w:tc>
      </w:tr>
    </w:tbl>
    <w:p w14:paraId="1FBEE75A">
      <w:pPr>
        <w:jc w:val="left"/>
        <w:rPr>
          <w:rFonts w:hint="eastAsia" w:ascii="仿宋_GB2312" w:eastAsia="仿宋_GB2312"/>
          <w:b/>
          <w:bCs/>
          <w:sz w:val="28"/>
          <w:szCs w:val="24"/>
        </w:rPr>
      </w:pPr>
    </w:p>
    <w:p w14:paraId="7BAD715C">
      <w:pPr>
        <w:rPr>
          <w:rFonts w:hint="eastAsia" w:ascii="仿宋_GB2312" w:eastAsia="仿宋_GB2312"/>
          <w:sz w:val="32"/>
          <w:szCs w:val="32"/>
        </w:rPr>
      </w:pPr>
      <w:r>
        <w:rPr>
          <w:rFonts w:hint="eastAsia" w:ascii="仿宋_GB2312" w:eastAsia="仿宋_GB2312"/>
          <w:sz w:val="32"/>
          <w:szCs w:val="32"/>
        </w:rPr>
        <w:br w:type="page"/>
      </w:r>
    </w:p>
    <w:p w14:paraId="7D267F4C">
      <w:pPr>
        <w:jc w:val="center"/>
        <w:rPr>
          <w:rFonts w:hint="eastAsia" w:asciiTheme="majorEastAsia" w:hAnsiTheme="majorEastAsia" w:eastAsiaTheme="majorEastAsia" w:cstheme="majorEastAsia"/>
          <w:b/>
          <w:bCs/>
          <w:sz w:val="44"/>
          <w:szCs w:val="44"/>
          <w:lang w:val="en-US" w:eastAsia="zh-CN"/>
        </w:rPr>
      </w:pPr>
      <w:r>
        <w:rPr>
          <w:rFonts w:hint="eastAsia" w:asciiTheme="majorEastAsia" w:hAnsiTheme="majorEastAsia" w:eastAsiaTheme="majorEastAsia" w:cstheme="majorEastAsia"/>
          <w:b/>
          <w:bCs/>
          <w:sz w:val="44"/>
          <w:szCs w:val="44"/>
        </w:rPr>
        <w:t>二、项目进展情况</w:t>
      </w: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14:paraId="1AF53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260" w:hRule="atLeast"/>
          <w:jc w:val="center"/>
        </w:trPr>
        <w:tc>
          <w:tcPr>
            <w:tcW w:w="8522" w:type="dxa"/>
            <w:noWrap w:val="0"/>
            <w:tcMar>
              <w:top w:w="-1" w:type="dxa"/>
              <w:left w:w="-1" w:type="dxa"/>
              <w:bottom w:w="-1" w:type="dxa"/>
              <w:right w:w="-1" w:type="dxa"/>
            </w:tcMar>
            <w:vAlign w:val="center"/>
          </w:tcPr>
          <w:p w14:paraId="4A09EEFF">
            <w:pPr>
              <w:numPr>
                <w:ilvl w:val="0"/>
                <w:numId w:val="0"/>
              </w:numPr>
              <w:spacing w:before="160" w:after="80" w:line="520" w:lineRule="exact"/>
              <w:ind w:firstLine="0"/>
              <w:jc w:val="both"/>
              <w:rPr>
                <w:rFonts w:hint="eastAsia" w:ascii="黑体" w:hAnsi="黑体" w:eastAsia="黑体" w:cs="黑体"/>
                <w:b/>
                <w:bCs/>
                <w:sz w:val="32"/>
                <w:szCs w:val="32"/>
                <w:lang w:val="en-US" w:eastAsia="zh-CN"/>
              </w:rPr>
            </w:pPr>
            <w:r>
              <w:rPr>
                <w:rFonts w:ascii="黑体" w:hAnsi="黑体" w:eastAsia="黑体"/>
                <w:b/>
                <w:sz w:val="32"/>
              </w:rPr>
              <w:t>一、项目简介</w:t>
            </w:r>
          </w:p>
          <w:p w14:paraId="36EDEE53">
            <w:pPr>
              <w:spacing w:before="0" w:after="0" w:line="480" w:lineRule="exact"/>
              <w:ind w:firstLine="560"/>
              <w:jc w:val="both"/>
            </w:pPr>
            <w:r>
              <w:rPr>
                <w:rFonts w:ascii="仿宋_GB2312" w:hAnsi="仿宋_GB2312" w:eastAsia="仿宋_GB2312"/>
                <w:b w:val="0"/>
                <w:color w:val="000000"/>
                <w:sz w:val="28"/>
              </w:rPr>
              <w:t>为深入贯彻落实立德树人根本任务与南昌大学“香樟助学”资助育人工作要求，着力推动资助工作由“保障型资助”向“发展型育人”延伸拓展，党委学生工作部指导南大家园工作室勤工助学技术骨干团队立项并实施了2026年度校级重点育人项目——《香樟助航 智伴校园》。</w:t>
            </w:r>
          </w:p>
          <w:p w14:paraId="05AD89E4">
            <w:pPr>
              <w:spacing w:before="0" w:after="0" w:line="480" w:lineRule="exact"/>
              <w:ind w:firstLine="560"/>
              <w:jc w:val="both"/>
            </w:pPr>
            <w:r>
              <w:rPr>
                <w:rFonts w:ascii="仿宋_GB2312" w:hAnsi="仿宋_GB2312" w:eastAsia="仿宋_GB2312"/>
                <w:b w:val="0"/>
                <w:color w:val="000000"/>
                <w:sz w:val="28"/>
              </w:rPr>
              <w:t>项目立足破解初入大学新生普遍面临的“信息代差”与多校区学习生活的适应成本。每年九月，全校近万名新生步入校园，在选课系统操作、学籍规定、奖助学金申请、宿舍网络配置等方面存在大量高频刚需，而校内信息发布渠道相对分散，部分网络自媒体信息时效性差、真伪难辨，容易让同学多走弯路。为此，项目积极构建“资助+技术+育人”三位一体的伴随式服务模式，让受助学生在服务广大师生的工程实践中锻炼成长。</w:t>
            </w:r>
          </w:p>
          <w:p w14:paraId="44813588">
            <w:pPr>
              <w:spacing w:before="0" w:after="0" w:line="480" w:lineRule="exact"/>
              <w:ind w:firstLine="560"/>
              <w:jc w:val="both"/>
            </w:pPr>
            <w:r>
              <w:rPr>
                <w:rFonts w:ascii="仿宋_GB2312" w:hAnsi="仿宋_GB2312" w:eastAsia="仿宋_GB2312"/>
                <w:b w:val="0"/>
                <w:color w:val="000000"/>
                <w:sz w:val="28"/>
              </w:rPr>
              <w:t>在组织架构与分工协作上，项目在党委学生工作部指导教师的统筹指导下推进。团队设立明确的专岗分工：申报骨干负责推进项目立项申报与日常统筹；研发骨干主导前端与底层库重构、样式隔离修复、AI模块联调与高并发网络加速部署落地；资深技术骨干提供工程把控与技术排错。团队依托勤工助学岗位设置，形成了目标清晰、协同高效的朋辈协作网络。</w:t>
            </w:r>
          </w:p>
          <w:p w14:paraId="35754B5A">
            <w:pPr>
              <w:spacing w:before="160" w:after="80" w:line="520" w:lineRule="exact"/>
              <w:ind w:firstLine="0"/>
              <w:jc w:val="left"/>
            </w:pPr>
            <w:r>
              <w:rPr>
                <w:rFonts w:ascii="黑体" w:hAnsi="黑体" w:eastAsia="黑体"/>
                <w:b/>
                <w:color w:val="000000"/>
                <w:sz w:val="32"/>
              </w:rPr>
              <w:t>二、项目进展情况</w:t>
            </w:r>
          </w:p>
          <w:p w14:paraId="490BE84F">
            <w:pPr>
              <w:spacing w:before="0" w:after="0" w:line="480" w:lineRule="exact"/>
              <w:ind w:firstLine="560"/>
              <w:jc w:val="both"/>
            </w:pPr>
            <w:r>
              <w:rPr>
                <w:rFonts w:ascii="仿宋_GB2312" w:hAnsi="仿宋_GB2312" w:eastAsia="仿宋_GB2312"/>
                <w:b w:val="0"/>
                <w:color w:val="000000"/>
                <w:sz w:val="28"/>
              </w:rPr>
              <w:t>本项目自2026年3月正式申报立项以来，对照申报书进度安排，聚焦3月至6月实施周期稳步开展了需求摸排、文档梳理与技术预研，并在7至8月暑期进行了集中的架构迁移与工程攻坚。各项实际工作进展如下：</w:t>
            </w:r>
          </w:p>
          <w:p w14:paraId="665461CB">
            <w:pPr>
              <w:numPr>
                <w:ilvl w:val="0"/>
                <w:numId w:val="1"/>
              </w:numPr>
              <w:spacing w:before="80" w:after="40" w:line="480" w:lineRule="exact"/>
              <w:ind w:firstLine="560"/>
              <w:jc w:val="left"/>
              <w:rPr>
                <w:rFonts w:ascii="楷体" w:hAnsi="楷体" w:eastAsia="楷体"/>
                <w:b/>
                <w:color w:val="000000"/>
                <w:sz w:val="28"/>
              </w:rPr>
            </w:pPr>
            <w:r>
              <w:rPr>
                <w:rFonts w:ascii="楷体" w:hAnsi="楷体" w:eastAsia="楷体"/>
                <w:b/>
                <w:color w:val="000000"/>
                <w:sz w:val="28"/>
              </w:rPr>
              <w:t>立项推进与高频办事知识库梳理沉淀（3月—6月）</w:t>
            </w:r>
          </w:p>
          <w:p w14:paraId="03135DF3">
            <w:pPr>
              <w:spacing w:before="0" w:after="0" w:line="480" w:lineRule="exact"/>
              <w:ind w:firstLine="560"/>
              <w:jc w:val="both"/>
            </w:pPr>
            <w:r>
              <w:rPr>
                <w:rFonts w:ascii="仿宋_GB2312" w:hAnsi="仿宋_GB2312" w:eastAsia="仿宋_GB2312"/>
                <w:b w:val="0"/>
                <w:color w:val="000000"/>
                <w:sz w:val="28"/>
              </w:rPr>
              <w:t>在3月至6月期间，团队按期完成了校级重点项目的立项申报与5月答辩工作。针对全校学生在学业与日常办事中的高频困惑，采编组开展了多轮问卷调研与面对面访谈，全面梳理出《新生高频问题清单》。</w:t>
            </w:r>
          </w:p>
          <w:p w14:paraId="637139D9">
            <w:pPr>
              <w:spacing w:before="0" w:after="0" w:line="480" w:lineRule="exact"/>
              <w:ind w:firstLine="560"/>
              <w:jc w:val="both"/>
            </w:pPr>
            <w:r>
              <w:rPr>
                <w:rFonts w:ascii="仿宋_GB2312" w:hAnsi="仿宋_GB2312" w:eastAsia="仿宋_GB2312"/>
                <w:b w:val="0"/>
                <w:color w:val="000000"/>
                <w:sz w:val="28"/>
              </w:rPr>
              <w:t>团队打破传统手册“少数人干活、多数人围观”的壁垒，引入协同共创机制，确立以统一维护的校园指南文档库作为权威数据基线。团队系统整理了新生指南（报到军训、防诈安全）、选课攻略（通识跨修、培养方案弹性）、转专业（申请条件、考核流程）、绩点与学分算法（GPA计算、综测细则）、校园生活（宿舍管理、食堂评测、交通出行、校园网配置、体测标准）、升学就业等核心板块内容，用真实、通俗、有温度的“朋辈大白话”代替生硬公文，确保各项攻略兼具实用性与可读性。</w:t>
            </w:r>
          </w:p>
          <w:p w14:paraId="2B0AD46C">
            <w:pPr>
              <w:spacing w:before="120" w:after="40" w:line="240" w:lineRule="auto"/>
              <w:ind w:firstLine="0"/>
              <w:jc w:val="center"/>
            </w:pPr>
            <w:r>
              <w:drawing>
                <wp:inline distT="0" distB="0" distL="114300" distR="114300">
                  <wp:extent cx="4393565" cy="489966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l="21795" r="22153"/>
                          <a:stretch>
                            <a:fillRect/>
                          </a:stretch>
                        </pic:blipFill>
                        <pic:spPr>
                          <a:xfrm>
                            <a:off x="0" y="0"/>
                            <a:ext cx="4393565" cy="4899660"/>
                          </a:xfrm>
                          <a:prstGeom prst="rect">
                            <a:avLst/>
                          </a:prstGeom>
                        </pic:spPr>
                      </pic:pic>
                    </a:graphicData>
                  </a:graphic>
                </wp:inline>
              </w:drawing>
            </w:r>
          </w:p>
          <w:p w14:paraId="69A61C7F">
            <w:pPr>
              <w:spacing w:before="40" w:after="120" w:line="240" w:lineRule="auto"/>
              <w:ind w:firstLine="0"/>
              <w:jc w:val="center"/>
            </w:pPr>
            <w:r>
              <w:rPr>
                <w:rFonts w:ascii="宋体" w:hAnsi="宋体" w:eastAsia="宋体"/>
                <w:b w:val="0"/>
                <w:color w:val="000000"/>
                <w:sz w:val="21"/>
              </w:rPr>
              <w:t>图1 《助学手册》（book.ncuos.com）全新主界面视觉架构与南大家园品牌标识</w:t>
            </w:r>
          </w:p>
          <w:p w14:paraId="34A7A3E5">
            <w:pPr>
              <w:spacing w:before="120" w:after="40" w:line="240" w:lineRule="auto"/>
              <w:ind w:firstLine="0"/>
              <w:jc w:val="center"/>
            </w:pPr>
            <w:r>
              <w:drawing>
                <wp:inline distT="0" distB="0" distL="114300" distR="114300">
                  <wp:extent cx="3307080" cy="45504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l="27803" r="26754"/>
                          <a:stretch>
                            <a:fillRect/>
                          </a:stretch>
                        </pic:blipFill>
                        <pic:spPr>
                          <a:xfrm>
                            <a:off x="0" y="0"/>
                            <a:ext cx="3307080" cy="4550410"/>
                          </a:xfrm>
                          <a:prstGeom prst="rect">
                            <a:avLst/>
                          </a:prstGeom>
                        </pic:spPr>
                      </pic:pic>
                    </a:graphicData>
                  </a:graphic>
                </wp:inline>
              </w:drawing>
            </w:r>
          </w:p>
          <w:p w14:paraId="4BFB007B">
            <w:pPr>
              <w:spacing w:before="40" w:after="120" w:line="240" w:lineRule="auto"/>
              <w:ind w:firstLine="0"/>
              <w:jc w:val="center"/>
            </w:pPr>
            <w:r>
              <w:rPr>
                <w:rFonts w:ascii="宋体" w:hAnsi="宋体" w:eastAsia="宋体"/>
                <w:b w:val="0"/>
                <w:color w:val="000000"/>
                <w:sz w:val="21"/>
              </w:rPr>
              <w:t>图2 校园指南知识库核心篇目与办事指引正文展示（以《校园跑&amp;体测》为例）</w:t>
            </w:r>
          </w:p>
          <w:p w14:paraId="067C5BAC">
            <w:pPr>
              <w:spacing w:before="80" w:after="40" w:line="480" w:lineRule="exact"/>
              <w:ind w:firstLine="560"/>
              <w:jc w:val="left"/>
            </w:pPr>
            <w:r>
              <w:rPr>
                <w:rFonts w:ascii="楷体" w:hAnsi="楷体" w:eastAsia="楷体"/>
                <w:b/>
                <w:color w:val="000000"/>
                <w:sz w:val="28"/>
              </w:rPr>
              <w:t>（二）系统底层架构升级与高并发网络加速（7月下旬）</w:t>
            </w:r>
          </w:p>
          <w:p w14:paraId="20984A70">
            <w:pPr>
              <w:spacing w:before="0" w:after="0" w:line="480" w:lineRule="exact"/>
              <w:ind w:firstLine="560"/>
              <w:jc w:val="both"/>
            </w:pPr>
            <w:r>
              <w:rPr>
                <w:rFonts w:ascii="仿宋_GB2312" w:hAnsi="仿宋_GB2312" w:eastAsia="仿宋_GB2312"/>
                <w:b w:val="0"/>
                <w:color w:val="000000"/>
                <w:sz w:val="28"/>
              </w:rPr>
              <w:t>为彻底解决早前初期测试架构在多校区跨网段访问时出现的响应缓慢、资源加载延迟及偶发网络波动等痛点，技术团队在研发与运维骨干主导下，将全站底层基础设施全面迁移至高性能边缘安全加速网络平台。</w:t>
            </w:r>
          </w:p>
          <w:p w14:paraId="7D377AD1">
            <w:pPr>
              <w:spacing w:before="0" w:after="0" w:line="480" w:lineRule="exact"/>
              <w:ind w:firstLine="560"/>
              <w:jc w:val="both"/>
            </w:pPr>
            <w:r>
              <w:rPr>
                <w:rFonts w:ascii="仿宋_GB2312" w:hAnsi="仿宋_GB2312" w:eastAsia="仿宋_GB2312"/>
                <w:b w:val="0"/>
                <w:color w:val="000000"/>
                <w:sz w:val="28"/>
              </w:rPr>
              <w:t>团队顺利完成了官方正式域名 book.ncuos.com 的绑定与多链路 CDN 缓存加速优化，实现了全校师生在多校区跨网段访问时的首屏快速加载。同时，项目正式接入云端结构化数据库中台，完成本地与线上生产环境变量的标准化配置，在高并发请求下实测未引入可感知延迟，为动态知识检索和后续用户交互提供了稳定的数据底层支撑。</w:t>
            </w:r>
          </w:p>
          <w:p w14:paraId="215A2508">
            <w:pPr>
              <w:spacing w:before="80" w:after="40" w:line="480" w:lineRule="exact"/>
              <w:ind w:firstLine="560"/>
              <w:jc w:val="left"/>
            </w:pPr>
            <w:r>
              <w:rPr>
                <w:rFonts w:ascii="楷体" w:hAnsi="楷体" w:eastAsia="楷体"/>
                <w:b/>
                <w:color w:val="000000"/>
                <w:sz w:val="28"/>
              </w:rPr>
              <w:t>（三）工程治理规范化、底层渲染重构与样式隔离修复（7月下旬—8月上旬）</w:t>
            </w:r>
          </w:p>
          <w:p w14:paraId="7CFFBD5C">
            <w:pPr>
              <w:spacing w:before="0" w:after="0" w:line="480" w:lineRule="exact"/>
              <w:ind w:firstLine="560"/>
              <w:jc w:val="both"/>
            </w:pPr>
            <w:r>
              <w:rPr>
                <w:rFonts w:ascii="仿宋_GB2312" w:hAnsi="仿宋_GB2312" w:eastAsia="仿宋_GB2312"/>
                <w:b w:val="0"/>
                <w:color w:val="000000"/>
                <w:sz w:val="28"/>
              </w:rPr>
              <w:t>在工程规范治理层面，研发团队针对历史遗留的代码质量与构建问题展开系统修复。针对此前构建流水线中发布逻辑与测试耦合导致的偶发构建中断，团队协同排查并修复了工作流，将线上发布逻辑与自动化测试严格剥离，恢复了分支代码审查与自动化持续集成（CI/CD）合入机制。</w:t>
            </w:r>
          </w:p>
          <w:p w14:paraId="04C9EA5F">
            <w:pPr>
              <w:spacing w:before="0" w:after="0" w:line="480" w:lineRule="exact"/>
              <w:ind w:firstLine="560"/>
              <w:jc w:val="both"/>
            </w:pPr>
            <w:r>
              <w:rPr>
                <w:rFonts w:ascii="仿宋_GB2312" w:hAnsi="仿宋_GB2312" w:eastAsia="仿宋_GB2312"/>
                <w:b w:val="0"/>
                <w:color w:val="000000"/>
                <w:sz w:val="28"/>
              </w:rPr>
              <w:t>在前端呈现层面，研发骨干深度重构了底层核心依赖库与渲染逻辑，彻底消除了文档顶部元数据重复渲染、长列表显示冗余的视觉缺陷；为正文内容区与章节总结区设计了独立的样式隔离方案，避免全局样式覆盖误伤子页面跳转链接。此外，团队协助搭建了在线问卷反馈系统，并对移动端视口进行了细腻的响应式触控调优（如图3所示），打通了“师生反馈—核实排期—快速修复”的体验闭环。</w:t>
            </w:r>
          </w:p>
          <w:p w14:paraId="40516529">
            <w:pPr>
              <w:spacing w:before="120" w:after="40" w:line="240" w:lineRule="auto"/>
              <w:ind w:firstLine="0"/>
              <w:jc w:val="center"/>
            </w:pPr>
            <w:r>
              <w:drawing>
                <wp:inline distT="0" distB="0" distL="114300" distR="114300">
                  <wp:extent cx="2302510" cy="462343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302510" cy="4623435"/>
                          </a:xfrm>
                          <a:prstGeom prst="rect">
                            <a:avLst/>
                          </a:prstGeom>
                        </pic:spPr>
                      </pic:pic>
                    </a:graphicData>
                  </a:graphic>
                </wp:inline>
              </w:drawing>
            </w:r>
          </w:p>
          <w:p w14:paraId="0E7D7A1A">
            <w:pPr>
              <w:spacing w:before="40" w:after="120" w:line="240" w:lineRule="auto"/>
              <w:ind w:firstLine="0"/>
              <w:jc w:val="center"/>
            </w:pPr>
            <w:r>
              <w:rPr>
                <w:rFonts w:ascii="宋体" w:hAnsi="宋体" w:eastAsia="宋体"/>
                <w:b w:val="0"/>
                <w:color w:val="000000"/>
                <w:sz w:val="21"/>
              </w:rPr>
              <w:t>图3 平台移动端自适应视口与便携查阅交互展示</w:t>
            </w:r>
          </w:p>
          <w:p w14:paraId="3BBA1665">
            <w:pPr>
              <w:spacing w:before="80" w:after="40" w:line="480" w:lineRule="exact"/>
              <w:ind w:firstLine="560"/>
              <w:jc w:val="left"/>
            </w:pPr>
            <w:r>
              <w:rPr>
                <w:rFonts w:ascii="楷体" w:hAnsi="楷体" w:eastAsia="楷体"/>
                <w:b/>
                <w:color w:val="000000"/>
                <w:sz w:val="28"/>
              </w:rPr>
              <w:t>（四）AI 智能问答助手研制演进与后台数据监控（8月中旬至今）</w:t>
            </w:r>
          </w:p>
          <w:p w14:paraId="1662D336">
            <w:pPr>
              <w:spacing w:before="0" w:after="0" w:line="480" w:lineRule="exact"/>
              <w:ind w:firstLine="560"/>
              <w:jc w:val="both"/>
            </w:pPr>
            <w:r>
              <w:rPr>
                <w:rFonts w:ascii="仿宋_GB2312" w:hAnsi="仿宋_GB2312" w:eastAsia="仿宋_GB2312"/>
                <w:b w:val="0"/>
                <w:color w:val="000000"/>
                <w:sz w:val="28"/>
              </w:rPr>
              <w:t>在完成静态手册查阅优化的基础上，团队于8月中旬全面启动 AI 智能问答助手的技术攻坚。技术组对接大语言模型接口，着力开展针对南昌大学校园场景的提示词工程（Prompt Engineering）调优，构建意图识别与安全防幻觉逻辑，力求实现口语化提问下的秒级智能答疑（如图4所示）。</w:t>
            </w:r>
          </w:p>
          <w:p w14:paraId="38F7AA95">
            <w:pPr>
              <w:spacing w:before="120" w:after="40" w:line="240" w:lineRule="auto"/>
              <w:ind w:firstLine="0"/>
              <w:jc w:val="center"/>
            </w:pPr>
            <w:r>
              <w:drawing>
                <wp:inline distT="0" distB="0" distL="114300" distR="114300">
                  <wp:extent cx="5253355" cy="354012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rcRect l="18727" r="20363" b="34323"/>
                          <a:stretch>
                            <a:fillRect/>
                          </a:stretch>
                        </pic:blipFill>
                        <pic:spPr>
                          <a:xfrm>
                            <a:off x="0" y="0"/>
                            <a:ext cx="5253355" cy="3540125"/>
                          </a:xfrm>
                          <a:prstGeom prst="rect">
                            <a:avLst/>
                          </a:prstGeom>
                        </pic:spPr>
                      </pic:pic>
                    </a:graphicData>
                  </a:graphic>
                </wp:inline>
              </w:drawing>
            </w:r>
          </w:p>
          <w:p w14:paraId="3B50458E">
            <w:pPr>
              <w:spacing w:before="40" w:after="120" w:line="240" w:lineRule="auto"/>
              <w:ind w:firstLine="0"/>
              <w:jc w:val="center"/>
            </w:pPr>
            <w:r>
              <w:rPr>
                <w:rFonts w:ascii="宋体" w:hAnsi="宋体" w:eastAsia="宋体"/>
                <w:b w:val="0"/>
                <w:color w:val="000000"/>
                <w:sz w:val="21"/>
              </w:rPr>
              <w:t>图4 知识库智能检索交互窗口与关键词提示界面</w:t>
            </w:r>
          </w:p>
          <w:p w14:paraId="0CB60AA0">
            <w:pPr>
              <w:spacing w:before="0" w:after="0" w:line="480" w:lineRule="exact"/>
              <w:ind w:firstLine="560"/>
              <w:jc w:val="both"/>
            </w:pPr>
            <w:r>
              <w:rPr>
                <w:rFonts w:ascii="仿宋_GB2312" w:hAnsi="仿宋_GB2312" w:eastAsia="仿宋_GB2312"/>
                <w:b w:val="0"/>
                <w:color w:val="000000"/>
                <w:sz w:val="28"/>
              </w:rPr>
              <w:t>目前，AI 问答助手处于接口联调与原型打磨阶段，已完成基础交互界面部署。同时，团队搭建了管理控制台全站数据洞察与埋点大盘（如图5所示），实时监测学生的真实浏览趋势与搜索行为。大盘特设“零结果预警”功能，对用户检索未命中的关键词进行实时捕获，直接作为反哺文案组定向补充缺失词条的行动依据。</w:t>
            </w:r>
          </w:p>
          <w:p w14:paraId="0DBBB10E">
            <w:pPr>
              <w:spacing w:before="120" w:after="40" w:line="240" w:lineRule="auto"/>
              <w:ind w:firstLine="0"/>
              <w:jc w:val="center"/>
            </w:pPr>
            <w:r>
              <w:drawing>
                <wp:inline distT="0" distB="0" distL="114300" distR="114300">
                  <wp:extent cx="4982845" cy="340995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rcRect l="10671" r="13869" b="9924"/>
                          <a:stretch>
                            <a:fillRect/>
                          </a:stretch>
                        </pic:blipFill>
                        <pic:spPr>
                          <a:xfrm>
                            <a:off x="0" y="0"/>
                            <a:ext cx="4982845" cy="3409950"/>
                          </a:xfrm>
                          <a:prstGeom prst="rect">
                            <a:avLst/>
                          </a:prstGeom>
                        </pic:spPr>
                      </pic:pic>
                    </a:graphicData>
                  </a:graphic>
                </wp:inline>
              </w:drawing>
            </w:r>
          </w:p>
          <w:p w14:paraId="0F8931B4">
            <w:pPr>
              <w:spacing w:before="40" w:after="120" w:line="240" w:lineRule="auto"/>
              <w:ind w:firstLine="0"/>
              <w:jc w:val="center"/>
            </w:pPr>
            <w:r>
              <w:rPr>
                <w:rFonts w:ascii="宋体" w:hAnsi="宋体" w:eastAsia="宋体"/>
                <w:b w:val="0"/>
                <w:color w:val="000000"/>
                <w:sz w:val="21"/>
              </w:rPr>
              <w:t>图5 知识库管理控制台与全站数据洞察埋点大盘（后台运营监测界面）</w:t>
            </w:r>
          </w:p>
          <w:p w14:paraId="0122F04C">
            <w:pPr>
              <w:spacing w:before="160" w:after="80" w:line="520" w:lineRule="exact"/>
              <w:ind w:firstLine="0"/>
              <w:jc w:val="left"/>
            </w:pPr>
            <w:r>
              <w:rPr>
                <w:rFonts w:ascii="黑体" w:hAnsi="黑体" w:eastAsia="黑体"/>
                <w:b/>
                <w:color w:val="000000"/>
                <w:sz w:val="32"/>
              </w:rPr>
              <w:t>三、中期成效</w:t>
            </w:r>
          </w:p>
          <w:p w14:paraId="5970FEBC">
            <w:pPr>
              <w:spacing w:before="0" w:after="0" w:line="480" w:lineRule="exact"/>
              <w:ind w:firstLine="560"/>
              <w:jc w:val="both"/>
            </w:pPr>
            <w:r>
              <w:rPr>
                <w:rFonts w:ascii="仿宋_GB2312" w:hAnsi="仿宋_GB2312" w:eastAsia="仿宋_GB2312"/>
                <w:b w:val="0"/>
                <w:color w:val="000000"/>
                <w:sz w:val="28"/>
              </w:rPr>
              <w:t>经过2026年3月至6月的扎实筹备与暑期集中攻坚，项目在资助育人实效与技术服务表现两个维度均取得了预期阶段性成效，真实反映了受助学子的付出与成长：</w:t>
            </w:r>
          </w:p>
          <w:p w14:paraId="04DC8020">
            <w:pPr>
              <w:spacing w:before="80" w:after="40" w:line="480" w:lineRule="exact"/>
              <w:ind w:firstLine="560"/>
              <w:jc w:val="left"/>
            </w:pPr>
            <w:r>
              <w:rPr>
                <w:rFonts w:ascii="楷体" w:hAnsi="楷体" w:eastAsia="楷体"/>
                <w:b/>
                <w:color w:val="000000"/>
                <w:sz w:val="28"/>
              </w:rPr>
              <w:t>（一）资助育人成效：技术赋能推动“受助”向“助人”跨越</w:t>
            </w:r>
          </w:p>
          <w:p w14:paraId="71083D31">
            <w:pPr>
              <w:spacing w:before="0" w:after="0" w:line="480" w:lineRule="exact"/>
              <w:ind w:firstLine="560"/>
              <w:jc w:val="both"/>
            </w:pPr>
            <w:r>
              <w:rPr>
                <w:rFonts w:ascii="仿宋_GB2312" w:hAnsi="仿宋_GB2312" w:eastAsia="仿宋_GB2312"/>
                <w:b w:val="0"/>
                <w:color w:val="000000"/>
                <w:sz w:val="28"/>
              </w:rPr>
              <w:t>项目始终牢记“资助育人”初心，通过设立勤工助学研发与采编岗位，吸纳家庭经济困难学生挑大梁、当主力。在学工部老师的关心指导与技术老骨干的带教下，受助学生在真实项目中掌握了前端工程重构、云端数据中台调度、网络加速部署、CI/CD 自动化流水线维护及大模型提示词调优等高阶工程技能。</w:t>
            </w:r>
          </w:p>
          <w:p w14:paraId="3ABE2B2F">
            <w:pPr>
              <w:spacing w:before="0" w:after="0" w:line="480" w:lineRule="exact"/>
              <w:ind w:firstLine="560"/>
              <w:jc w:val="both"/>
            </w:pPr>
            <w:r>
              <w:rPr>
                <w:rFonts w:ascii="仿宋_GB2312" w:hAnsi="仿宋_GB2312" w:eastAsia="仿宋_GB2312"/>
                <w:b w:val="0"/>
                <w:color w:val="000000"/>
                <w:sz w:val="28"/>
              </w:rPr>
              <w:t>更重要的是，参与项目的受助学生通过亲手打造服务全校同学的数字化产品，切实增强了自信心与责任感，完成了从“享受校园资助关爱”到“运用技术反哺校园、朋辈互助引航”的精神跨越，生动彰显了香樟助学“扶志”与“扶智”相结合的育人实效。</w:t>
            </w:r>
          </w:p>
          <w:p w14:paraId="3FCAF320">
            <w:pPr>
              <w:spacing w:before="80" w:after="40" w:line="480" w:lineRule="exact"/>
              <w:ind w:firstLine="560"/>
              <w:jc w:val="left"/>
            </w:pPr>
            <w:r>
              <w:rPr>
                <w:rFonts w:ascii="楷体" w:hAnsi="楷体" w:eastAsia="楷体"/>
                <w:b/>
                <w:color w:val="000000"/>
                <w:sz w:val="28"/>
              </w:rPr>
              <w:t>（二）服务与运行成效：真实数据支撑的平稳冷启动</w:t>
            </w:r>
          </w:p>
          <w:p w14:paraId="79E6B282">
            <w:pPr>
              <w:spacing w:before="0" w:after="0" w:line="480" w:lineRule="exact"/>
              <w:ind w:firstLine="560"/>
              <w:jc w:val="both"/>
            </w:pPr>
            <w:r>
              <w:rPr>
                <w:rFonts w:ascii="仿宋_GB2312" w:hAnsi="仿宋_GB2312" w:eastAsia="仿宋_GB2312"/>
                <w:b w:val="0"/>
                <w:color w:val="000000"/>
                <w:sz w:val="28"/>
              </w:rPr>
              <w:t>在服务实效方面，项目坚持求真务实，拒绝浮夸夸大。根据后台管理控制台全站监控大盘的实际运行监测（如图5所示）：</w:t>
            </w:r>
          </w:p>
          <w:p w14:paraId="14282094">
            <w:pPr>
              <w:spacing w:before="0" w:after="0" w:line="480" w:lineRule="exact"/>
              <w:ind w:firstLine="560"/>
              <w:jc w:val="both"/>
            </w:pPr>
            <w:r>
              <w:rPr>
                <w:rFonts w:ascii="仿宋_GB2312" w:hAnsi="仿宋_GB2312" w:eastAsia="仿宋_GB2312"/>
                <w:b w:val="0"/>
                <w:color w:val="000000"/>
                <w:sz w:val="28"/>
              </w:rPr>
              <w:t>1. 整体访问表现：在系统平稳过渡至正式运行域名 book.ncuos.com 的冷启动试运行期间，全站累计访问平稳起步，在开学前夕的活跃周期内保持良性访问态势，网络首屏加载迅速，多校区跨网段访问体验显著提升；</w:t>
            </w:r>
          </w:p>
          <w:p w14:paraId="3156D8AF">
            <w:pPr>
              <w:spacing w:before="0" w:after="0" w:line="480" w:lineRule="exact"/>
              <w:ind w:firstLine="560"/>
              <w:jc w:val="both"/>
            </w:pPr>
            <w:r>
              <w:rPr>
                <w:rFonts w:ascii="仿宋_GB2312" w:hAnsi="仿宋_GB2312" w:eastAsia="仿宋_GB2312"/>
                <w:b w:val="0"/>
                <w:color w:val="000000"/>
                <w:sz w:val="28"/>
              </w:rPr>
              <w:t>2. 关注焦点分析：从初期访问轨迹来看，师生关注度较高的内容主要集中在开学适应指南、学长学姐经验包以及体能测试与校园跑规则等切身痛点模块，充分验证了平台内容紧贴学生真实需求的实用价值；</w:t>
            </w:r>
          </w:p>
          <w:p w14:paraId="69D8BF09">
            <w:pPr>
              <w:spacing w:before="0" w:after="0" w:line="480" w:lineRule="exact"/>
              <w:ind w:firstLine="560"/>
              <w:jc w:val="both"/>
            </w:pPr>
            <w:r>
              <w:rPr>
                <w:rFonts w:ascii="仿宋_GB2312" w:hAnsi="仿宋_GB2312" w:eastAsia="仿宋_GB2312"/>
                <w:b w:val="0"/>
                <w:color w:val="000000"/>
                <w:sz w:val="28"/>
              </w:rPr>
              <w:t>3. 检索与问答实态：站内检索功能在小范围试用期间，如实沉淀了学生关于选课流程、学分绩点计算、校园卡办理、转专业时间节点等高频刚需的搜索意向，大盘预警机制敏锐排查出若干知识盲区，为团队指明了当前必须在文档库中紧急补充的重点条目；同时，AI 问答助手处于接口联调与防幻觉测试阶段，尚未正式面向全校大规模开放，各项工作推进节奏真实、稳健有序。</w:t>
            </w:r>
          </w:p>
          <w:p w14:paraId="3CAB0634">
            <w:pPr>
              <w:spacing w:before="160" w:after="80" w:line="520" w:lineRule="exact"/>
              <w:ind w:firstLine="0"/>
              <w:jc w:val="left"/>
            </w:pPr>
            <w:r>
              <w:rPr>
                <w:rFonts w:ascii="黑体" w:hAnsi="黑体" w:eastAsia="黑体"/>
                <w:b/>
                <w:color w:val="000000"/>
                <w:sz w:val="32"/>
              </w:rPr>
              <w:t>四、项目存在的困难及问题</w:t>
            </w:r>
          </w:p>
          <w:p w14:paraId="2C3D9A83">
            <w:pPr>
              <w:spacing w:before="0" w:after="0" w:line="480" w:lineRule="exact"/>
              <w:ind w:firstLine="560"/>
              <w:jc w:val="both"/>
            </w:pPr>
            <w:r>
              <w:rPr>
                <w:rFonts w:ascii="仿宋_GB2312" w:hAnsi="仿宋_GB2312" w:eastAsia="仿宋_GB2312"/>
                <w:b w:val="0"/>
                <w:color w:val="000000"/>
                <w:sz w:val="28"/>
              </w:rPr>
              <w:t>对照项目长期高可用运行与全校迎新服务的目标，团队在实际推进中客观存在以下四方面亟待解决的困难与问题：</w:t>
            </w:r>
          </w:p>
          <w:p w14:paraId="7F3436F5">
            <w:pPr>
              <w:spacing w:before="0" w:after="0" w:line="480" w:lineRule="exact"/>
              <w:ind w:firstLine="560"/>
              <w:jc w:val="both"/>
            </w:pPr>
            <w:r>
              <w:rPr>
                <w:rFonts w:ascii="仿宋_GB2312" w:hAnsi="仿宋_GB2312" w:eastAsia="仿宋_GB2312"/>
                <w:b w:val="0"/>
                <w:color w:val="000000"/>
                <w:sz w:val="28"/>
              </w:rPr>
              <w:t>第一，缺乏高性能、大存储的服务器硬件与基础设施资源。目前项目主要依赖轻量云服务与第三方免费数据库额度维系日常运行，缺乏学校统一支持的高性能、大容量独立服务器。随着后续手册多媒体资源（如办事流程高清图解、校园实景导览等）的大幅扩充，以及未来搭建本地私有化向量数据库以进一步提升检索深度与保障数据安全的需要，现有的轻量云端资源已逐渐显露出存储与计算瓶颈，硬件资源短缺成为制约系统向高阶演进的一大障碍。</w:t>
            </w:r>
          </w:p>
          <w:p w14:paraId="72BBCFCB">
            <w:pPr>
              <w:spacing w:before="0" w:after="0" w:line="480" w:lineRule="exact"/>
              <w:ind w:firstLine="560"/>
              <w:jc w:val="both"/>
            </w:pPr>
            <w:r>
              <w:rPr>
                <w:rFonts w:ascii="仿宋_GB2312" w:hAnsi="仿宋_GB2312" w:eastAsia="仿宋_GB2312"/>
                <w:b w:val="0"/>
                <w:color w:val="000000"/>
                <w:sz w:val="28"/>
              </w:rPr>
              <w:t>第二，AI 智能助手商用大模型 API 调用成本缺乏报销通道。AI 智能问答助手接入商用大语言模型开展意图理解与自然语言生成，在研发调试与灰度测试阶段产生的调用费用目前多由学生骨干个人自行垫付。一旦迎新季全校师生大规模并发使用，模型调用将产生持续的开支，而目前学生团队缺乏相应的技术服务专项经费与报销渠道，经费保障短板制约了 AI 助手的全量上线与常态化服务。</w:t>
            </w:r>
          </w:p>
          <w:p w14:paraId="7A421B72">
            <w:pPr>
              <w:spacing w:before="0" w:after="0" w:line="480" w:lineRule="exact"/>
              <w:ind w:firstLine="560"/>
              <w:jc w:val="both"/>
            </w:pPr>
            <w:r>
              <w:rPr>
                <w:rFonts w:ascii="仿宋_GB2312" w:hAnsi="仿宋_GB2312" w:eastAsia="仿宋_GB2312"/>
                <w:b w:val="0"/>
                <w:color w:val="000000"/>
                <w:sz w:val="28"/>
              </w:rPr>
              <w:t>第三，垂直场景下大模型“防幻觉”控制与动态知识库更新时序难点。高校学工政策、校历安排与转专业流程具有极强的时效性与严肃性。通用大模型在面对冷门或跨年度问题时，容易出现推论偏差或混淆旧规章的“幻觉”现象；同时，从官方文档库到结构化检索底层的自动化同步链路仍存在一定时滞，如何实现规章制度变更的秒级穿透与强约束校验仍需技术攻关。</w:t>
            </w:r>
          </w:p>
          <w:p w14:paraId="39466ADE">
            <w:pPr>
              <w:spacing w:before="0" w:after="0" w:line="480" w:lineRule="exact"/>
              <w:ind w:firstLine="560"/>
              <w:jc w:val="both"/>
            </w:pPr>
            <w:r>
              <w:rPr>
                <w:rFonts w:ascii="仿宋_GB2312" w:hAnsi="仿宋_GB2312" w:eastAsia="仿宋_GB2312"/>
                <w:b w:val="0"/>
                <w:color w:val="000000"/>
                <w:sz w:val="28"/>
              </w:rPr>
              <w:t>第四，学生研发团队的工程规范沉淀与长效培育机制亟待加强。学生骨干受毕业升学、求职实习等客观因素影响，团队流动性较为自然，对工程架构文档化与代码注释规范提出了更高要求；此前一度出现的部署流水线维护问题，反映出系统架构设计、技术文档与工程运维规范仍需进一步制度化，以保障技术经验的持续积淀与长效传承。</w:t>
            </w:r>
          </w:p>
          <w:p w14:paraId="316D2C4B">
            <w:pPr>
              <w:spacing w:before="160" w:after="80" w:line="520" w:lineRule="exact"/>
              <w:ind w:firstLine="0"/>
              <w:jc w:val="left"/>
            </w:pPr>
            <w:r>
              <w:rPr>
                <w:rFonts w:ascii="黑体" w:hAnsi="黑体" w:eastAsia="黑体"/>
                <w:b/>
                <w:color w:val="000000"/>
                <w:sz w:val="32"/>
              </w:rPr>
              <w:t>五、下一步计划</w:t>
            </w:r>
          </w:p>
          <w:p w14:paraId="46ED4E04">
            <w:pPr>
              <w:spacing w:before="0" w:after="0" w:line="480" w:lineRule="exact"/>
              <w:ind w:firstLine="560"/>
              <w:jc w:val="both"/>
            </w:pPr>
            <w:r>
              <w:rPr>
                <w:rFonts w:ascii="仿宋_GB2312" w:hAnsi="仿宋_GB2312" w:eastAsia="仿宋_GB2312"/>
                <w:b w:val="0"/>
                <w:color w:val="000000"/>
                <w:sz w:val="28"/>
              </w:rPr>
              <w:t>紧扣2026年秋季迎新季关键服务窗口与中期检查后的整改要求，团队在2026年下半年将抓好以下四项核心工作：</w:t>
            </w:r>
          </w:p>
          <w:p w14:paraId="71131279">
            <w:pPr>
              <w:spacing w:before="0" w:after="0" w:line="480" w:lineRule="exact"/>
              <w:ind w:firstLine="560"/>
              <w:jc w:val="both"/>
            </w:pPr>
            <w:r>
              <w:rPr>
                <w:rFonts w:ascii="仿宋_GB2312" w:hAnsi="仿宋_GB2312" w:eastAsia="仿宋_GB2312"/>
                <w:b w:val="0"/>
                <w:color w:val="000000"/>
                <w:sz w:val="28"/>
              </w:rPr>
              <w:t>第一，积极争取硬件与经费支持，稳步推进 AI 智能问答助手正式上线。在党委学工部指导下，积极争取协调校内高性能服务器与云存储资源；沟通落实大模型接口调用的专项报销与经费保障通道。技术组将深化提示词工程防幻觉调优，引入置信度过滤与人工兜底逻辑，确保在迎新季前实现 AI 问答助手的平稳正式上线。</w:t>
            </w:r>
          </w:p>
          <w:p w14:paraId="61DE9D26">
            <w:pPr>
              <w:spacing w:before="0" w:after="0" w:line="480" w:lineRule="exact"/>
              <w:ind w:firstLine="560"/>
              <w:jc w:val="both"/>
            </w:pPr>
            <w:r>
              <w:rPr>
                <w:rFonts w:ascii="仿宋_GB2312" w:hAnsi="仿宋_GB2312" w:eastAsia="仿宋_GB2312"/>
                <w:b w:val="0"/>
                <w:color w:val="000000"/>
                <w:sz w:val="28"/>
              </w:rPr>
              <w:t>第二，以后台检索预警数据为导向，全面补齐核心知识库。紧密结合后台大盘捕获的选课抢课实战、学分绩点算法、校园卡使用、转专业资格等高频搜索盲区，组织采编组在文档库中进行集中补录与多方核验，力争在新生报到前实现全校共性高频问题的全面覆盖。</w:t>
            </w:r>
          </w:p>
          <w:p w14:paraId="5FB04E1D">
            <w:pPr>
              <w:spacing w:before="0" w:after="0" w:line="480" w:lineRule="exact"/>
              <w:ind w:firstLine="560"/>
              <w:jc w:val="both"/>
              <w:rPr>
                <w:rFonts w:ascii="仿宋_GB2312" w:hAnsi="仿宋_GB2312" w:eastAsia="仿宋_GB2312"/>
                <w:b w:val="0"/>
                <w:color w:val="000000"/>
                <w:sz w:val="28"/>
              </w:rPr>
            </w:pPr>
            <w:r>
              <w:rPr>
                <w:rFonts w:ascii="仿宋_GB2312" w:hAnsi="仿宋_GB2312" w:eastAsia="仿宋_GB2312"/>
                <w:b w:val="0"/>
                <w:color w:val="000000"/>
                <w:sz w:val="28"/>
              </w:rPr>
              <w:t>第三，完善勤工助学岗位长效培养机制，落实劳酬补发与梯队传承。依照中期检查工作要求，做好 2026 年 3 月至 6 月学生勤工助学劳酬的一次性补发工作，激励受助学子持续投入；编写《项目工程开发与技术运维规范手册》，建立“老带新”结对带教模式，将代码规范、分支权限与发布流程标准化，保障项目长效生命力。</w:t>
            </w:r>
            <w:bookmarkStart w:id="0" w:name="_GoBack"/>
            <w:bookmarkEnd w:id="0"/>
          </w:p>
          <w:p w14:paraId="5CCBC144">
            <w:pPr>
              <w:spacing w:before="360" w:after="0" w:line="540" w:lineRule="exact"/>
              <w:ind w:firstLine="0"/>
              <w:jc w:val="center"/>
              <w:rPr>
                <w:rFonts w:hint="eastAsia" w:ascii="仿宋_GB2312" w:hAnsi="仿宋_GB2312" w:eastAsia="仿宋_GB2312"/>
                <w:sz w:val="28"/>
                <w:lang w:val="en-US" w:eastAsia="zh-CN"/>
              </w:rPr>
            </w:pPr>
            <w:r>
              <w:rPr>
                <w:rFonts w:ascii="仿宋_GB2312" w:hAnsi="仿宋_GB2312" w:eastAsia="仿宋_GB2312"/>
                <w:sz w:val="28"/>
              </w:rPr>
              <w:t xml:space="preserve">          项目负责老师签字：</w:t>
            </w:r>
            <w:r>
              <w:rPr>
                <w:rFonts w:hint="eastAsia" w:ascii="仿宋_GB2312" w:hAnsi="仿宋_GB2312" w:eastAsia="仿宋_GB2312"/>
                <w:sz w:val="28"/>
                <w:lang w:val="en-US" w:eastAsia="zh-CN"/>
              </w:rPr>
              <w:t xml:space="preserve">        </w:t>
            </w:r>
          </w:p>
          <w:p w14:paraId="598E057D">
            <w:pPr>
              <w:spacing w:before="360" w:after="0" w:line="540" w:lineRule="exact"/>
              <w:ind w:firstLine="0"/>
              <w:jc w:val="center"/>
              <w:rPr>
                <w:rFonts w:hint="eastAsia" w:ascii="仿宋_GB2312" w:hAnsi="仿宋_GB2312" w:eastAsia="仿宋_GB2312"/>
                <w:sz w:val="28"/>
                <w:lang w:val="en-US" w:eastAsia="zh-CN"/>
              </w:rPr>
            </w:pPr>
          </w:p>
          <w:p w14:paraId="7C978F95">
            <w:pPr>
              <w:spacing w:before="0" w:after="240" w:line="540" w:lineRule="exact"/>
              <w:ind w:firstLine="0"/>
              <w:jc w:val="center"/>
            </w:pPr>
            <w:r>
              <w:rPr>
                <w:rFonts w:ascii="仿宋_GB2312" w:hAnsi="仿宋_GB2312" w:eastAsia="仿宋_GB2312"/>
                <w:sz w:val="28"/>
              </w:rPr>
              <w:t xml:space="preserve">                                   </w:t>
            </w:r>
            <w:r>
              <w:rPr>
                <w:rFonts w:hint="eastAsia" w:ascii="仿宋_GB2312" w:hAnsi="仿宋_GB2312" w:eastAsia="仿宋_GB2312"/>
                <w:sz w:val="28"/>
                <w:lang w:val="en-US" w:eastAsia="zh-CN"/>
              </w:rPr>
              <w:t>2026</w:t>
            </w:r>
            <w:r>
              <w:rPr>
                <w:rFonts w:ascii="仿宋_GB2312" w:hAnsi="仿宋_GB2312" w:eastAsia="仿宋_GB2312"/>
                <w:sz w:val="28"/>
              </w:rPr>
              <w:t xml:space="preserve"> 年 </w:t>
            </w:r>
            <w:r>
              <w:rPr>
                <w:rFonts w:hint="eastAsia" w:ascii="仿宋_GB2312" w:hAnsi="仿宋_GB2312" w:eastAsia="仿宋_GB2312"/>
                <w:sz w:val="28"/>
                <w:lang w:val="en-US" w:eastAsia="zh-CN"/>
              </w:rPr>
              <w:t>9</w:t>
            </w:r>
            <w:r>
              <w:rPr>
                <w:rFonts w:ascii="仿宋_GB2312" w:hAnsi="仿宋_GB2312" w:eastAsia="仿宋_GB2312"/>
                <w:sz w:val="28"/>
              </w:rPr>
              <w:t xml:space="preserve">月 </w:t>
            </w:r>
            <w:r>
              <w:rPr>
                <w:rFonts w:hint="eastAsia" w:ascii="仿宋_GB2312" w:hAnsi="仿宋_GB2312" w:eastAsia="仿宋_GB2312"/>
                <w:sz w:val="28"/>
                <w:lang w:val="en-US" w:eastAsia="zh-CN"/>
              </w:rPr>
              <w:t>20</w:t>
            </w:r>
            <w:r>
              <w:rPr>
                <w:rFonts w:ascii="仿宋_GB2312" w:hAnsi="仿宋_GB2312" w:eastAsia="仿宋_GB2312"/>
                <w:sz w:val="28"/>
              </w:rPr>
              <w:t xml:space="preserve">日       </w:t>
            </w:r>
          </w:p>
        </w:tc>
      </w:tr>
    </w:tbl>
    <w:p w14:paraId="078C8C50">
      <w:pPr>
        <w:spacing w:before="0" w:after="0" w:line="20" w:lineRule="exact"/>
        <w:rPr>
          <w:rFonts w:hint="eastAsia" w:asciiTheme="majorEastAsia" w:hAnsiTheme="majorEastAsia" w:eastAsiaTheme="majorEastAsia" w:cstheme="majorEastAsia"/>
          <w:b/>
          <w:bCs/>
          <w:sz w:val="44"/>
          <w:szCs w:val="44"/>
        </w:rPr>
      </w:pPr>
    </w:p>
    <w:p w14:paraId="77DF9B53">
      <w:pPr>
        <w:pageBreakBefore/>
        <w:jc w:val="center"/>
        <w:rPr>
          <w:rFonts w:hint="eastAsia"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lang w:val="en-US" w:eastAsia="zh-CN"/>
        </w:rPr>
        <w:t>三</w:t>
      </w:r>
      <w:r>
        <w:rPr>
          <w:rFonts w:hint="eastAsia" w:asciiTheme="majorEastAsia" w:hAnsiTheme="majorEastAsia" w:eastAsiaTheme="majorEastAsia" w:cstheme="majorEastAsia"/>
          <w:b/>
          <w:bCs/>
          <w:sz w:val="44"/>
          <w:szCs w:val="44"/>
        </w:rPr>
        <w:t>、审核检查意见</w:t>
      </w: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9"/>
        <w:gridCol w:w="7643"/>
      </w:tblGrid>
      <w:tr w14:paraId="4B608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7" w:hRule="atLeast"/>
          <w:jc w:val="center"/>
        </w:trPr>
        <w:tc>
          <w:tcPr>
            <w:tcW w:w="879" w:type="dxa"/>
            <w:vAlign w:val="center"/>
          </w:tcPr>
          <w:p w14:paraId="4C53BBEF">
            <w:pPr>
              <w:spacing w:line="540" w:lineRule="exact"/>
              <w:jc w:val="center"/>
              <w:rPr>
                <w:rFonts w:ascii="仿宋_GB2312" w:hAnsi="仿宋_GB2312" w:eastAsia="仿宋_GB2312" w:cs="仿宋_GB2312"/>
                <w:kern w:val="0"/>
                <w:sz w:val="28"/>
              </w:rPr>
            </w:pPr>
            <w:r>
              <w:rPr>
                <w:rFonts w:hint="eastAsia" w:ascii="仿宋_GB2312" w:hAnsi="仿宋_GB2312" w:eastAsia="仿宋_GB2312" w:cs="仿宋_GB2312"/>
                <w:spacing w:val="20"/>
                <w:kern w:val="0"/>
                <w:sz w:val="28"/>
                <w:szCs w:val="28"/>
              </w:rPr>
              <w:t>单位意见</w:t>
            </w:r>
          </w:p>
        </w:tc>
        <w:tc>
          <w:tcPr>
            <w:tcW w:w="7643" w:type="dxa"/>
            <w:vAlign w:val="center"/>
          </w:tcPr>
          <w:p w14:paraId="754177F5">
            <w:pPr>
              <w:spacing w:line="540" w:lineRule="exact"/>
              <w:rPr>
                <w:rFonts w:ascii="仿宋_GB2312" w:hAnsi="仿宋_GB2312" w:eastAsia="仿宋_GB2312" w:cs="仿宋_GB2312"/>
                <w:kern w:val="0"/>
                <w:sz w:val="28"/>
                <w:szCs w:val="28"/>
              </w:rPr>
            </w:pPr>
          </w:p>
          <w:p w14:paraId="1F532453">
            <w:pPr>
              <w:spacing w:line="540" w:lineRule="exact"/>
              <w:rPr>
                <w:rFonts w:ascii="仿宋_GB2312" w:hAnsi="仿宋_GB2312" w:eastAsia="仿宋_GB2312" w:cs="仿宋_GB2312"/>
                <w:kern w:val="0"/>
                <w:sz w:val="28"/>
                <w:szCs w:val="28"/>
              </w:rPr>
            </w:pPr>
          </w:p>
          <w:p w14:paraId="7F6EEF68">
            <w:pPr>
              <w:spacing w:line="540" w:lineRule="exact"/>
              <w:rPr>
                <w:rFonts w:ascii="仿宋_GB2312" w:hAnsi="仿宋_GB2312" w:eastAsia="仿宋_GB2312" w:cs="仿宋_GB2312"/>
                <w:kern w:val="0"/>
                <w:sz w:val="28"/>
                <w:szCs w:val="28"/>
              </w:rPr>
            </w:pPr>
          </w:p>
          <w:p w14:paraId="2538064F">
            <w:pPr>
              <w:spacing w:line="540" w:lineRule="exact"/>
              <w:rPr>
                <w:rFonts w:ascii="仿宋_GB2312" w:hAnsi="仿宋_GB2312" w:eastAsia="仿宋_GB2312" w:cs="仿宋_GB2312"/>
                <w:kern w:val="0"/>
                <w:sz w:val="28"/>
                <w:szCs w:val="28"/>
              </w:rPr>
            </w:pPr>
          </w:p>
          <w:p w14:paraId="1FC55E7B">
            <w:pPr>
              <w:spacing w:line="540" w:lineRule="exact"/>
              <w:rPr>
                <w:rFonts w:ascii="仿宋_GB2312" w:hAnsi="仿宋_GB2312" w:eastAsia="仿宋_GB2312" w:cs="仿宋_GB2312"/>
                <w:kern w:val="0"/>
                <w:sz w:val="28"/>
                <w:szCs w:val="28"/>
              </w:rPr>
            </w:pPr>
          </w:p>
          <w:p w14:paraId="7825A561">
            <w:pPr>
              <w:spacing w:line="540" w:lineRule="exact"/>
              <w:rPr>
                <w:rFonts w:ascii="仿宋_GB2312" w:hAnsi="仿宋_GB2312" w:eastAsia="仿宋_GB2312" w:cs="仿宋_GB2312"/>
                <w:kern w:val="0"/>
                <w:sz w:val="28"/>
                <w:szCs w:val="28"/>
              </w:rPr>
            </w:pPr>
          </w:p>
          <w:p w14:paraId="14C4B5CA">
            <w:pPr>
              <w:spacing w:line="540" w:lineRule="exact"/>
              <w:rPr>
                <w:rFonts w:ascii="仿宋_GB2312" w:hAnsi="仿宋_GB2312" w:eastAsia="仿宋_GB2312" w:cs="仿宋_GB2312"/>
                <w:kern w:val="0"/>
                <w:sz w:val="28"/>
                <w:szCs w:val="28"/>
              </w:rPr>
            </w:pPr>
          </w:p>
          <w:p w14:paraId="6F35CC72">
            <w:pPr>
              <w:spacing w:line="540" w:lineRule="exact"/>
              <w:rPr>
                <w:rFonts w:ascii="仿宋_GB2312" w:hAnsi="仿宋_GB2312" w:eastAsia="仿宋_GB2312" w:cs="仿宋_GB2312"/>
                <w:kern w:val="0"/>
                <w:sz w:val="28"/>
                <w:szCs w:val="28"/>
              </w:rPr>
            </w:pPr>
          </w:p>
          <w:p w14:paraId="0797792B">
            <w:pPr>
              <w:spacing w:line="540" w:lineRule="exact"/>
              <w:rPr>
                <w:rFonts w:ascii="仿宋_GB2312" w:hAnsi="仿宋_GB2312" w:eastAsia="仿宋_GB2312" w:cs="仿宋_GB2312"/>
                <w:kern w:val="0"/>
                <w:sz w:val="28"/>
                <w:szCs w:val="28"/>
              </w:rPr>
            </w:pPr>
          </w:p>
          <w:p w14:paraId="1748BAA8">
            <w:pPr>
              <w:spacing w:line="540" w:lineRule="exact"/>
              <w:ind w:right="840"/>
              <w:jc w:val="right"/>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项目单位领导签字：</w:t>
            </w:r>
          </w:p>
          <w:p w14:paraId="65C0DFA0">
            <w:pPr>
              <w:spacing w:line="540" w:lineRule="exact"/>
              <w:ind w:right="840"/>
              <w:jc w:val="right"/>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项目单位（公章）：</w:t>
            </w:r>
          </w:p>
          <w:p w14:paraId="30322EBC">
            <w:pPr>
              <w:wordWrap w:val="0"/>
              <w:spacing w:line="540" w:lineRule="exact"/>
              <w:jc w:val="right"/>
              <w:rPr>
                <w:rFonts w:ascii="仿宋_GB2312" w:hAnsi="仿宋_GB2312" w:eastAsia="仿宋_GB2312" w:cs="仿宋_GB2312"/>
                <w:kern w:val="0"/>
                <w:sz w:val="28"/>
              </w:rPr>
            </w:pPr>
            <w:r>
              <w:rPr>
                <w:rFonts w:hint="eastAsia" w:ascii="仿宋_GB2312" w:hAnsi="仿宋_GB2312" w:eastAsia="仿宋_GB2312" w:cs="仿宋_GB2312"/>
                <w:kern w:val="0"/>
                <w:sz w:val="28"/>
                <w:szCs w:val="28"/>
              </w:rPr>
              <w:t xml:space="preserve">年   月   日          </w:t>
            </w:r>
          </w:p>
        </w:tc>
      </w:tr>
      <w:tr w14:paraId="2C866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9" w:hRule="atLeast"/>
          <w:jc w:val="center"/>
        </w:trPr>
        <w:tc>
          <w:tcPr>
            <w:tcW w:w="879" w:type="dxa"/>
            <w:tcBorders>
              <w:bottom w:val="single" w:color="auto" w:sz="4" w:space="0"/>
            </w:tcBorders>
            <w:vAlign w:val="center"/>
          </w:tcPr>
          <w:p w14:paraId="51C1F68C">
            <w:pPr>
              <w:spacing w:before="240" w:line="540" w:lineRule="exact"/>
              <w:jc w:val="center"/>
              <w:rPr>
                <w:rFonts w:ascii="仿宋_GB2312" w:hAnsi="仿宋_GB2312" w:eastAsia="仿宋_GB2312" w:cs="仿宋_GB2312"/>
                <w:spacing w:val="20"/>
                <w:kern w:val="0"/>
                <w:sz w:val="28"/>
                <w:szCs w:val="28"/>
              </w:rPr>
            </w:pPr>
            <w:r>
              <w:rPr>
                <w:rFonts w:hint="eastAsia" w:ascii="仿宋_GB2312" w:hAnsi="仿宋_GB2312" w:eastAsia="仿宋_GB2312" w:cs="仿宋_GB2312"/>
                <w:spacing w:val="20"/>
                <w:kern w:val="0"/>
                <w:sz w:val="28"/>
                <w:szCs w:val="28"/>
              </w:rPr>
              <w:t>检查意见</w:t>
            </w:r>
          </w:p>
        </w:tc>
        <w:tc>
          <w:tcPr>
            <w:tcW w:w="7643" w:type="dxa"/>
            <w:tcBorders>
              <w:bottom w:val="single" w:color="auto" w:sz="4" w:space="0"/>
            </w:tcBorders>
          </w:tcPr>
          <w:p w14:paraId="3AB30F9D">
            <w:pPr>
              <w:spacing w:line="540" w:lineRule="exact"/>
              <w:ind w:firstLine="691" w:firstLineChars="247"/>
              <w:rPr>
                <w:rFonts w:ascii="仿宋_GB2312" w:hAnsi="仿宋_GB2312" w:eastAsia="仿宋_GB2312" w:cs="仿宋_GB2312"/>
                <w:kern w:val="0"/>
                <w:sz w:val="28"/>
                <w:szCs w:val="28"/>
              </w:rPr>
            </w:pPr>
          </w:p>
          <w:p w14:paraId="3B0D830A">
            <w:pPr>
              <w:wordWrap w:val="0"/>
              <w:spacing w:line="540" w:lineRule="exact"/>
              <w:ind w:firstLine="691" w:firstLineChars="247"/>
              <w:rPr>
                <w:rFonts w:ascii="仿宋_GB2312" w:hAnsi="仿宋_GB2312" w:eastAsia="仿宋_GB2312" w:cs="仿宋_GB2312"/>
                <w:kern w:val="0"/>
                <w:sz w:val="28"/>
                <w:szCs w:val="28"/>
              </w:rPr>
            </w:pPr>
          </w:p>
          <w:p w14:paraId="0C0E5D4F">
            <w:pPr>
              <w:wordWrap w:val="0"/>
              <w:spacing w:line="540" w:lineRule="exact"/>
              <w:ind w:firstLine="691" w:firstLineChars="247"/>
              <w:rPr>
                <w:rFonts w:ascii="仿宋_GB2312" w:hAnsi="仿宋_GB2312" w:eastAsia="仿宋_GB2312" w:cs="仿宋_GB2312"/>
                <w:kern w:val="0"/>
                <w:sz w:val="28"/>
                <w:szCs w:val="28"/>
              </w:rPr>
            </w:pPr>
          </w:p>
          <w:p w14:paraId="07281DE9">
            <w:pPr>
              <w:wordWrap w:val="0"/>
              <w:spacing w:line="540" w:lineRule="exact"/>
              <w:ind w:firstLine="691" w:firstLineChars="247"/>
              <w:rPr>
                <w:rFonts w:ascii="仿宋_GB2312" w:hAnsi="仿宋_GB2312" w:eastAsia="仿宋_GB2312" w:cs="仿宋_GB2312"/>
                <w:kern w:val="0"/>
                <w:sz w:val="28"/>
                <w:szCs w:val="28"/>
              </w:rPr>
            </w:pPr>
          </w:p>
          <w:p w14:paraId="2BBE8439">
            <w:pPr>
              <w:wordWrap w:val="0"/>
              <w:spacing w:line="540" w:lineRule="exact"/>
              <w:ind w:firstLine="691" w:firstLineChars="247"/>
              <w:rPr>
                <w:rFonts w:ascii="仿宋_GB2312" w:hAnsi="仿宋_GB2312" w:eastAsia="仿宋_GB2312" w:cs="仿宋_GB2312"/>
                <w:kern w:val="0"/>
                <w:sz w:val="28"/>
                <w:szCs w:val="28"/>
              </w:rPr>
            </w:pPr>
          </w:p>
          <w:p w14:paraId="268BB904">
            <w:pPr>
              <w:wordWrap w:val="0"/>
              <w:spacing w:line="540" w:lineRule="exact"/>
              <w:ind w:firstLine="691" w:firstLineChars="247"/>
              <w:rPr>
                <w:rFonts w:ascii="仿宋_GB2312" w:hAnsi="仿宋_GB2312" w:eastAsia="仿宋_GB2312" w:cs="仿宋_GB2312"/>
                <w:kern w:val="0"/>
                <w:sz w:val="28"/>
                <w:szCs w:val="28"/>
              </w:rPr>
            </w:pPr>
          </w:p>
          <w:p w14:paraId="7ABA5CC4">
            <w:pPr>
              <w:wordWrap w:val="0"/>
              <w:spacing w:line="540" w:lineRule="exact"/>
              <w:ind w:firstLine="691" w:firstLineChars="247"/>
              <w:rPr>
                <w:rFonts w:ascii="仿宋_GB2312" w:hAnsi="仿宋_GB2312" w:eastAsia="仿宋_GB2312" w:cs="仿宋_GB2312"/>
                <w:kern w:val="0"/>
                <w:sz w:val="28"/>
                <w:szCs w:val="28"/>
              </w:rPr>
            </w:pPr>
          </w:p>
          <w:p w14:paraId="54A28F0B">
            <w:pPr>
              <w:wordWrap w:val="0"/>
              <w:spacing w:line="540" w:lineRule="exact"/>
              <w:ind w:firstLine="691" w:firstLineChars="247"/>
              <w:rPr>
                <w:rFonts w:ascii="仿宋_GB2312" w:hAnsi="仿宋_GB2312" w:eastAsia="仿宋_GB2312" w:cs="仿宋_GB2312"/>
                <w:kern w:val="0"/>
                <w:sz w:val="28"/>
                <w:szCs w:val="28"/>
              </w:rPr>
            </w:pPr>
          </w:p>
          <w:p w14:paraId="595CD5D6">
            <w:pPr>
              <w:spacing w:line="540" w:lineRule="exact"/>
              <w:jc w:val="center"/>
              <w:rPr>
                <w:rFonts w:ascii="仿宋_GB2312" w:hAnsi="仿宋_GB2312" w:eastAsia="仿宋_GB2312" w:cs="仿宋_GB2312"/>
                <w:kern w:val="0"/>
                <w:sz w:val="28"/>
                <w:szCs w:val="28"/>
              </w:rPr>
            </w:pPr>
            <w:r>
              <w:rPr>
                <w:rFonts w:hint="eastAsia" w:ascii="仿宋_GB2312" w:hAnsi="仿宋_GB2312" w:eastAsia="仿宋_GB2312" w:cs="仿宋_GB2312"/>
                <w:spacing w:val="20"/>
                <w:kern w:val="0"/>
                <w:sz w:val="28"/>
                <w:szCs w:val="28"/>
              </w:rPr>
              <w:t xml:space="preserve">           学生资助中心（公章）</w:t>
            </w:r>
            <w:r>
              <w:rPr>
                <w:rFonts w:hint="eastAsia" w:ascii="仿宋_GB2312" w:hAnsi="仿宋_GB2312" w:eastAsia="仿宋_GB2312" w:cs="仿宋_GB2312"/>
                <w:kern w:val="0"/>
                <w:sz w:val="28"/>
                <w:szCs w:val="28"/>
              </w:rPr>
              <w:t xml:space="preserve">：   </w:t>
            </w:r>
          </w:p>
          <w:p w14:paraId="28EC0581">
            <w:pPr>
              <w:spacing w:line="540" w:lineRule="exact"/>
              <w:jc w:val="cente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 xml:space="preserve">                 年   月   日</w:t>
            </w:r>
          </w:p>
          <w:p w14:paraId="7EA180A1">
            <w:pPr>
              <w:spacing w:line="540" w:lineRule="exact"/>
              <w:ind w:right="2240"/>
              <w:jc w:val="right"/>
              <w:rPr>
                <w:rFonts w:ascii="仿宋_GB2312" w:hAnsi="仿宋_GB2312" w:eastAsia="仿宋_GB2312" w:cs="仿宋_GB2312"/>
                <w:kern w:val="0"/>
                <w:sz w:val="28"/>
                <w:szCs w:val="28"/>
              </w:rPr>
            </w:pPr>
          </w:p>
        </w:tc>
      </w:tr>
    </w:tbl>
    <w:p w14:paraId="50238437">
      <w:pPr>
        <w:spacing w:before="0" w:after="0" w:line="20" w:lineRule="exact"/>
        <w:rPr>
          <w:sz w:val="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7865AF-1379-4B89-8398-D75814EA718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C323BFCC-9599-48AF-AE20-BDBC56974144}"/>
  </w:font>
  <w:font w:name="仿宋_GB2312">
    <w:panose1 w:val="02010609030101010101"/>
    <w:charset w:val="86"/>
    <w:family w:val="modern"/>
    <w:pitch w:val="default"/>
    <w:sig w:usb0="00000001" w:usb1="080E0000" w:usb2="00000000" w:usb3="00000000" w:csb0="00040000" w:csb1="00000000"/>
    <w:embedRegular r:id="rId3" w:fontKey="{279F3C04-275D-4E46-A96F-7893F5EC7D22}"/>
  </w:font>
  <w:font w:name="仿宋">
    <w:panose1 w:val="02010609060101010101"/>
    <w:charset w:val="86"/>
    <w:family w:val="auto"/>
    <w:pitch w:val="default"/>
    <w:sig w:usb0="800002BF" w:usb1="38CF7CFA" w:usb2="00000016" w:usb3="00000000" w:csb0="00040001" w:csb1="00000000"/>
    <w:embedRegular r:id="rId4" w:fontKey="{2ECC8A6E-3E3A-40E8-A195-68322D47ED3A}"/>
  </w:font>
  <w:font w:name="楷体">
    <w:panose1 w:val="02010609060101010101"/>
    <w:charset w:val="86"/>
    <w:family w:val="auto"/>
    <w:pitch w:val="default"/>
    <w:sig w:usb0="800002BF" w:usb1="38CF7CFA" w:usb2="00000016" w:usb3="00000000" w:csb0="00040001" w:csb1="00000000"/>
    <w:embedRegular r:id="rId5" w:fontKey="{C5A074B9-5CA7-4FE4-A593-DA7FF7AD5B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F1EA7">
    <w:pPr>
      <w:framePr w:wrap="around" w:vAnchor="text" w:hAnchor="margin" w:xAlign="outside" w:y="1"/>
      <w:snapToGrid w:val="0"/>
      <w:jc w:val="left"/>
      <w:rPr>
        <w:sz w:val="18"/>
        <w:szCs w:val="18"/>
      </w:rPr>
    </w:pPr>
    <w:r>
      <w:rPr>
        <w:sz w:val="18"/>
        <w:szCs w:val="18"/>
      </w:rPr>
      <w:fldChar w:fldCharType="begin"/>
    </w:r>
    <w:r>
      <w:rPr>
        <w:sz w:val="18"/>
        <w:szCs w:val="18"/>
      </w:rPr>
      <w:instrText xml:space="preserve">PAGE  </w:instrText>
    </w:r>
    <w:r>
      <w:rPr>
        <w:sz w:val="18"/>
        <w:szCs w:val="18"/>
      </w:rPr>
      <w:fldChar w:fldCharType="end"/>
    </w:r>
  </w:p>
  <w:p w14:paraId="3B068025">
    <w:pPr>
      <w:snapToGrid w:val="0"/>
      <w:ind w:right="360" w:firstLine="360"/>
      <w:jc w:val="left"/>
      <w:rPr>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C6065"/>
    <w:multiLevelType w:val="singleLevel"/>
    <w:tmpl w:val="812C606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OTBlN2YzYzUwYzM1MzFhNzZiOGM1ZjE0MWQwMGQifQ=="/>
  </w:docVars>
  <w:rsids>
    <w:rsidRoot w:val="027C3493"/>
    <w:rsid w:val="00302F98"/>
    <w:rsid w:val="005552B6"/>
    <w:rsid w:val="006471D8"/>
    <w:rsid w:val="0079090C"/>
    <w:rsid w:val="007F4CED"/>
    <w:rsid w:val="00A405B2"/>
    <w:rsid w:val="00B14ADD"/>
    <w:rsid w:val="00CF5B62"/>
    <w:rsid w:val="00D751FD"/>
    <w:rsid w:val="00F14188"/>
    <w:rsid w:val="027C3493"/>
    <w:rsid w:val="07CA4C73"/>
    <w:rsid w:val="081C4579"/>
    <w:rsid w:val="08422A5C"/>
    <w:rsid w:val="08CE1C4B"/>
    <w:rsid w:val="0A9A7472"/>
    <w:rsid w:val="0AAE0F16"/>
    <w:rsid w:val="0D6B4803"/>
    <w:rsid w:val="121D19E4"/>
    <w:rsid w:val="13E04EA0"/>
    <w:rsid w:val="151614F8"/>
    <w:rsid w:val="15DF4AA7"/>
    <w:rsid w:val="17782AFB"/>
    <w:rsid w:val="1A83450F"/>
    <w:rsid w:val="1C57790E"/>
    <w:rsid w:val="21884584"/>
    <w:rsid w:val="240F02D1"/>
    <w:rsid w:val="2A905451"/>
    <w:rsid w:val="2D3227EF"/>
    <w:rsid w:val="2D69227C"/>
    <w:rsid w:val="32244DFC"/>
    <w:rsid w:val="33355BE8"/>
    <w:rsid w:val="33453A05"/>
    <w:rsid w:val="3BE356A6"/>
    <w:rsid w:val="3F9966FE"/>
    <w:rsid w:val="3FDD483D"/>
    <w:rsid w:val="41C8661A"/>
    <w:rsid w:val="426559BF"/>
    <w:rsid w:val="42EB54C2"/>
    <w:rsid w:val="4565155C"/>
    <w:rsid w:val="492B486B"/>
    <w:rsid w:val="49F1100A"/>
    <w:rsid w:val="4AF13892"/>
    <w:rsid w:val="4E7A36AB"/>
    <w:rsid w:val="4EFC2602"/>
    <w:rsid w:val="5181771E"/>
    <w:rsid w:val="53E53858"/>
    <w:rsid w:val="5C1D6295"/>
    <w:rsid w:val="60CA4511"/>
    <w:rsid w:val="66770C98"/>
    <w:rsid w:val="66F109F0"/>
    <w:rsid w:val="702C2AF3"/>
    <w:rsid w:val="732A4B45"/>
    <w:rsid w:val="77AD62C7"/>
    <w:rsid w:val="77D24925"/>
    <w:rsid w:val="793A002E"/>
    <w:rsid w:val="7CB33D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napToGrid/>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
    <w:name w:val="Title"/>
    <w:qFormat/>
    <w:uiPriority w:val="0"/>
    <w:pPr>
      <w:widowControl w:val="0"/>
      <w:autoSpaceDE/>
      <w:autoSpaceDN/>
      <w:snapToGrid/>
      <w:spacing w:before="240" w:after="60"/>
      <w:jc w:val="center"/>
      <w:outlineLvl w:val="0"/>
    </w:pPr>
    <w:rPr>
      <w:rFonts w:ascii="Arial" w:hAnsi="Arial" w:eastAsia="Arial" w:cs="Arial"/>
      <w:b/>
      <w:bCs/>
      <w:kern w:val="2"/>
      <w:sz w:val="32"/>
      <w:szCs w:val="32"/>
      <w:lang w:val="en-US" w:eastAsia="zh-CN" w:bidi="ar-SA"/>
    </w:rPr>
  </w:style>
  <w:style w:type="character" w:styleId="6">
    <w:name w:val="Strong"/>
    <w:basedOn w:val="5"/>
    <w:qFormat/>
    <w:uiPriority w:val="0"/>
    <w:rPr>
      <w:b/>
    </w:rPr>
  </w:style>
  <w:style w:type="character" w:styleId="7">
    <w:name w:val="page number"/>
    <w:semiHidden/>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4339</Words>
  <Characters>4597</Characters>
  <TotalTime>18</TotalTime>
  <ScaleCrop>false</ScaleCrop>
  <LinksUpToDate>false</LinksUpToDate>
  <CharactersWithSpaces>4820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2026-09-18T18:01:00Z</dcterms:created>
  <dc:creator>呓语</dc:creator>
  <cp:lastModifiedBy>WPS_1757664656</cp:lastModifiedBy>
  <dcterms:modified xsi:type="dcterms:W3CDTF">2026-09-21T07:44:48Z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eyJoZGlkIjoiZDI4N2ZkOTY4NjMxYWU2ZTc0OWUxYzAzYWIzZDVlYTAiLCJ1c2VySWQiOiIxNzQxMDIzNDE0In0=</vt:lpwstr>
  </property>
  <property fmtid="{D5CDD505-2E9C-101B-9397-08002B2CF9AE}" pid="3" name="KSOProductBuildVer">
    <vt:lpwstr>2052-12.1.0.28505</vt:lpwstr>
  </property>
  <property fmtid="{D5CDD505-2E9C-101B-9397-08002B2CF9AE}" pid="4" name="ICV">
    <vt:lpwstr>5E591592CE3A41799868AD36E4D59203_12</vt:lpwstr>
  </property>
</Properties>
</file>