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When these social and technical</w:t>
      </w:r>
      <w:r>
        <w:t xml:space="preserve"> </w:t>
      </w:r>
      <w:r>
        <w:t xml:space="preserve">innovations are put together they enable a host of positive defining features</w:t>
      </w:r>
      <w:r>
        <w:t xml:space="preserve"> </w:t>
      </w:r>
      <w:r>
        <w:t xml:space="preserve">of OSS, such as transparency, collaboration, and decentralization. These</w:t>
      </w:r>
      <w:r>
        <w:t xml:space="preserve"> </w:t>
      </w:r>
      <w:r>
        <w:t xml:space="preserve">features allow OSS to have a remarkable level of dynamism and productivity,</w:t>
      </w:r>
      <w:r>
        <w:t xml:space="preserve"> </w:t>
      </w:r>
      <w:r>
        <w:t xml:space="preserve">while also retaining the ability of a variety of stakeholders to guide the</w:t>
      </w:r>
      <w:r>
        <w:t xml:space="preserve"> </w:t>
      </w:r>
      <w:r>
        <w:t xml:space="preserve">evolution of the software to take 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1" w:name="X23421b4dd5f9b0ebf301d66c4dad012cb53b2a8"/>
    <w:p>
      <w:pPr>
        <w:pStyle w:val="Heading1"/>
      </w:pPr>
      <w:r>
        <w:t xml:space="preserve">4. Challenges for open source data and metadata standards, and some solutions</w:t>
      </w:r>
    </w:p>
    <w:bookmarkStart w:id="25" w:name="too-much-flexibility-or-too-little"/>
    <w:p>
      <w:pPr>
        <w:pStyle w:val="Heading2"/>
      </w:pPr>
      <w:r>
        <w:t xml:space="preserve">4.1 Too much flexibility, or too little</w:t>
      </w:r>
    </w:p>
    <w:p>
      <w:pPr>
        <w:pStyle w:val="FirstParagraph"/>
      </w:pPr>
      <w:r>
        <w:t xml:space="preserve">It’s a story as old as time (or at least as old as standards): users fail to</w:t>
      </w:r>
      <w:r>
        <w:t xml:space="preserve"> </w:t>
      </w:r>
      <w:r>
        <w:t xml:space="preserve">consider existing standards, or perceive an existing standard as not offering</w:t>
      </w:r>
      <w:r>
        <w:t xml:space="preserve"> </w:t>
      </w:r>
      <w:r>
        <w:t xml:space="preserve">enough flexibility to cover some use case, and they embark on the development</w:t>
      </w:r>
      <w:r>
        <w:t xml:space="preserve"> </w:t>
      </w:r>
      <w:r>
        <w:t xml:space="preserve">of a new standard</w:t>
      </w:r>
      <w:r>
        <w:t xml:space="preserve"> </w:t>
      </w:r>
      <w:r>
        <w:rPr>
          <w:rStyle w:val="FootnoteReference"/>
        </w:rPr>
        <w:footnoteReference w:id="23"/>
      </w:r>
      <w:r>
        <w:t xml:space="preserve">.</w:t>
      </w:r>
    </w:p>
    <w:p>
      <w:pPr>
        <w:pStyle w:val="BodyText"/>
      </w:pPr>
      <w:r>
        <w:t xml:space="preserve">Another failure is the mismatch between developers of the standard and users.</w:t>
      </w:r>
      <w:r>
        <w:t xml:space="preserve"> </w:t>
      </w:r>
      <w:r>
        <w:t xml:space="preserve">There is an inherent gap in both interest and ability to engage with the</w:t>
      </w:r>
      <w:r>
        <w:t xml:space="preserve"> </w:t>
      </w:r>
      <w:r>
        <w:t xml:space="preserve">technical details undergirding standards and their development between the</w:t>
      </w:r>
      <w:r>
        <w:t xml:space="preserve"> </w:t>
      </w:r>
      <w:r>
        <w:t xml:space="preserve">developers of the standard and their users. In extreme cases, these interests</w:t>
      </w:r>
      <w:r>
        <w:t xml:space="preserve"> </w:t>
      </w:r>
      <w:r>
        <w:t xml:space="preserve">may be at odds, as developers implement sophisticated mechanisms to automate</w:t>
      </w:r>
      <w:r>
        <w:t xml:space="preserve"> </w:t>
      </w:r>
      <w:r>
        <w:t xml:space="preserve">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5"/>
    <w:bookmarkStart w:id="26" w:name="unclear-pathways-for-standards-success"/>
    <w:p>
      <w:pPr>
        <w:pStyle w:val="Heading2"/>
      </w:pPr>
      <w:r>
        <w:t xml:space="preserve">4.2 Unclear pathways for standards success</w:t>
      </w:r>
    </w:p>
    <w:p>
      <w:pPr>
        <w:pStyle w:val="FirstParagraph"/>
      </w:pPr>
      <w:r>
        <w:t xml:space="preserve">Standards typically develop organically through sustained and persistent efforts from dedicated</w:t>
      </w:r>
      <w:r>
        <w:t xml:space="preserve"> </w:t>
      </w:r>
      <w:r>
        <w:t xml:space="preserve">groups of data practitioneers. These include scientists and the broader ecosystem of data curators and users. However there is no playbook on the structure and components of a data standard, or the pathway that moves a data implementation to a data standard.</w:t>
      </w:r>
      <w:r>
        <w:t xml:space="preserve"> </w:t>
      </w:r>
      <w:r>
        <w:t xml:space="preserve">As a result, data standardization lacks formal avenues for research grants.</w:t>
      </w:r>
    </w:p>
    <w:bookmarkEnd w:id="26"/>
    <w:bookmarkStart w:id="27" w:name="cross-domain-funding-gaps"/>
    <w:p>
      <w:pPr>
        <w:pStyle w:val="Heading2"/>
      </w:pPr>
      <w:r>
        <w:t xml:space="preserve">4.3 Cross domain funding gaps</w:t>
      </w:r>
    </w:p>
    <w:p>
      <w:pPr>
        <w:pStyle w:val="FirstParagraph"/>
      </w:pPr>
      <w:r>
        <w:t xml:space="preserve">Data standardization investment is justified if the standard is generalizable beyond any specific science domain. However while the use cases are domain sciences based, data standardization is seen as a data infrastrucutre and not a science investment. Moreover due to how science research funding works, scientists lack incentives to work across domains, or work on infrastructure problems.</w:t>
      </w:r>
    </w:p>
    <w:bookmarkEnd w:id="27"/>
    <w:bookmarkStart w:id="28" w:name="data-instrumentation-issues"/>
    <w:p>
      <w:pPr>
        <w:pStyle w:val="Heading2"/>
      </w:pPr>
      <w:r>
        <w:t xml:space="preserve">4.4 Data instrumentation issues</w:t>
      </w:r>
    </w:p>
    <w:p>
      <w:pPr>
        <w:pStyle w:val="FirstParagraph"/>
      </w:pPr>
      <w:r>
        <w:t xml:space="preserve">Data for scientific observations are often generated by proprietary instrumentation due to commercialization or other profit driven incentives. There islack of regulatory oversight to adhere to available standards or evolve Significant data transformation is required to get data to a state that is amenable to standards, if available. If not available, there is lack of incentive to set aside investment or resources to invest in establishing data standards.</w:t>
      </w:r>
    </w:p>
    <w:bookmarkEnd w:id="28"/>
    <w:bookmarkStart w:id="29" w:name="sustainability"/>
    <w:p>
      <w:pPr>
        <w:pStyle w:val="Heading2"/>
      </w:pPr>
      <w:r>
        <w:t xml:space="preserve">4.5 Sustainability</w:t>
      </w:r>
    </w:p>
    <w:bookmarkEnd w:id="29"/>
    <w:bookmarkStart w:id="30" w:name="the-importance-of-automated-validation"/>
    <w:p>
      <w:pPr>
        <w:pStyle w:val="Heading2"/>
      </w:pPr>
      <w:r>
        <w:t xml:space="preserve">4.6 The importance of automated validation</w:t>
      </w:r>
    </w:p>
    <w:bookmarkEnd w:id="30"/>
    <w:bookmarkEnd w:id="31"/>
    <w:bookmarkStart w:id="37"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w:t>
      </w:r>
      <w:r>
        <w:t xml:space="preserve"> </w:t>
      </w:r>
      <w:r>
        <w:t xml:space="preserve">development.</w:t>
      </w:r>
    </w:p>
    <w:bookmarkStart w:id="32"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2"/>
    <w:bookmarkStart w:id="33" w:name="high-energy-physics"/>
    <w:p>
      <w:pPr>
        <w:pStyle w:val="Heading2"/>
      </w:pPr>
      <w:r>
        <w:t xml:space="preserve">5.2 High-energy physics</w:t>
      </w:r>
    </w:p>
    <w:p>
      <w:pPr>
        <w:pStyle w:val="FirstParagraph"/>
      </w:pPr>
      <w:r>
        <w:t xml:space="preserve">In HEP standards to collect the data have been established and the community is</w:t>
      </w:r>
      <w:r>
        <w:t xml:space="preserve"> </w:t>
      </w:r>
      <w:r>
        <w:t xml:space="preserve">fairly homogeneous, so standards have very high penetration</w:t>
      </w:r>
      <w:r>
        <w:t xml:space="preserve"> </w:t>
      </w:r>
      <w:r>
        <w:t xml:space="preserve">(Basaglia et al. 2023)</w:t>
      </w:r>
      <w:r>
        <w:t xml:space="preserve">.</w:t>
      </w:r>
      <w:r>
        <w:t xml:space="preserve"> </w:t>
      </w:r>
      <w:r>
        <w:t xml:space="preserve">A top-down approach is taken so that within every large collaboration standards</w:t>
      </w:r>
      <w:r>
        <w:t xml:space="preserve"> </w:t>
      </w:r>
      <w:r>
        <w:t xml:space="preserve">are enforced, and this adoption is centrally managed. Access to raw data is</w:t>
      </w:r>
      <w:r>
        <w:t xml:space="preserve"> </w:t>
      </w:r>
      <w:r>
        <w:t xml:space="preserve">essentially impossible, and making it publicly available is both technically</w:t>
      </w:r>
      <w:r>
        <w:t xml:space="preserve"> </w:t>
      </w:r>
      <w:r>
        <w:t xml:space="preserve">very hard and potentially ill-advised. Analysis tools are tuned specifically to</w:t>
      </w:r>
      <w:r>
        <w:t xml:space="preserve"> </w:t>
      </w:r>
      <w:r>
        <w:t xml:space="preserve">the standards. Incentives to use the standards are provided by funders that</w:t>
      </w:r>
      <w:r>
        <w:t xml:space="preserve"> </w:t>
      </w:r>
      <w:r>
        <w:t xml:space="preserve">require data management plans that specify how the data is shared.</w:t>
      </w:r>
    </w:p>
    <w:bookmarkEnd w:id="33"/>
    <w:bookmarkStart w:id="34"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(including the US BRAIN Initiative and the Allen Institute for Brain Science).</w:t>
      </w:r>
      <w:r>
        <w:t xml:space="preserve"> </w:t>
      </w:r>
      <w:r>
        <w:t xml:space="preserve">Neuroscience presents an interesting example because these changes are</w:t>
      </w:r>
      <w:r>
        <w:t xml:space="preserve"> </w:t>
      </w:r>
      <w:r>
        <w:t xml:space="preserve">relatively recent. This means that standards for data and metadata in</w:t>
      </w:r>
      <w:r>
        <w:t xml:space="preserve"> </w:t>
      </w:r>
      <w:r>
        <w:t xml:space="preserve">neuroscience have been prone to adopt many of the elements of OSS development.</w:t>
      </w:r>
      <w:r>
        <w:t xml:space="preserve"> </w:t>
      </w:r>
      <w:r>
        <w:t xml:space="preserve">Two salient examples in neuroscience are the Neurodata Without Borders file</w:t>
      </w:r>
      <w:r>
        <w:t xml:space="preserve"> </w:t>
      </w:r>
      <w:r>
        <w:t xml:space="preserve">format for neurophysiology data</w:t>
      </w:r>
      <w:r>
        <w:t xml:space="preserve"> </w:t>
      </w:r>
      <w:r>
        <w:t xml:space="preserve">(Rübel et al. 2022)</w:t>
      </w:r>
      <w:r>
        <w:t xml:space="preserve"> </w:t>
      </w:r>
      <w:r>
        <w:t xml:space="preserve">and the Brain Imaging Data</w:t>
      </w:r>
      <w:r>
        <w:t xml:space="preserve"> </w:t>
      </w:r>
      <w:r>
        <w:t xml:space="preserve">Structure (BIDS) standard for neuroimaging data</w:t>
      </w:r>
      <w:r>
        <w:t xml:space="preserve"> </w:t>
      </w:r>
      <w:r>
        <w:t xml:space="preserve">(Gorgolewski et al. 2016)</w:t>
      </w:r>
      <w:r>
        <w:t xml:space="preserve">. BIDS in</w:t>
      </w:r>
      <w:r>
        <w:t xml:space="preserve"> </w:t>
      </w:r>
      <w:r>
        <w:t xml:space="preserve">particular owes some of its success to the adoption and adaptation of OSS</w:t>
      </w:r>
      <w:r>
        <w:t xml:space="preserve"> </w:t>
      </w:r>
      <w:r>
        <w:t xml:space="preserve">mechanisms</w:t>
      </w:r>
      <w:r>
        <w:t xml:space="preserve"> </w:t>
      </w:r>
      <w:r>
        <w:t xml:space="preserve">(Poldrack et al. 2024)</w:t>
      </w:r>
      <w:r>
        <w:t xml:space="preserve">. One of the challenges that the BIDS standard</w:t>
      </w:r>
      <w:r>
        <w:t xml:space="preserve"> </w:t>
      </w:r>
      <w:r>
        <w:t xml:space="preserve">faces is that it covers only a subset of the large range of neuroscience data</w:t>
      </w:r>
      <w:r>
        <w:t xml:space="preserve"> </w:t>
      </w:r>
      <w:r>
        <w:t xml:space="preserve">types that it could cover. To evolve and include more different use cases, the</w:t>
      </w:r>
      <w:r>
        <w:t xml:space="preserve"> </w:t>
      </w:r>
      <w:r>
        <w:t xml:space="preserve">BIDS community adopted a mechanism called a BIDS Enhancement Proposal (BEP).</w:t>
      </w:r>
      <w:r>
        <w:t xml:space="preserve"> </w:t>
      </w:r>
      <w:r>
        <w:t xml:space="preserve">This mechanism is directly inspired by the Python programming language</w:t>
      </w:r>
      <w:r>
        <w:t xml:space="preserve"> </w:t>
      </w:r>
      <w:r>
        <w:t xml:space="preserve">community, which developed the Python Enhancement Proposal procedure, that is</w:t>
      </w:r>
      <w:r>
        <w:t xml:space="preserve"> </w:t>
      </w:r>
      <w:r>
        <w:t xml:space="preserve">used to 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4"/>
    <w:bookmarkStart w:id="35" w:name="automated-discovery"/>
    <w:p>
      <w:pPr>
        <w:pStyle w:val="Heading2"/>
      </w:pPr>
      <w:r>
        <w:t xml:space="preserve">5.4 Automated discovery</w:t>
      </w:r>
    </w:p>
    <w:bookmarkEnd w:id="35"/>
    <w:bookmarkStart w:id="36" w:name="citizen-science"/>
    <w:p>
      <w:pPr>
        <w:pStyle w:val="Heading2"/>
      </w:pPr>
      <w:r>
        <w:t xml:space="preserve">5.5 Citizen science</w:t>
      </w:r>
    </w:p>
    <w:bookmarkEnd w:id="36"/>
    <w:bookmarkEnd w:id="37"/>
    <w:bookmarkStart w:id="38"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w:t>
      </w:r>
    </w:p>
    <w:p>
      <w:pPr>
        <w:pStyle w:val="BodyText"/>
      </w:pPr>
      <w:r>
        <w:t xml:space="preserve">For example, an ongoing series of policy discussions that address the</w:t>
      </w:r>
      <w:r>
        <w:t xml:space="preserve"> </w:t>
      </w:r>
      <w:r>
        <w:t xml:space="preserve">interactions between research communities and the general public. In the United</w:t>
      </w:r>
      <w:r>
        <w:t xml:space="preserve"> </w:t>
      </w:r>
      <w:r>
        <w:t xml:space="preserve">States, these policies are expressed, for example, in memos issued by the</w:t>
      </w:r>
      <w:r>
        <w:t xml:space="preserve"> </w:t>
      </w:r>
      <w:r>
        <w:t xml:space="preserve">directors of the White House Office of Science and Technology Policy (OSTP),</w:t>
      </w:r>
      <w:r>
        <w:t xml:space="preserve"> </w:t>
      </w:r>
      <w:r>
        <w:t xml:space="preserve">James Holdren (in 2013) and Alondra Nelson (in 2022). While these memos focused</w:t>
      </w:r>
      <w:r>
        <w:t xml:space="preserve"> </w:t>
      </w:r>
      <w:r>
        <w:t xml:space="preserve">primarily on making peer-reviewed publications funded by the US Federal</w:t>
      </w:r>
      <w:r>
        <w:t xml:space="preserve"> </w:t>
      </w:r>
      <w:r>
        <w:t xml:space="preserve">government available to the general public, they also lay an increasingly</w:t>
      </w:r>
      <w:r>
        <w:t xml:space="preserve"> </w:t>
      </w:r>
      <w:r>
        <w:t xml:space="preserve">detailed path toward the publication and general availability of the data that</w:t>
      </w:r>
      <w:r>
        <w:t xml:space="preserve"> </w:t>
      </w:r>
      <w:r>
        <w:t xml:space="preserve">is collected in research that is funded by the US government. The general</w:t>
      </w:r>
      <w:r>
        <w:t xml:space="preserve"> </w:t>
      </w:r>
      <w:r>
        <w:t xml:space="preserve">guidance and overall spirit of these memos dovetail with more specific policy</w:t>
      </w:r>
      <w:r>
        <w:t xml:space="preserve"> </w:t>
      </w:r>
      <w:r>
        <w:t xml:space="preserve">guidance related to data and metadata standards. For example, the importance of</w:t>
      </w:r>
      <w:r>
        <w:t xml:space="preserve"> </w:t>
      </w:r>
      <w:r>
        <w:t xml:space="preserve">standards was underscored in a recent report by the Subcommittee on Open</w:t>
      </w:r>
      <w:r>
        <w:t xml:space="preserve"> </w:t>
      </w:r>
      <w:r>
        <w:t xml:space="preserve">Science of the National Science and Technology Council on the</w:t>
      </w:r>
      <w:r>
        <w:t xml:space="preserve"> </w:t>
      </w:r>
      <w:r>
        <w:t xml:space="preserve">“</w:t>
      </w:r>
      <w:r>
        <w:t xml:space="preserve">Desirable</w:t>
      </w:r>
      <w:r>
        <w:t xml:space="preserve"> </w:t>
      </w:r>
      <w:r>
        <w:t xml:space="preserve">characteristics of data repositories for federally funded research</w:t>
      </w:r>
      <w:r>
        <w:t xml:space="preserve">”</w:t>
      </w:r>
      <w:r>
        <w:t xml:space="preserve"> </w:t>
      </w:r>
      <w:r>
        <w:t xml:space="preserve">(The National Science and Technology Council 2022)</w:t>
      </w:r>
      <w:r>
        <w:t xml:space="preserve">. The report explicitly called out the importance of</w:t>
      </w:r>
      <w:r>
        <w:t xml:space="preserve"> </w:t>
      </w:r>
      <w:r>
        <w:t xml:space="preserve">“</w:t>
      </w:r>
      <w:r>
        <w:t xml:space="preserve">allow[ing] datasets and metadata to be accessed, downloaded, or exported from</w:t>
      </w:r>
      <w:r>
        <w:t xml:space="preserve"> </w:t>
      </w:r>
      <w:r>
        <w:t xml:space="preserve">the repository in widely used, preferably non-proprietary, formats consistent</w:t>
      </w:r>
      <w:r>
        <w:t xml:space="preserve"> </w:t>
      </w:r>
      <w:r>
        <w:t xml:space="preserve">with standards used in the disciplines the repository serves.</w:t>
      </w:r>
      <w:r>
        <w:t xml:space="preserve">”</w:t>
      </w:r>
      <w:r>
        <w:t xml:space="preserve"> </w:t>
      </w:r>
      <w:r>
        <w:t xml:space="preserve">This highlights</w:t>
      </w:r>
      <w:r>
        <w:t xml:space="preserve"> </w:t>
      </w:r>
      <w:r>
        <w:t xml:space="preserve">the need for data and metadata standards across a variety of different kinds of</w:t>
      </w:r>
      <w:r>
        <w:t xml:space="preserve"> </w:t>
      </w:r>
      <w:r>
        <w:t xml:space="preserve">data. In addition, a report from the National Institute of Standards and</w:t>
      </w:r>
      <w:r>
        <w:t xml:space="preserve"> </w:t>
      </w:r>
      <w:r>
        <w:t xml:space="preserve">Technology on</w:t>
      </w:r>
      <w:r>
        <w:t xml:space="preserve"> </w:t>
      </w:r>
      <w:r>
        <w:t xml:space="preserve">“</w:t>
      </w:r>
      <w:r>
        <w:t xml:space="preserve">U.S. Leadership in AI: A Plan for Federal Engagement in</w:t>
      </w:r>
      <w:r>
        <w:t xml:space="preserve"> </w:t>
      </w:r>
      <w:r>
        <w:t xml:space="preserve">Developing Technical Standards and Related Tools</w:t>
      </w:r>
      <w:r>
        <w:t xml:space="preserve">”</w:t>
      </w:r>
      <w:r>
        <w:t xml:space="preserve"> </w:t>
      </w:r>
      <w:r>
        <w:t xml:space="preserve">emphasized that –</w:t>
      </w:r>
      <w:r>
        <w:t xml:space="preserve"> </w:t>
      </w:r>
      <w:r>
        <w:t xml:space="preserve">specifically for the case of AI –</w:t>
      </w:r>
      <w:r>
        <w:t xml:space="preserve"> </w:t>
      </w:r>
      <w:r>
        <w:t xml:space="preserve">“</w:t>
      </w:r>
      <w:r>
        <w:t xml:space="preserve">U.S. government agencies should prioritize</w:t>
      </w:r>
      <w:r>
        <w:t xml:space="preserve"> </w:t>
      </w:r>
      <w:r>
        <w:t xml:space="preserve">AI standards efforts that are […] Consensus-based, […] Inclusive and</w:t>
      </w:r>
      <w:r>
        <w:t xml:space="preserve"> </w:t>
      </w:r>
      <w:r>
        <w:t xml:space="preserve">accessible, […] Multi-path, […] Open and transparent, […] and [that]</w:t>
      </w:r>
      <w:r>
        <w:t xml:space="preserve"> </w:t>
      </w:r>
      <w:r>
        <w:t xml:space="preserve">result in globally relevant and non-discriminatory standards…</w:t>
      </w:r>
      <w:r>
        <w:t xml:space="preserve">”</w:t>
      </w:r>
      <w:r>
        <w:t xml:space="preserve"> </w:t>
      </w:r>
      <w:r>
        <w:t xml:space="preserve">(National Institute of Standards and Technology 2019)</w:t>
      </w:r>
      <w:r>
        <w:t xml:space="preserve">.</w:t>
      </w:r>
      <w:r>
        <w:t xml:space="preserve"> </w:t>
      </w:r>
      <w:r>
        <w:t xml:space="preserve">The converging characteristics of standards that arise from these reports</w:t>
      </w:r>
      <w:r>
        <w:t xml:space="preserve"> </w:t>
      </w:r>
      <w:r>
        <w:t xml:space="preserve">suggest that considerable thought needs to be given to how standards arise so</w:t>
      </w:r>
      <w:r>
        <w:t xml:space="preserve"> </w:t>
      </w:r>
      <w:r>
        <w:t xml:space="preserve">that these goals are achieved.</w:t>
      </w:r>
    </w:p>
    <w:bookmarkEnd w:id="38"/>
    <w:bookmarkStart w:id="58"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7" w:name="funding-or-grantmaking-entities"/>
    <w:p>
      <w:pPr>
        <w:pStyle w:val="Heading2"/>
      </w:pPr>
      <w:r>
        <w:t xml:space="preserve">7.1 Funding or Grantmaking entities:</w:t>
      </w:r>
    </w:p>
    <w:bookmarkStart w:id="39"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39"/>
    <w:bookmarkStart w:id="40"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0"/>
    <w:bookmarkStart w:id="41"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1"/>
    <w:bookmarkStart w:id="43"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2">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3"/>
    <w:bookmarkStart w:id="45"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4">
        <w:r>
          <w:rPr>
            <w:rStyle w:val="Hyperlink"/>
          </w:rPr>
          <w:t xml:space="preserve">Pistoiaalliance</w:t>
        </w:r>
      </w:hyperlink>
      <w:r>
        <w:t xml:space="preserve">.</w:t>
      </w:r>
    </w:p>
    <w:bookmarkEnd w:id="45"/>
    <w:bookmarkStart w:id="46"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6"/>
    <w:bookmarkEnd w:id="47"/>
    <w:bookmarkStart w:id="57" w:name="science-and-technology-communities"/>
    <w:p>
      <w:pPr>
        <w:pStyle w:val="Heading2"/>
      </w:pPr>
      <w:r>
        <w:t xml:space="preserve">7.2 Science and Technology Communities:</w:t>
      </w:r>
    </w:p>
    <w:bookmarkStart w:id="48"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8"/>
    <w:bookmarkStart w:id="49"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49"/>
    <w:bookmarkStart w:id="50"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0"/>
    <w:bookmarkStart w:id="52"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1">
        <w:r>
          <w:rPr>
            <w:rStyle w:val="Hyperlink"/>
          </w:rPr>
          <w:t xml:space="preserve">LinkML</w:t>
        </w:r>
      </w:hyperlink>
      <w:r>
        <w:t xml:space="preserve">.</w:t>
      </w:r>
    </w:p>
    <w:bookmarkEnd w:id="52"/>
    <w:bookmarkStart w:id="55"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3">
        <w:r>
          <w:rPr>
            <w:rStyle w:val="Hyperlink"/>
          </w:rPr>
          <w:t xml:space="preserve">Fairsharing</w:t>
        </w:r>
      </w:hyperlink>
      <w:r>
        <w:t xml:space="preserve"> </w:t>
      </w:r>
      <w:r>
        <w:t xml:space="preserve">or</w:t>
      </w:r>
      <w:r>
        <w:t xml:space="preserve"> </w:t>
      </w:r>
      <w:hyperlink r:id="rId54">
        <w:r>
          <w:rPr>
            <w:rStyle w:val="Hyperlink"/>
          </w:rPr>
          <w:t xml:space="preserve">Digital Curation Center</w:t>
        </w:r>
      </w:hyperlink>
      <w:r>
        <w:t xml:space="preserve">.</w:t>
      </w:r>
    </w:p>
    <w:bookmarkEnd w:id="55"/>
    <w:bookmarkStart w:id="56"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6"/>
    <w:bookmarkEnd w:id="57"/>
    <w:bookmarkEnd w:id="58"/>
    <w:bookmarkStart w:id="76" w:name="acknowledgements"/>
    <w:p>
      <w:pPr>
        <w:pStyle w:val="Heading1"/>
      </w:pPr>
      <w:r>
        <w:t xml:space="preserve">8. Acknowledgements</w:t>
      </w:r>
    </w:p>
    <w:p>
      <w:pPr>
        <w:pStyle w:val="FirstParagraph"/>
      </w:pPr>
      <w:r>
        <w:t xml:space="preserve">This report was produced following a</w:t>
      </w:r>
      <w:r>
        <w:t xml:space="preserve"> </w:t>
      </w:r>
      <w:hyperlink r:id="rId59">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0">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1">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Start w:id="75" w:name="refs"/>
    <w:bookmarkStart w:id="62"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2"/>
    <w:bookmarkStart w:id="64"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3">
        <w:r>
          <w:rPr>
            <w:rStyle w:val="Hyperlink"/>
          </w:rPr>
          <w:t xml:space="preserve">https://www.nature.com/articles/sdata201644</w:t>
        </w:r>
      </w:hyperlink>
      <w:r>
        <w:t xml:space="preserve">.</w:t>
      </w:r>
    </w:p>
    <w:bookmarkEnd w:id="64"/>
    <w:bookmarkStart w:id="66" w:name="ref-Koch2012-ve"/>
    <w:p>
      <w:pPr>
        <w:pStyle w:val="Bibliography"/>
      </w:pPr>
      <w:r>
        <w:t xml:space="preserve">Koch, Christof, and R Clay Reid. 2012.</w:t>
      </w:r>
      <w:r>
        <w:t xml:space="preserve"> </w:t>
      </w:r>
      <w:r>
        <w:t xml:space="preserve">“Observatories of the Mind.”</w:t>
      </w:r>
      <w:r>
        <w:t xml:space="preserve"> </w:t>
      </w:r>
      <w:hyperlink r:id="rId65">
        <w:r>
          <w:rPr>
            <w:rStyle w:val="Hyperlink"/>
          </w:rPr>
          <w:t xml:space="preserve">http://dx.doi.org/10.1038/483397a</w:t>
        </w:r>
      </w:hyperlink>
      <w:r>
        <w:t xml:space="preserve">.</w:t>
      </w:r>
    </w:p>
    <w:bookmarkEnd w:id="66"/>
    <w:bookmarkStart w:id="68"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7">
        <w:r>
          <w:rPr>
            <w:rStyle w:val="Hyperlink"/>
          </w:rPr>
          <w:t xml:space="preserve">https://doi.org/10.1201/9781315380711</w:t>
        </w:r>
      </w:hyperlink>
      <w:r>
        <w:t xml:space="preserve">.</w:t>
      </w:r>
    </w:p>
    <w:bookmarkEnd w:id="68"/>
    <w:bookmarkStart w:id="69"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69"/>
    <w:bookmarkStart w:id="70"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0"/>
    <w:bookmarkStart w:id="71"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1"/>
    <w:bookmarkStart w:id="72"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2"/>
    <w:bookmarkStart w:id="73"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3"/>
    <w:bookmarkStart w:id="74"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 old in fact that an oft-cited</w:t>
      </w:r>
      <w:r>
        <w:t xml:space="preserve"> </w:t>
      </w:r>
      <w:hyperlink r:id="rId24">
        <w:r>
          <w:rPr>
            <w:rStyle w:val="Hyperlink"/>
          </w:rPr>
          <w:t xml:space="preserve">XKCD comic</w:t>
        </w:r>
      </w:hyperlink>
      <w:r>
        <w:t xml:space="preserve"> </w:t>
      </w:r>
      <w:r>
        <w:t xml:space="preserve">has</w:t>
      </w:r>
      <w:r>
        <w:t xml:space="preserve"> </w:t>
      </w:r>
      <w:r>
        <w:t xml:space="preserve">been devoted to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2024-06-17T19:40:34Z</dcterms:created>
  <dcterms:modified xsi:type="dcterms:W3CDTF">2024-06-17T19:40:34Z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