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Governance approaches have been</w:t>
      </w:r>
      <w:r>
        <w:t xml:space="preserve"> </w:t>
      </w:r>
      <w:r>
        <w:t xml:space="preserve">honed to address the challenges of managing a range of stakeholder interests</w:t>
      </w:r>
      <w:r>
        <w:t xml:space="preserve"> </w:t>
      </w:r>
      <w:r>
        <w:t xml:space="preserve">and to mediate between large numbers of weakly-connected individuals that</w:t>
      </w:r>
      <w:r>
        <w:t xml:space="preserve"> </w:t>
      </w:r>
      <w:r>
        <w:t xml:space="preserve">contribute to OSS. When these social and technical innovations are put together</w:t>
      </w:r>
      <w:r>
        <w:t xml:space="preserve"> </w:t>
      </w:r>
      <w:r>
        <w:t xml:space="preserve">they enable a host of positive defining features of OSS, such as transparency,</w:t>
      </w:r>
      <w:r>
        <w:t xml:space="preserve"> </w:t>
      </w:r>
      <w:r>
        <w:t xml:space="preserve">collaboration, and decentralization. These features allow OSS to have a</w:t>
      </w:r>
      <w:r>
        <w:t xml:space="preserve"> </w:t>
      </w:r>
      <w:r>
        <w:t xml:space="preserve">remarkable level of dynamism and productivity, while also retaining the ability</w:t>
      </w:r>
      <w:r>
        <w:t xml:space="preserve"> </w:t>
      </w:r>
      <w:r>
        <w:t xml:space="preserve">of a variety of stakeholders to guide the evolution of the software to take</w:t>
      </w:r>
      <w:r>
        <w:t xml:space="preserve"> </w:t>
      </w:r>
      <w:r>
        <w:t xml:space="preserve">their needs and interests into account.</w:t>
      </w:r>
    </w:p>
    <w:p>
      <w:pPr>
        <w:pStyle w:val="BodyText"/>
      </w:pPr>
      <w:r>
        <w:t xml:space="preserve">The present report seeks to explore how OSS processes and tools have affected</w:t>
      </w:r>
      <w:r>
        <w:t xml:space="preserve"> </w:t>
      </w:r>
      <w:r>
        <w:t xml:space="preserve">the development of data and metadata standards. The report will triangulate</w:t>
      </w:r>
      <w:r>
        <w:t xml:space="preserve"> </w:t>
      </w:r>
      <w:r>
        <w:t xml:space="preserve">common features of a variety of use cases; it will identify some of the</w:t>
      </w:r>
      <w:r>
        <w:t xml:space="preserve"> </w:t>
      </w:r>
      <w:r>
        <w:t xml:space="preserve">challenges and pitfalls of this mode of standards development; and it will make</w:t>
      </w:r>
      <w:r>
        <w:t xml:space="preserve"> </w:t>
      </w:r>
      <w:r>
        <w:t xml:space="preserve">recommendations for future developments and policies that can help this mode of</w:t>
      </w:r>
      <w:r>
        <w:t xml:space="preserve"> </w:t>
      </w:r>
      <w:r>
        <w:t xml:space="preserve">standards development thrive and reach its full potential.</w:t>
      </w:r>
    </w:p>
    <w:bookmarkEnd w:id="22"/>
    <w:bookmarkStart w:id="30" w:name="X72c57c0230ccb5b5d3f0fb1523e1fe600fc3c18"/>
    <w:p>
      <w:pPr>
        <w:pStyle w:val="Heading1"/>
      </w:pPr>
      <w:r>
        <w:t xml:space="preserve">4. Opportunities and risks for open-source standards</w:t>
      </w:r>
    </w:p>
    <w:p>
      <w:pPr>
        <w:pStyle w:val="FirstParagraph"/>
      </w:pPr>
      <w:r>
        <w:t xml:space="preserve">Data and metadata standards that adopt tools and practices of OSS (</w:t>
      </w:r>
      <w:r>
        <w:t xml:space="preserve">“</w:t>
      </w:r>
      <w:r>
        <w:t xml:space="preserve">open-source</w:t>
      </w:r>
      <w:r>
        <w:t xml:space="preserve"> </w:t>
      </w:r>
      <w:r>
        <w:t xml:space="preserve">standards</w:t>
      </w:r>
      <w:r>
        <w:t xml:space="preserve">”</w:t>
      </w:r>
      <w:r>
        <w:t xml:space="preserve"> </w:t>
      </w:r>
      <w:r>
        <w:t xml:space="preserve">henceforth) stand to reap many of the benefits that the OSS model</w:t>
      </w:r>
      <w:r>
        <w:t xml:space="preserve"> </w:t>
      </w:r>
      <w:r>
        <w:t xml:space="preserve">has provided in the development of other technologies. At the same time, these</w:t>
      </w:r>
      <w:r>
        <w:t xml:space="preserve"> </w:t>
      </w:r>
      <w:r>
        <w:t xml:space="preserve">tools and practices are associated with risks that need to be mitigated.</w:t>
      </w:r>
    </w:p>
    <w:bookmarkStart w:id="23" w:name="flexibility-vs.-stability"/>
    <w:p>
      <w:pPr>
        <w:pStyle w:val="Heading2"/>
      </w:pPr>
      <w:r>
        <w:t xml:space="preserve">4.1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user/developers. Pathways to contribution by members of the community are often</w:t>
      </w:r>
      <w:r>
        <w:t xml:space="preserve"> </w:t>
      </w:r>
      <w:r>
        <w:t xml:space="preserve">well-defined: both from the technical perspective (e.g., through a pull request</w:t>
      </w:r>
      <w:r>
        <w:t xml:space="preserve"> </w:t>
      </w:r>
      <w:r>
        <w:t xml:space="preserve">on GitHub, or other similar mechanisms), as well as from the social perspective</w:t>
      </w:r>
      <w:r>
        <w:t xml:space="preserve"> </w:t>
      </w:r>
      <w:r>
        <w:t xml:space="preserve">(e.g., whether contributors need to accept certain licensing conditions through</w:t>
      </w:r>
      <w:r>
        <w:t xml:space="preserve"> </w:t>
      </w:r>
      <w:r>
        <w:t xml:space="preserve">a contributor licensing agreement) and the socio-technical perspective (e.g.,</w:t>
      </w:r>
      <w:r>
        <w:t xml:space="preserve"> </w:t>
      </w:r>
      <w:r>
        <w:t xml:space="preserve">how many people need to review a contribution, what are the timelines for a</w:t>
      </w:r>
      <w:r>
        <w:t xml:space="preserve"> </w:t>
      </w:r>
      <w:r>
        <w:t xml:space="preserve">contribution to be reviewed and accepted, what are the release cycles of the</w:t>
      </w:r>
      <w:r>
        <w:t xml:space="preserve"> </w:t>
      </w:r>
      <w:r>
        <w:t xml:space="preserve">software that make the contribution available to a broader community of users,</w:t>
      </w:r>
      <w:r>
        <w:t xml:space="preserve"> </w:t>
      </w:r>
      <w:r>
        <w:t xml:space="preserve">etc.). Similarly, open-source standards may also find themselves addressing use</w:t>
      </w:r>
      <w:r>
        <w:t xml:space="preserve"> </w:t>
      </w:r>
      <w:r>
        <w:t xml:space="preserve">cases and solutions that were not originally envisioned through bottom-up</w:t>
      </w:r>
      <w:r>
        <w:t xml:space="preserve"> </w:t>
      </w:r>
      <w:r>
        <w:t xml:space="preserve">contributions of members of a research community to which the standard</w:t>
      </w:r>
      <w:r>
        <w:t xml:space="preserve"> </w:t>
      </w:r>
      <w:r>
        <w:t xml:space="preserve">pertains. However, while this dynamism provides an avenue for flexibility it</w:t>
      </w:r>
      <w:r>
        <w:t xml:space="preserve"> </w:t>
      </w:r>
      <w:r>
        <w:t xml:space="preserve">also presents a source of tension. This is because data and metadata standards</w:t>
      </w:r>
      <w:r>
        <w:t xml:space="preserve"> </w:t>
      </w:r>
      <w:r>
        <w:t xml:space="preserve">apply to already existing datasets, and changes may affect the compliance of these</w:t>
      </w:r>
      <w:r>
        <w:t xml:space="preserve"> </w:t>
      </w:r>
      <w:r>
        <w:t xml:space="preserve">existing datasets.</w:t>
      </w:r>
    </w:p>
    <w:bookmarkEnd w:id="23"/>
    <w:bookmarkStart w:id="24" w:name="X6c5144b5d2eedb3ea5d19f4a57c0dc4d41eddb0"/>
    <w:p>
      <w:pPr>
        <w:pStyle w:val="Heading2"/>
      </w:pPr>
      <w:r>
        <w:t xml:space="preserve">4.2 Mismatches between standards developers and user communities</w:t>
      </w:r>
    </w:p>
    <w:p>
      <w:pPr>
        <w:pStyle w:val="FirstParagraph"/>
      </w:pPr>
      <w:r>
        <w:t xml:space="preserve">There is an inherent gap in both interest and ability to engage with the</w:t>
      </w:r>
      <w:r>
        <w:t xml:space="preserve"> </w:t>
      </w:r>
      <w:r>
        <w:t xml:space="preserve">technical details undergirding standards and their development between the core</w:t>
      </w:r>
      <w:r>
        <w:t xml:space="preserve"> </w:t>
      </w:r>
      <w:r>
        <w:t xml:space="preserve">developers of the standard and their users. In extreme cases, these interests</w:t>
      </w:r>
      <w:r>
        <w:t xml:space="preserve"> </w:t>
      </w:r>
      <w:r>
        <w:t xml:space="preserve">may even be at odds, as developers implement sophisticated mechanisms to</w:t>
      </w:r>
      <w:r>
        <w:t xml:space="preserve"> </w:t>
      </w:r>
      <w:r>
        <w:t xml:space="preserve">automate 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4"/>
    <w:bookmarkStart w:id="25" w:name="unclear-pathways-for-standards-success"/>
    <w:p>
      <w:pPr>
        <w:pStyle w:val="Heading2"/>
      </w:pPr>
      <w:r>
        <w:t xml:space="preserve">4.3 Unclear pathways for standards success</w:t>
      </w:r>
    </w:p>
    <w:p>
      <w:pPr>
        <w:pStyle w:val="FirstParagraph"/>
      </w:pPr>
      <w:r>
        <w:t xml:space="preserve">Standards typically develop organically through sustained and persistent</w:t>
      </w:r>
      <w:r>
        <w:t xml:space="preserve"> </w:t>
      </w:r>
      <w:r>
        <w:t xml:space="preserve">efforts from dedicated groups of data practitioneers. These include scientists</w:t>
      </w:r>
      <w:r>
        <w:t xml:space="preserve"> </w:t>
      </w:r>
      <w:r>
        <w:t xml:space="preserve">and the broader ecosystem of data curators and users. However there is no</w:t>
      </w:r>
      <w:r>
        <w:t xml:space="preserve"> </w:t>
      </w:r>
      <w:r>
        <w:t xml:space="preserve">playbook on the structure and components of a data standard, or the pathway</w:t>
      </w:r>
      <w:r>
        <w:t xml:space="preserve"> </w:t>
      </w:r>
      <w:r>
        <w:t xml:space="preserve">that moves a data implementation to a data standard. As a result, data</w:t>
      </w:r>
      <w:r>
        <w:t xml:space="preserve"> </w:t>
      </w:r>
      <w:r>
        <w:t xml:space="preserve">standardization lacks formal avenues for research grants.</w:t>
      </w:r>
    </w:p>
    <w:bookmarkEnd w:id="25"/>
    <w:bookmarkStart w:id="26" w:name="cross-domain-funding-gaps"/>
    <w:p>
      <w:pPr>
        <w:pStyle w:val="Heading2"/>
      </w:pPr>
      <w:r>
        <w:t xml:space="preserve">4.4 Cross domain funding gaps</w:t>
      </w:r>
    </w:p>
    <w:p>
      <w:pPr>
        <w:pStyle w:val="FirstParagraph"/>
      </w:pPr>
      <w:r>
        <w:t xml:space="preserve">Data standardization investment is justified if the standard is generalizable</w:t>
      </w:r>
      <w:r>
        <w:t xml:space="preserve"> </w:t>
      </w:r>
      <w:r>
        <w:t xml:space="preserve">beyond any specific science domain. However while the use cases are domain</w:t>
      </w:r>
      <w:r>
        <w:t xml:space="preserve"> </w:t>
      </w:r>
      <w:r>
        <w:t xml:space="preserve">sciences based, data standardization is seen as a data infrastructure and not a</w:t>
      </w:r>
      <w:r>
        <w:t xml:space="preserve"> </w:t>
      </w:r>
      <w:r>
        <w:t xml:space="preserve">science investment. Moreover due to how science research funding works,</w:t>
      </w:r>
      <w:r>
        <w:t xml:space="preserve"> </w:t>
      </w:r>
      <w:r>
        <w:t xml:space="preserve">scientists lack incentives to work across domains, or work on infrastructure</w:t>
      </w:r>
      <w:r>
        <w:t xml:space="preserve"> </w:t>
      </w:r>
      <w:r>
        <w:t xml:space="preserve">problems.</w:t>
      </w:r>
    </w:p>
    <w:bookmarkEnd w:id="26"/>
    <w:bookmarkStart w:id="27" w:name="data-instrumentation-issues"/>
    <w:p>
      <w:pPr>
        <w:pStyle w:val="Heading2"/>
      </w:pPr>
      <w:r>
        <w:t xml:space="preserve">4.5 Data instrumentation issues</w:t>
      </w:r>
    </w:p>
    <w:p>
      <w:pPr>
        <w:pStyle w:val="FirstParagraph"/>
      </w:pPr>
      <w:r>
        <w:t xml:space="preserve">Data for scientific observations are often generated by proprietary</w:t>
      </w:r>
      <w:r>
        <w:t xml:space="preserve"> </w:t>
      </w:r>
      <w:r>
        <w:t xml:space="preserve">instrumentation due to commercialization or other profit driven incentives.</w:t>
      </w:r>
      <w:r>
        <w:t xml:space="preserve"> </w:t>
      </w:r>
      <w:r>
        <w:t xml:space="preserve">There islack of regulatory oversight to adhere to available standards or evolve</w:t>
      </w:r>
      <w:r>
        <w:t xml:space="preserve"> </w:t>
      </w:r>
      <w:r>
        <w:t xml:space="preserve">Significant data transformation is required to get data to a state that is</w:t>
      </w:r>
      <w:r>
        <w:t xml:space="preserve"> </w:t>
      </w:r>
      <w:r>
        <w:t xml:space="preserve">amenable to standards, if available. If not available, there is lack of</w:t>
      </w:r>
      <w:r>
        <w:t xml:space="preserve"> </w:t>
      </w:r>
      <w:r>
        <w:t xml:space="preserve">incentive to set aside investment or resources to invest in establishing data</w:t>
      </w:r>
      <w:r>
        <w:t xml:space="preserve"> </w:t>
      </w:r>
      <w:r>
        <w:t xml:space="preserve">standards.</w:t>
      </w:r>
    </w:p>
    <w:bookmarkEnd w:id="27"/>
    <w:bookmarkStart w:id="28" w:name="sustainability"/>
    <w:p>
      <w:pPr>
        <w:pStyle w:val="Heading2"/>
      </w:pPr>
      <w:r>
        <w:t xml:space="preserve">4.6 Sustainability</w:t>
      </w:r>
    </w:p>
    <w:bookmarkEnd w:id="28"/>
    <w:bookmarkStart w:id="29" w:name="the-importance-of-automated-validation"/>
    <w:p>
      <w:pPr>
        <w:pStyle w:val="Heading2"/>
      </w:pPr>
      <w:r>
        <w:t xml:space="preserve">4.7 The importance of automated validation</w:t>
      </w:r>
    </w:p>
    <w:bookmarkEnd w:id="29"/>
    <w:bookmarkEnd w:id="30"/>
    <w:bookmarkStart w:id="36"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 development.</w:t>
      </w:r>
    </w:p>
    <w:bookmarkStart w:id="31"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 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1"/>
    <w:bookmarkStart w:id="32" w:name="high-energy-physics-hep"/>
    <w:p>
      <w:pPr>
        <w:pStyle w:val="Heading2"/>
      </w:pPr>
      <w:r>
        <w:t xml:space="preserve">5.2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and making it</w:t>
      </w:r>
      <w:r>
        <w:t xml:space="preserve"> </w:t>
      </w:r>
      <w:r>
        <w:t xml:space="preserve">publicly available is both technically very hard and potentially ill-advised.</w:t>
      </w:r>
      <w:r>
        <w:t xml:space="preserve"> </w:t>
      </w:r>
      <w:r>
        <w:t xml:space="preserve">Therefore, analysis tools are tuned specifically to the standards. Incentives</w:t>
      </w:r>
      <w:r>
        <w:t xml:space="preserve"> </w:t>
      </w:r>
      <w:r>
        <w:t xml:space="preserve">to use the standards are provided by funders that require data management plans</w:t>
      </w:r>
      <w:r>
        <w:t xml:space="preserve"> </w:t>
      </w:r>
      <w:r>
        <w:t xml:space="preserve">that specify how the data is shared.</w:t>
      </w:r>
    </w:p>
    <w:bookmarkEnd w:id="32"/>
    <w:bookmarkStart w:id="33"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a BIDS Enhancement</w:t>
      </w:r>
      <w:r>
        <w:t xml:space="preserve"> </w:t>
      </w:r>
      <w:r>
        <w:t xml:space="preserve">Proposal (BEP) process that is directly inspired by the Python programming</w:t>
      </w:r>
      <w:r>
        <w:t xml:space="preserve"> </w:t>
      </w:r>
      <w:r>
        <w:t xml:space="preserve">language community’s Python Enhancement Proposal procedure, which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33"/>
    <w:bookmarkStart w:id="34" w:name="automated-discovery"/>
    <w:p>
      <w:pPr>
        <w:pStyle w:val="Heading2"/>
      </w:pPr>
      <w:r>
        <w:t xml:space="preserve">5.4 Automated discovery</w:t>
      </w:r>
    </w:p>
    <w:bookmarkEnd w:id="34"/>
    <w:bookmarkStart w:id="35" w:name="citizen-science"/>
    <w:p>
      <w:pPr>
        <w:pStyle w:val="Heading2"/>
      </w:pPr>
      <w:r>
        <w:t xml:space="preserve">5.5 Citizen science</w:t>
      </w:r>
    </w:p>
    <w:bookmarkEnd w:id="35"/>
    <w:bookmarkEnd w:id="36"/>
    <w:bookmarkStart w:id="39"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other sectors. Several different kinds of cross-sector interactions can be defined as having important</w:t>
      </w:r>
      <w:r>
        <w:t xml:space="preserve"> </w:t>
      </w:r>
      <w:r>
        <w:t xml:space="preserve">impact on the development of open-source standards.</w:t>
      </w:r>
    </w:p>
    <w:bookmarkStart w:id="37" w:name="governmental-policy-setting"/>
    <w:p>
      <w:pPr>
        <w:pStyle w:val="Heading2"/>
      </w:pPr>
      <w:r>
        <w:t xml:space="preserve">6.1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1) and</w:t>
      </w:r>
      <w:r>
        <w:t xml:space="preserve"> </w:t>
      </w:r>
      <w:r>
        <w:t xml:space="preserve">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w:t>
      </w:r>
    </w:p>
    <w:p>
      <w:pPr>
        <w:pStyle w:val="BodyText"/>
      </w:pPr>
      <w:r>
        <w:t xml:space="preserve">A compelling road map towards implementation and adoption of</w:t>
      </w:r>
      <w:r>
        <w:t xml:space="preserve"> </w:t>
      </w:r>
      <w:r>
        <w:t xml:space="preserve">community-developed standards is offered in a blog post authored by the Center</w:t>
      </w:r>
      <w:r>
        <w:t xml:space="preserve"> </w:t>
      </w:r>
      <w:r>
        <w:t xml:space="preserve">for Open Science’s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 adoption of standards possible, and maybe even easy,</w:t>
      </w:r>
      <w:r>
        <w:t xml:space="preserve"> </w:t>
      </w:r>
      <w:r>
        <w:t xml:space="preserve">and the policy goals, arises from a community of practice that makes adoption</w:t>
      </w:r>
      <w:r>
        <w:t xml:space="preserve"> </w:t>
      </w:r>
      <w:r>
        <w:t xml:space="preserve">of standards normative. Once all of these pieces are in place, making adoption</w:t>
      </w:r>
      <w:r>
        <w:t xml:space="preserve"> </w:t>
      </w:r>
      <w:r>
        <w:t xml:space="preserve">of open science standards required becomes more straightforward and less</w:t>
      </w:r>
      <w:r>
        <w:t xml:space="preserve"> </w:t>
      </w:r>
      <w:r>
        <w:t xml:space="preserve">onerous.</w:t>
      </w:r>
    </w:p>
    <w:bookmarkEnd w:id="37"/>
    <w:bookmarkStart w:id="38" w:name="funding"/>
    <w:p>
      <w:pPr>
        <w:pStyle w:val="Heading2"/>
      </w:pPr>
      <w:r>
        <w:t xml:space="preserve">6.2 Funding</w:t>
      </w:r>
    </w:p>
    <w:p>
      <w:pPr>
        <w:pStyle w:val="FirstParagraph"/>
      </w:pPr>
      <w:r>
        <w:t xml:space="preserve">While government-set policy is primarily directed towards research that is</w:t>
      </w:r>
      <w:r>
        <w:t xml:space="preserve"> </w:t>
      </w:r>
      <w:r>
        <w:t xml:space="preserve">funded through governmental funding agencies, there are other ways in which</w:t>
      </w:r>
      <w:r>
        <w:t xml:space="preserve"> </w:t>
      </w:r>
      <w:r>
        <w:t xml:space="preserve">funding relates to the development of open-source standards. One way is in</w:t>
      </w:r>
      <w:r>
        <w:t xml:space="preserve"> </w:t>
      </w:r>
      <w:r>
        <w:t xml:space="preserve">funding the development of these standards. For example, the National</w:t>
      </w:r>
      <w:r>
        <w:t xml:space="preserve"> </w:t>
      </w:r>
      <w:r>
        <w:t xml:space="preserve">Institutes of Health have provided some of the funding for the development of</w:t>
      </w:r>
      <w:r>
        <w:t xml:space="preserve"> </w:t>
      </w:r>
      <w:r>
        <w:t xml:space="preserve">the Brain Imaging Data Structure standard in neuroscience.</w:t>
      </w:r>
    </w:p>
    <w:bookmarkEnd w:id="38"/>
    <w:bookmarkEnd w:id="39"/>
    <w:bookmarkStart w:id="59"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8" w:name="funding-or-grantmaking-entities"/>
    <w:p>
      <w:pPr>
        <w:pStyle w:val="Heading2"/>
      </w:pPr>
      <w:r>
        <w:t xml:space="preserve">7.1 Funding or Grantmaking entities:</w:t>
      </w:r>
    </w:p>
    <w:bookmarkStart w:id="40"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40"/>
    <w:bookmarkStart w:id="41"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1"/>
    <w:bookmarkStart w:id="42"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2"/>
    <w:bookmarkStart w:id="44"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3">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4"/>
    <w:bookmarkStart w:id="46"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5">
        <w:r>
          <w:rPr>
            <w:rStyle w:val="Hyperlink"/>
          </w:rPr>
          <w:t xml:space="preserve">Pistoiaalliance</w:t>
        </w:r>
      </w:hyperlink>
      <w:r>
        <w:t xml:space="preserve">.</w:t>
      </w:r>
    </w:p>
    <w:bookmarkEnd w:id="46"/>
    <w:bookmarkStart w:id="47"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7"/>
    <w:bookmarkEnd w:id="48"/>
    <w:bookmarkStart w:id="58" w:name="science-and-technology-communities"/>
    <w:p>
      <w:pPr>
        <w:pStyle w:val="Heading2"/>
      </w:pPr>
      <w:r>
        <w:t xml:space="preserve">7.2 Science and Technology Communities:</w:t>
      </w:r>
    </w:p>
    <w:bookmarkStart w:id="49"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9"/>
    <w:bookmarkStart w:id="50"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50"/>
    <w:bookmarkStart w:id="51"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1"/>
    <w:bookmarkStart w:id="53"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2">
        <w:r>
          <w:rPr>
            <w:rStyle w:val="Hyperlink"/>
          </w:rPr>
          <w:t xml:space="preserve">LinkML</w:t>
        </w:r>
      </w:hyperlink>
      <w:r>
        <w:t xml:space="preserve">.</w:t>
      </w:r>
    </w:p>
    <w:bookmarkEnd w:id="53"/>
    <w:bookmarkStart w:id="56"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4">
        <w:r>
          <w:rPr>
            <w:rStyle w:val="Hyperlink"/>
          </w:rPr>
          <w:t xml:space="preserve">Fairsharing</w:t>
        </w:r>
      </w:hyperlink>
      <w:r>
        <w:t xml:space="preserve"> </w:t>
      </w:r>
      <w:r>
        <w:t xml:space="preserve">or</w:t>
      </w:r>
      <w:r>
        <w:t xml:space="preserve"> </w:t>
      </w:r>
      <w:hyperlink r:id="rId55">
        <w:r>
          <w:rPr>
            <w:rStyle w:val="Hyperlink"/>
          </w:rPr>
          <w:t xml:space="preserve">Digital Curation Center</w:t>
        </w:r>
      </w:hyperlink>
      <w:r>
        <w:t xml:space="preserve">.</w:t>
      </w:r>
    </w:p>
    <w:bookmarkEnd w:id="56"/>
    <w:bookmarkStart w:id="57"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7"/>
    <w:bookmarkEnd w:id="58"/>
    <w:bookmarkEnd w:id="59"/>
    <w:bookmarkStart w:id="79" w:name="acknowledgements"/>
    <w:p>
      <w:pPr>
        <w:pStyle w:val="Heading1"/>
      </w:pPr>
      <w:r>
        <w:t xml:space="preserve">8. Acknowledgements</w:t>
      </w:r>
    </w:p>
    <w:p>
      <w:pPr>
        <w:pStyle w:val="FirstParagraph"/>
      </w:pPr>
      <w:r>
        <w:t xml:space="preserve">This report was produced following a</w:t>
      </w:r>
      <w:r>
        <w:t xml:space="preserve"> </w:t>
      </w:r>
      <w:hyperlink r:id="rId60">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1">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2">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Start w:id="78" w:name="refs"/>
    <w:bookmarkStart w:id="63"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3"/>
    <w:bookmarkStart w:id="65"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4">
        <w:r>
          <w:rPr>
            <w:rStyle w:val="Hyperlink"/>
          </w:rPr>
          <w:t xml:space="preserve">https://www.nature.com/articles/sdata201644</w:t>
        </w:r>
      </w:hyperlink>
      <w:r>
        <w:t xml:space="preserve">.</w:t>
      </w:r>
    </w:p>
    <w:bookmarkEnd w:id="65"/>
    <w:bookmarkStart w:id="67" w:name="ref-Koch2012-ve"/>
    <w:p>
      <w:pPr>
        <w:pStyle w:val="Bibliography"/>
      </w:pPr>
      <w:r>
        <w:t xml:space="preserve">Koch, Christof, and R Clay Reid. 2012.</w:t>
      </w:r>
      <w:r>
        <w:t xml:space="preserve"> </w:t>
      </w:r>
      <w:r>
        <w:t xml:space="preserve">“Observatories of the Mind.”</w:t>
      </w:r>
      <w:r>
        <w:t xml:space="preserve"> </w:t>
      </w:r>
      <w:hyperlink r:id="rId66">
        <w:r>
          <w:rPr>
            <w:rStyle w:val="Hyperlink"/>
          </w:rPr>
          <w:t xml:space="preserve">http://dx.doi.org/10.1038/483397a</w:t>
        </w:r>
      </w:hyperlink>
      <w:r>
        <w:t xml:space="preserve">.</w:t>
      </w:r>
    </w:p>
    <w:bookmarkEnd w:id="67"/>
    <w:bookmarkStart w:id="69"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8">
        <w:r>
          <w:rPr>
            <w:rStyle w:val="Hyperlink"/>
          </w:rPr>
          <w:t xml:space="preserve">https://doi.org/10.1201/9781315380711</w:t>
        </w:r>
      </w:hyperlink>
      <w:r>
        <w:t xml:space="preserve">.</w:t>
      </w:r>
    </w:p>
    <w:bookmarkEnd w:id="69"/>
    <w:bookmarkStart w:id="70"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0"/>
    <w:bookmarkStart w:id="72" w:name="ref-Nosek2019CultureChange"/>
    <w:p>
      <w:pPr>
        <w:pStyle w:val="Bibliography"/>
      </w:pPr>
      <w:r>
        <w:t xml:space="preserve">Nosek, Brian. n.d.</w:t>
      </w:r>
      <w:r>
        <w:t xml:space="preserve"> </w:t>
      </w:r>
      <w:r>
        <w:t xml:space="preserve">“Strategy for Culture Change.”</w:t>
      </w:r>
      <w:r>
        <w:t xml:space="preserve"> </w:t>
      </w:r>
      <w:hyperlink r:id="rId71">
        <w:r>
          <w:rPr>
            <w:rStyle w:val="Hyperlink"/>
          </w:rPr>
          <w:t xml:space="preserve">https://www.cos.io/blog/strategy-for-culture-change</w:t>
        </w:r>
      </w:hyperlink>
      <w:r>
        <w:t xml:space="preserve">.</w:t>
      </w:r>
    </w:p>
    <w:bookmarkEnd w:id="72"/>
    <w:bookmarkStart w:id="73"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73"/>
    <w:bookmarkStart w:id="74"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4"/>
    <w:bookmarkStart w:id="75"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5"/>
    <w:bookmarkStart w:id="76"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6"/>
    <w:bookmarkStart w:id="77"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dx.doi.org/10.1038/483397a" TargetMode="External" /><Relationship Type="http://schemas.openxmlformats.org/officeDocument/2006/relationships/hyperlink" Id="rId68"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1"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4"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6" Target="http://dx.doi.org/10.1038/483397a" TargetMode="External" /><Relationship Type="http://schemas.openxmlformats.org/officeDocument/2006/relationships/hyperlink" Id="rId68"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1"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4"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2024-06-19T19:30:58Z</dcterms:created>
  <dcterms:modified xsi:type="dcterms:W3CDTF">2024-06-19T19:30:58Z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