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. One of</w:t>
      </w:r>
      <w:r>
        <w:t xml:space="preserve"> </w:t>
      </w:r>
      <w:r>
        <w:t xml:space="preserve">the main mechanisms through which the FAIR principles are promoted is the</w:t>
      </w:r>
      <w:r>
        <w:t xml:space="preserve"> </w:t>
      </w:r>
      <w:r>
        <w:t xml:space="preserve">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 metadata. Standards can vary in the</w:t>
      </w:r>
      <w:r>
        <w:t xml:space="preserve"> </w:t>
      </w:r>
      <w:r>
        <w:t xml:space="preserve">level of detail and scope, and encompass 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</w:t>
      </w:r>
      <w:r>
        <w:t xml:space="preserve"> </w:t>
      </w:r>
      <w:r>
        <w:t xml:space="preserve">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 metadata in a manner that connects it to</w:t>
      </w:r>
      <w:r>
        <w:t xml:space="preserve"> </w:t>
      </w:r>
      <w:r>
        <w:t xml:space="preserve">field-specific meaning, as well as 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</w:t>
      </w:r>
      <w:r>
        <w:t xml:space="preserve"> </w:t>
      </w:r>
      <w:r>
        <w:t xml:space="preserve">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more technical side, tools such as the Git</w:t>
      </w:r>
      <w:r>
        <w:t xml:space="preserve"> </w:t>
      </w:r>
      <w:r>
        <w:t xml:space="preserve">Source-code management system support open-source development workflows that</w:t>
      </w:r>
      <w:r>
        <w:t xml:space="preserve"> </w:t>
      </w:r>
      <w:r>
        <w:t xml:space="preserve">can be adopted in the development of standards. Governance approaches have been</w:t>
      </w:r>
      <w:r>
        <w:t xml:space="preserve"> </w:t>
      </w:r>
      <w:r>
        <w:t xml:space="preserve">honed to address the challenges of managing a range of stakeholder interests</w:t>
      </w:r>
      <w:r>
        <w:t xml:space="preserve"> </w:t>
      </w:r>
      <w:r>
        <w:t xml:space="preserve">and to mediate between large numbers of weakly-connected individuals that</w:t>
      </w:r>
      <w:r>
        <w:t xml:space="preserve"> </w:t>
      </w:r>
      <w:r>
        <w:t xml:space="preserve">contribute to OSS. When these social and technical innovations are put together</w:t>
      </w:r>
      <w:r>
        <w:t xml:space="preserve"> </w:t>
      </w:r>
      <w:r>
        <w:t xml:space="preserve">they enable a host of positive defining features of OSS, such as transparency,</w:t>
      </w:r>
      <w:r>
        <w:t xml:space="preserve"> </w:t>
      </w:r>
      <w:r>
        <w:t xml:space="preserve">collaboration, and decentralization. These features allow OSS to have a</w:t>
      </w:r>
      <w:r>
        <w:t xml:space="preserve"> </w:t>
      </w:r>
      <w:r>
        <w:t xml:space="preserve">remarkable level of dynamism and productivity, while also retaining the ability</w:t>
      </w:r>
      <w:r>
        <w:t xml:space="preserve"> </w:t>
      </w:r>
      <w:r>
        <w:t xml:space="preserve">of a variety of stakeholders to guide the evolution of the software to take</w:t>
      </w:r>
      <w:r>
        <w:t xml:space="preserve"> </w:t>
      </w:r>
      <w:r>
        <w:t xml:space="preserve">their needs and interests into account.</w:t>
      </w:r>
    </w:p>
    <w:p>
      <w:pPr>
        <w:pStyle w:val="BodyText"/>
      </w:pPr>
      <w:r>
        <w:t xml:space="preserve">Data and metadata standards that adopt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stand to reap many of the benefits that the OSS model</w:t>
      </w:r>
      <w:r>
        <w:t xml:space="preserve"> </w:t>
      </w:r>
      <w:r>
        <w:t xml:space="preserve">has provided in the development of other technologies. The present report</w:t>
      </w:r>
      <w:r>
        <w:t xml:space="preserve"> </w:t>
      </w:r>
      <w:r>
        <w:t xml:space="preserve">explore how OSS processes and tools have affected the development of data and</w:t>
      </w:r>
      <w:r>
        <w:t xml:space="preserve"> </w:t>
      </w:r>
      <w:r>
        <w:t xml:space="preserve">metadata standards. The report will triangulate common features of a variety of</w:t>
      </w:r>
      <w:r>
        <w:t xml:space="preserve"> </w:t>
      </w:r>
      <w:r>
        <w:t xml:space="preserve">use 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1"/>
    <w:bookmarkStart w:id="28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One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backwards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 standards are enforced, and this adoption is</w:t>
      </w:r>
      <w:r>
        <w:t xml:space="preserve"> </w:t>
      </w:r>
      <w:r>
        <w:t xml:space="preserve">centrally managed. Access to raw data is essentially impossible, and making it</w:t>
      </w:r>
      <w:r>
        <w:t xml:space="preserve"> </w:t>
      </w:r>
      <w:r>
        <w:t xml:space="preserve">publicly available is both technically very hard and potentially ill-advised.</w:t>
      </w:r>
      <w:r>
        <w:t xml:space="preserve"> </w:t>
      </w:r>
      <w:r>
        <w:t xml:space="preserve">Therefore, analysis tools are tuned specifically to the standards. Incentives</w:t>
      </w:r>
      <w:r>
        <w:t xml:space="preserve"> </w:t>
      </w:r>
      <w:r>
        <w:t xml:space="preserve">to use the standards are provided by funders that require data management plans</w:t>
      </w:r>
      <w:r>
        <w:t xml:space="preserve"> </w:t>
      </w:r>
      <w:r>
        <w:t xml:space="preserve">that specify how the data is shared.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XXX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automated-discovery"/>
    <w:p>
      <w:pPr>
        <w:pStyle w:val="Heading2"/>
      </w:pPr>
      <w:r>
        <w:t xml:space="preserve">3.5 Automated discovery</w:t>
      </w:r>
    </w:p>
    <w:bookmarkEnd w:id="26"/>
    <w:bookmarkStart w:id="27" w:name="community-science"/>
    <w:p>
      <w:pPr>
        <w:pStyle w:val="Heading2"/>
      </w:pPr>
      <w:r>
        <w:t xml:space="preserve">3.6 Community science</w:t>
      </w:r>
    </w:p>
    <w:p>
      <w:pPr>
        <w:pStyle w:val="FirstParagraph"/>
      </w:pPr>
      <w:r>
        <w:t xml:space="preserve">Another interesting use case for open-source standards is community/citizen science. This approach, which has grown Here, standards are needed to facilitate interactions between an in-group of expert researchers who generate and curate data and a broader set of out-group enthusiasts who would like to make meaningful contributions to the science.</w:t>
      </w:r>
    </w:p>
    <w:bookmarkEnd w:id="27"/>
    <w:bookmarkEnd w:id="28"/>
    <w:bookmarkStart w:id="37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9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29"/>
    <w:bookmarkStart w:id="30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In contrast to the OSS case, in open-source standards there is often an</w:t>
      </w:r>
      <w:r>
        <w:t xml:space="preserve"> </w:t>
      </w:r>
      <w:r>
        <w:t xml:space="preserve">inherent gap in both interest and ability to engage with the technical details</w:t>
      </w:r>
      <w:r>
        <w:t xml:space="preserve"> </w:t>
      </w:r>
      <w:r>
        <w:t xml:space="preserve">undergirding standards and their development between the core developers of the</w:t>
      </w:r>
      <w:r>
        <w:t xml:space="preserve"> </w:t>
      </w:r>
      <w:r>
        <w:t xml:space="preserve">standard and the users of the standard, which are the broader field to which</w:t>
      </w:r>
      <w:r>
        <w:t xml:space="preserve"> </w:t>
      </w:r>
      <w:r>
        <w:t xml:space="preserve">the standard pertains. This gap, in and of itself, creates friction on the path</w:t>
      </w:r>
      <w:r>
        <w:t xml:space="preserve"> </w:t>
      </w:r>
      <w:r>
        <w:t xml:space="preserve">to broad adoption and best utilization of the standards. In extreme cases, the</w:t>
      </w:r>
      <w:r>
        <w:t xml:space="preserve"> </w:t>
      </w:r>
      <w:r>
        <w:t xml:space="preserve">interests of researchers and standards developers may even seem at odds, as</w:t>
      </w:r>
      <w:r>
        <w:t xml:space="preserve"> </w:t>
      </w:r>
      <w:r>
        <w:t xml:space="preserve">developers implement sophisticated mechanisms to automate the creation and</w:t>
      </w:r>
      <w:r>
        <w:t xml:space="preserve"> </w:t>
      </w:r>
      <w:r>
        <w:t xml:space="preserve">validation of the standard or advocate for more technically advanced mechanisms</w:t>
      </w:r>
      <w:r>
        <w:t xml:space="preserve"> </w:t>
      </w:r>
      <w:r>
        <w:t xml:space="preserve">for evolving the standard. These advanced capabilities offer more robust</w:t>
      </w:r>
      <w:r>
        <w:t xml:space="preserve"> </w:t>
      </w:r>
      <w:r>
        <w:t xml:space="preserve">development practices and consistency in cases where the standards are complex</w:t>
      </w:r>
      <w:r>
        <w:t xml:space="preserve"> </w:t>
      </w:r>
      <w:r>
        <w:t xml:space="preserve">and elaborate. They can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</w:t>
      </w:r>
    </w:p>
    <w:bookmarkEnd w:id="30"/>
    <w:bookmarkStart w:id="31" w:name="unclear-pathways-for-standards-success"/>
    <w:p>
      <w:pPr>
        <w:pStyle w:val="Heading2"/>
      </w:pPr>
      <w:r>
        <w:t xml:space="preserve">4.3 Unclear pathways for standards success</w:t>
      </w:r>
    </w:p>
    <w:p>
      <w:pPr>
        <w:pStyle w:val="FirstParagraph"/>
      </w:pPr>
      <w:r>
        <w:t xml:space="preserve">Standards typically develop organically through sustained and persistent</w:t>
      </w:r>
      <w:r>
        <w:t xml:space="preserve"> </w:t>
      </w:r>
      <w:r>
        <w:t xml:space="preserve">efforts from dedicated groups of data practitioners. These include scientists</w:t>
      </w:r>
      <w:r>
        <w:t xml:space="preserve"> </w:t>
      </w:r>
      <w:r>
        <w:t xml:space="preserve">and the broader ecosystem of data curators and users. However, there is no</w:t>
      </w:r>
      <w:r>
        <w:t xml:space="preserve"> </w:t>
      </w:r>
      <w:r>
        <w:t xml:space="preserve">playbook on the structure and components of a data standard, or the pathway</w:t>
      </w:r>
      <w:r>
        <w:t xml:space="preserve"> </w:t>
      </w:r>
      <w:r>
        <w:t xml:space="preserve">that moves the implementation of a specific data architecture (e.g., a</w:t>
      </w:r>
      <w:r>
        <w:t xml:space="preserve"> </w:t>
      </w:r>
      <w:r>
        <w:t xml:space="preserve">particular file format) to become a data standard. As a result, data</w:t>
      </w:r>
      <w:r>
        <w:t xml:space="preserve"> </w:t>
      </w:r>
      <w:r>
        <w:t xml:space="preserve">standardization lacks formal avenues for success and recognition, for example</w:t>
      </w:r>
      <w:r>
        <w:t xml:space="preserve"> </w:t>
      </w:r>
      <w:r>
        <w:t xml:space="preserve">through dedicated research 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 is needed in order to inculcate a standard into the</w:t>
      </w:r>
      <w:r>
        <w:t xml:space="preserve"> </w:t>
      </w:r>
      <w:r>
        <w:t xml:space="preserve">day-to-day practice of researchers.</w:t>
      </w:r>
    </w:p>
    <w:bookmarkEnd w:id="31"/>
    <w:bookmarkStart w:id="32" w:name="cross-domain-gaps"/>
    <w:p>
      <w:pPr>
        <w:pStyle w:val="Heading2"/>
      </w:pPr>
      <w:r>
        <w:t xml:space="preserve">4.4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2"/>
    <w:bookmarkStart w:id="34" w:name="data-instrumentation-issues"/>
    <w:p>
      <w:pPr>
        <w:pStyle w:val="Heading2"/>
      </w:pPr>
      <w:r>
        <w:t xml:space="preserve">4.5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3" w:name="X62cc3f99638453ab2bec97132bc2f5cbee64014"/>
    <w:p>
      <w:pPr>
        <w:pStyle w:val="Heading3"/>
      </w:pPr>
      <w:r>
        <w:t xml:space="preserve">4.5.1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3"/>
    <w:bookmarkEnd w:id="34"/>
    <w:bookmarkStart w:id="35" w:name="sustainability"/>
    <w:p>
      <w:pPr>
        <w:pStyle w:val="Heading2"/>
      </w:pPr>
      <w:r>
        <w:t xml:space="preserve">4.6 Sustainability</w:t>
      </w:r>
    </w:p>
    <w:bookmarkEnd w:id="35"/>
    <w:bookmarkStart w:id="36" w:name="the-importance-of-automated-validation"/>
    <w:p>
      <w:pPr>
        <w:pStyle w:val="Heading2"/>
      </w:pPr>
      <w:r>
        <w:t xml:space="preserve">4.7 The importance of automated validation</w:t>
      </w:r>
    </w:p>
    <w:bookmarkEnd w:id="36"/>
    <w:bookmarkEnd w:id="37"/>
    <w:bookmarkStart w:id="41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8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8"/>
    <w:bookmarkStart w:id="39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9"/>
    <w:bookmarkStart w:id="40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40"/>
    <w:bookmarkEnd w:id="41"/>
    <w:bookmarkStart w:id="6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50" w:name="policy-making-and-funding-entities"/>
    <w:p>
      <w:pPr>
        <w:pStyle w:val="Heading2"/>
      </w:pPr>
      <w:r>
        <w:t xml:space="preserve">6.1 Policy-making and Funding entities:</w:t>
      </w:r>
    </w:p>
    <w:bookmarkStart w:id="42" w:name="fund-data-standards-development"/>
    <w:p>
      <w:pPr>
        <w:pStyle w:val="Heading3"/>
      </w:pPr>
      <w:r>
        <w:t xml:space="preserve">6.1.1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democratization of development processes and for community</w:t>
      </w:r>
      <w:r>
        <w:t xml:space="preserve"> </w:t>
      </w:r>
      <w:r>
        <w:t xml:space="preserve">input along the way.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 avenues for a range of stakeholders to propose to funding bodies</w:t>
      </w:r>
      <w:r>
        <w:t xml:space="preserve"> </w:t>
      </w:r>
      <w:r>
        <w:t xml:space="preserve">well-defined 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2"/>
    <w:bookmarkStart w:id="43" w:name="invest-in-data-stewards"/>
    <w:p>
      <w:pPr>
        <w:pStyle w:val="Heading3"/>
      </w:pPr>
      <w:r>
        <w:t xml:space="preserve">6.1.2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</w:t>
      </w:r>
      <w:r>
        <w:t xml:space="preserve"> </w:t>
      </w:r>
      <w:r>
        <w:rPr>
          <w:iCs/>
          <w:i/>
        </w:rPr>
        <w:t xml:space="preserve">data stewards</w:t>
      </w:r>
      <w:r>
        <w:t xml:space="preserve"> </w:t>
      </w:r>
      <w:r>
        <w:t xml:space="preserve">as a</w:t>
      </w:r>
      <w:r>
        <w:t xml:space="preserve"> </w:t>
      </w:r>
      <w:r>
        <w:t xml:space="preserve">distinct role in research.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standards, it will be necessary to set up programs for training for data</w:t>
      </w:r>
      <w:r>
        <w:t xml:space="preserve"> </w:t>
      </w:r>
      <w:r>
        <w:t xml:space="preserve">stewards and invest in career paths that encourage this role. Initial proposals</w:t>
      </w:r>
      <w:r>
        <w:t xml:space="preserve"> </w:t>
      </w:r>
      <w:r>
        <w:t xml:space="preserve">for the 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). In addition, in order for these individuals to be able to make the best use of open-source standards, it will be important for these individuals to be facile in the methodology of OSS. This does not mean that they need to become software engineers – though there may be some overlap with the role of 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useful for development of open-source standards.</w:t>
      </w:r>
    </w:p>
    <w:bookmarkEnd w:id="43"/>
    <w:bookmarkStart w:id="44" w:name="review-data-standards-pathways"/>
    <w:p>
      <w:pPr>
        <w:pStyle w:val="Heading3"/>
      </w:pPr>
      <w:r>
        <w:t xml:space="preserve">6.1.3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Lifecycle should include process, creators, affiliations, grants, and adoption</w:t>
      </w:r>
      <w:r>
        <w:t xml:space="preserve"> </w:t>
      </w:r>
      <w:r>
        <w:t xml:space="preserve">journeys. Make this documentation step integral to the work of standards</w:t>
      </w:r>
      <w:r>
        <w:t xml:space="preserve"> </w:t>
      </w:r>
      <w:r>
        <w:t xml:space="preserve">creators and granting agencies. Retrocactively document #3 for standards such</w:t>
      </w:r>
      <w:r>
        <w:t xml:space="preserve"> </w:t>
      </w:r>
      <w:r>
        <w:t xml:space="preserve">as CF(climate science), NASA genelab (space omics), OpenGIS (geospatial), DICOM</w:t>
      </w:r>
      <w:r>
        <w:t xml:space="preserve"> </w:t>
      </w:r>
      <w:r>
        <w:t xml:space="preserve">(medical imaging), GA4GH (genomics), FITS (astronomy), Zarr (domain agnostic</w:t>
      </w:r>
      <w:r>
        <w:t xml:space="preserve"> </w:t>
      </w:r>
      <w:r>
        <w:t xml:space="preserve">n-dimensional arrays)… ?</w:t>
      </w:r>
    </w:p>
    <w:bookmarkEnd w:id="44"/>
    <w:bookmarkStart w:id="46" w:name="establish-governance"/>
    <w:p>
      <w:pPr>
        <w:pStyle w:val="Heading3"/>
      </w:pPr>
      <w:r>
        <w:t xml:space="preserve">6.1.4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5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6"/>
    <w:bookmarkStart w:id="48" w:name="program-manage-cross-sector-alliances"/>
    <w:p>
      <w:pPr>
        <w:pStyle w:val="Heading3"/>
      </w:pPr>
      <w:r>
        <w:t xml:space="preserve">6.1.5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7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8"/>
    <w:bookmarkStart w:id="49" w:name="curriculum-development"/>
    <w:p>
      <w:pPr>
        <w:pStyle w:val="Heading3"/>
      </w:pPr>
      <w:r>
        <w:t xml:space="preserve">6.1.6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49"/>
    <w:bookmarkEnd w:id="50"/>
    <w:bookmarkStart w:id="60" w:name="science-and-technology-communities"/>
    <w:p>
      <w:pPr>
        <w:pStyle w:val="Heading2"/>
      </w:pPr>
      <w:r>
        <w:t xml:space="preserve">6.2 Science and Technology Communities:</w:t>
      </w:r>
    </w:p>
    <w:bookmarkStart w:id="51" w:name="user-driven-development"/>
    <w:p>
      <w:pPr>
        <w:pStyle w:val="Heading3"/>
      </w:pPr>
      <w:r>
        <w:t xml:space="preserve">6.2.1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51"/>
    <w:bookmarkStart w:id="52" w:name="meta-standards-development"/>
    <w:p>
      <w:pPr>
        <w:pStyle w:val="Heading3"/>
      </w:pPr>
      <w:r>
        <w:t xml:space="preserve">6.2.2 Meta-Standards development</w:t>
      </w:r>
    </w:p>
    <w:p>
      <w:pPr>
        <w:pStyle w:val="FirstParagraph"/>
      </w:pPr>
      <w:r>
        <w:t xml:space="preserve">Develop meta-standards or standards-of-standards. These are descriptions of cross-cutting best-practices and can be used as a basis of the analysis or assessment of an existing standard, or as guidelines to develop new standards. For instance, barriers to adopting a data standard irrespective of team size and technological capabilities should be considered. Meta standards should include formalization for versioning of standards &amp; interaction with related software. Naming of standards should aid marketing and adoption.</w:t>
      </w:r>
    </w:p>
    <w:bookmarkEnd w:id="52"/>
    <w:bookmarkStart w:id="53" w:name="ontology-development"/>
    <w:p>
      <w:pPr>
        <w:pStyle w:val="Heading3"/>
      </w:pPr>
      <w:r>
        <w:t xml:space="preserve">6.2.3 Ontology Development</w:t>
      </w:r>
    </w:p>
    <w:p>
      <w:pPr>
        <w:pStyle w:val="FirstParagraph"/>
      </w:pPr>
      <w:r>
        <w:t xml:space="preserve">Create ontology for standards process such as top down vs bottom up, minimum number of datasets, community size. Examine schema.org (w3c), PEP (Python), CDISC (FDA).</w:t>
      </w:r>
    </w:p>
    <w:bookmarkEnd w:id="53"/>
    <w:bookmarkStart w:id="55" w:name="formalization-guidelines"/>
    <w:p>
      <w:pPr>
        <w:pStyle w:val="Heading3"/>
      </w:pPr>
      <w:r>
        <w:t xml:space="preserve">6.2.4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4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5"/>
    <w:bookmarkStart w:id="58" w:name="landscape-and-failure-analysis"/>
    <w:p>
      <w:pPr>
        <w:pStyle w:val="Heading3"/>
      </w:pPr>
      <w:r>
        <w:t xml:space="preserve">6.2.5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6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7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8"/>
    <w:bookmarkStart w:id="59" w:name="machine-readability"/>
    <w:p>
      <w:pPr>
        <w:pStyle w:val="Heading3"/>
      </w:pPr>
      <w:r>
        <w:t xml:space="preserve">6.2.6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59"/>
    <w:bookmarkEnd w:id="60"/>
    <w:bookmarkEnd w:id="61"/>
    <w:bookmarkStart w:id="6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6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5"/>
    <w:bookmarkStart w:id="88" w:name="references"/>
    <w:p>
      <w:pPr>
        <w:pStyle w:val="Heading1"/>
      </w:pPr>
      <w:r>
        <w:t xml:space="preserve">8. References</w:t>
      </w:r>
    </w:p>
    <w:bookmarkStart w:id="87" w:name="refs"/>
    <w:bookmarkStart w:id="66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6"/>
    <w:bookmarkStart w:id="67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7"/>
    <w:bookmarkStart w:id="69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8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9"/>
    <w:bookmarkStart w:id="71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70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1"/>
    <w:bookmarkStart w:id="73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2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3"/>
    <w:bookmarkStart w:id="75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4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5"/>
    <w:bookmarkStart w:id="76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6"/>
    <w:bookmarkStart w:id="78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7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8"/>
    <w:bookmarkStart w:id="80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9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0"/>
    <w:bookmarkStart w:id="81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81"/>
    <w:bookmarkStart w:id="82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2"/>
    <w:bookmarkStart w:id="83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4"/>
    <w:bookmarkStart w:id="85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5"/>
    <w:bookmarkStart w:id="86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77" Target="https://doi.org/10.1145/3437359.3465586" TargetMode="External" /><Relationship Type="http://schemas.openxmlformats.org/officeDocument/2006/relationships/hyperlink" Id="rId74" Target="https://doi.org/10.1201/9781315380711" TargetMode="External" /><Relationship Type="http://schemas.openxmlformats.org/officeDocument/2006/relationships/hyperlink" Id="rId72" Target="https://doi.org/10.5281/zenodo.11592827" TargetMode="External" /><Relationship Type="http://schemas.openxmlformats.org/officeDocument/2006/relationships/hyperlink" Id="rId56" Target="https://fairsharing.org/" TargetMode="External" /><Relationship Type="http://schemas.openxmlformats.org/officeDocument/2006/relationships/hyperlink" Id="rId54" Target="https://linkml.io" TargetMode="External" /><Relationship Type="http://schemas.openxmlformats.org/officeDocument/2006/relationships/hyperlink" Id="rId64" Target="https://new.nsf.gov/funding/opportunities/pathways-enable-open-source-ecosystems-pose" TargetMode="External" /><Relationship Type="http://schemas.openxmlformats.org/officeDocument/2006/relationships/hyperlink" Id="rId62" Target="https://uwescience.github.io/2024-open-source-standards-workshop/" TargetMode="External" /><Relationship Type="http://schemas.openxmlformats.org/officeDocument/2006/relationships/hyperlink" Id="rId79" Target="https://www.cos.io/blog/strategy-for-culture-change" TargetMode="External" /><Relationship Type="http://schemas.openxmlformats.org/officeDocument/2006/relationships/hyperlink" Id="rId57" Target="https://www.dcc.ac.uk/guidance/standards" TargetMode="External" /><Relationship Type="http://schemas.openxmlformats.org/officeDocument/2006/relationships/hyperlink" Id="rId68" Target="https://www.nature.com/articles/sdata201644" TargetMode="External" /><Relationship Type="http://schemas.openxmlformats.org/officeDocument/2006/relationships/hyperlink" Id="rId63" Target="https://www.nsf.gov/awardsearch/showAward?AWD_ID=2334483&amp;HistoricalAwards=false" TargetMode="External" /><Relationship Type="http://schemas.openxmlformats.org/officeDocument/2006/relationships/hyperlink" Id="rId47" Target="https://www.pistoiaalliance.org/news/press-release-pistoia-alliance-launches-idmp-1-0/" TargetMode="External" /><Relationship Type="http://schemas.openxmlformats.org/officeDocument/2006/relationships/hyperlink" Id="rId45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77" Target="https://doi.org/10.1145/3437359.3465586" TargetMode="External" /><Relationship Type="http://schemas.openxmlformats.org/officeDocument/2006/relationships/hyperlink" Id="rId74" Target="https://doi.org/10.1201/9781315380711" TargetMode="External" /><Relationship Type="http://schemas.openxmlformats.org/officeDocument/2006/relationships/hyperlink" Id="rId72" Target="https://doi.org/10.5281/zenodo.11592827" TargetMode="External" /><Relationship Type="http://schemas.openxmlformats.org/officeDocument/2006/relationships/hyperlink" Id="rId56" Target="https://fairsharing.org/" TargetMode="External" /><Relationship Type="http://schemas.openxmlformats.org/officeDocument/2006/relationships/hyperlink" Id="rId54" Target="https://linkml.io" TargetMode="External" /><Relationship Type="http://schemas.openxmlformats.org/officeDocument/2006/relationships/hyperlink" Id="rId64" Target="https://new.nsf.gov/funding/opportunities/pathways-enable-open-source-ecosystems-pose" TargetMode="External" /><Relationship Type="http://schemas.openxmlformats.org/officeDocument/2006/relationships/hyperlink" Id="rId62" Target="https://uwescience.github.io/2024-open-source-standards-workshop/" TargetMode="External" /><Relationship Type="http://schemas.openxmlformats.org/officeDocument/2006/relationships/hyperlink" Id="rId79" Target="https://www.cos.io/blog/strategy-for-culture-change" TargetMode="External" /><Relationship Type="http://schemas.openxmlformats.org/officeDocument/2006/relationships/hyperlink" Id="rId57" Target="https://www.dcc.ac.uk/guidance/standards" TargetMode="External" /><Relationship Type="http://schemas.openxmlformats.org/officeDocument/2006/relationships/hyperlink" Id="rId68" Target="https://www.nature.com/articles/sdata201644" TargetMode="External" /><Relationship Type="http://schemas.openxmlformats.org/officeDocument/2006/relationships/hyperlink" Id="rId63" Target="https://www.nsf.gov/awardsearch/showAward?AWD_ID=2334483&amp;HistoricalAwards=false" TargetMode="External" /><Relationship Type="http://schemas.openxmlformats.org/officeDocument/2006/relationships/hyperlink" Id="rId47" Target="https://www.pistoiaalliance.org/news/press-release-pistoia-alliance-launches-idmp-1-0/" TargetMode="External" /><Relationship Type="http://schemas.openxmlformats.org/officeDocument/2006/relationships/hyperlink" Id="rId45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2024-06-19T22:10:13Z</dcterms:created>
  <dcterms:modified xsi:type="dcterms:W3CDTF">2024-06-19T22:10:13Z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