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sec-intro"/>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technologies.The present report</w:t>
      </w:r>
      <w:r>
        <w:t xml:space="preserve"> </w:t>
      </w:r>
      <w:r>
        <w:t xml:space="preserve">explore how OSS processes and tools have affected the development of data and</w:t>
      </w:r>
      <w:r>
        <w:t xml:space="preserve"> </w:t>
      </w:r>
      <w:r>
        <w:t xml:space="preserve">metadata standards. The report will triangulate common features of a variety of</w:t>
      </w:r>
      <w:r>
        <w:t xml:space="preserve"> </w:t>
      </w:r>
      <w:r>
        <w:t xml:space="preserve">use cases; it will identify some of the challenges and pitfalls of this mode of</w:t>
      </w:r>
      <w:r>
        <w:t xml:space="preserve"> </w:t>
      </w:r>
      <w:r>
        <w:t xml:space="preserve">standards development, with a particular focus on cross-sector interactions;</w:t>
      </w:r>
      <w:r>
        <w:t xml:space="preserve"> </w:t>
      </w:r>
      <w:r>
        <w:t xml:space="preserve">and it will make recommendations for future developments and policies that can</w:t>
      </w:r>
      <w:r>
        <w:t xml:space="preserve"> </w:t>
      </w:r>
      <w:r>
        <w:t xml:space="preserve">help this mode of standards development thrive and reach its full potential.</w:t>
      </w:r>
    </w:p>
    <w:bookmarkEnd w:id="22"/>
    <w:bookmarkStart w:id="29" w:name="use-cases"/>
    <w:p>
      <w:pPr>
        <w:pStyle w:val="Heading1"/>
      </w:pPr>
      <w:r>
        <w:t xml:space="preserve">4.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23" w:name="astronomy"/>
    <w:p>
      <w:pPr>
        <w:pStyle w:val="Heading2"/>
      </w:pPr>
      <w:r>
        <w:t xml:space="preserve">4.1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23"/>
    <w:bookmarkStart w:id="24" w:name="high-energy-physics-hep"/>
    <w:p>
      <w:pPr>
        <w:pStyle w:val="Heading2"/>
      </w:pPr>
      <w:r>
        <w:t xml:space="preserve">4.2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24"/>
    <w:bookmarkStart w:id="25" w:name="earth-sciences"/>
    <w:p>
      <w:pPr>
        <w:pStyle w:val="Heading2"/>
      </w:pPr>
      <w:r>
        <w:t xml:space="preserve">4.3 Earth sciences</w:t>
      </w:r>
    </w:p>
    <w:p>
      <w:pPr>
        <w:pStyle w:val="FirstParagraph"/>
      </w:pPr>
      <w:r>
        <w:t xml:space="preserve">XXX</w:t>
      </w:r>
    </w:p>
    <w:bookmarkEnd w:id="25"/>
    <w:bookmarkStart w:id="26" w:name="neuroscience"/>
    <w:p>
      <w:pPr>
        <w:pStyle w:val="Heading2"/>
      </w:pPr>
      <w:r>
        <w:t xml:space="preserve">4.4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6"/>
    <w:bookmarkStart w:id="27" w:name="automated-discovery"/>
    <w:p>
      <w:pPr>
        <w:pStyle w:val="Heading2"/>
      </w:pPr>
      <w:r>
        <w:t xml:space="preserve">4.5 Automated discovery</w:t>
      </w:r>
    </w:p>
    <w:bookmarkEnd w:id="27"/>
    <w:bookmarkStart w:id="28" w:name="community-science"/>
    <w:p>
      <w:pPr>
        <w:pStyle w:val="Heading2"/>
      </w:pPr>
      <w:r>
        <w:t xml:space="preserve">4.6 Community science</w:t>
      </w:r>
    </w:p>
    <w:p>
      <w:pPr>
        <w:pStyle w:val="FirstParagraph"/>
      </w:pPr>
      <w:r>
        <w:t xml:space="preserve">Another interesting use case for open-source standards is community/citizen science. This approach, which has grown Here, standards are needed to facilitate interactions between an in-group of expert researchers who generate and curate data and a broader set of out-group enthusiasts who would like to make meaningful contributions to the science.</w:t>
      </w:r>
    </w:p>
    <w:bookmarkEnd w:id="28"/>
    <w:bookmarkEnd w:id="29"/>
    <w:bookmarkStart w:id="38" w:name="sec-opportunities"/>
    <w:p>
      <w:pPr>
        <w:pStyle w:val="Heading1"/>
      </w:pPr>
      <w:r>
        <w:t xml:space="preserve">5. Opportunities and risks for open-source standards</w:t>
      </w:r>
    </w:p>
    <w:p>
      <w:pPr>
        <w:pStyle w:val="FirstParagraph"/>
      </w:pPr>
      <w:r>
        <w:t xml:space="preserve">At the same time, these tools and practices are associated with risks that need</w:t>
      </w:r>
      <w:r>
        <w:t xml:space="preserve"> </w:t>
      </w:r>
      <w:r>
        <w:t xml:space="preserve">to be mitigated.</w:t>
      </w:r>
    </w:p>
    <w:bookmarkStart w:id="30" w:name="flexibility-vs.-stability"/>
    <w:p>
      <w:pPr>
        <w:pStyle w:val="Heading2"/>
      </w:pPr>
      <w:r>
        <w:t xml:space="preserve">5.1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w:t>
      </w:r>
      <w:r>
        <w:t xml:space="preserve"> </w:t>
      </w:r>
      <w:r>
        <w:t xml:space="preserve">these existing datasets. Similarly, analysis technology stacks that are</w:t>
      </w:r>
      <w:r>
        <w:t xml:space="preserve"> </w:t>
      </w:r>
      <w:r>
        <w:t xml:space="preserve">developed based on an existing version of a standard have to adapt to the</w:t>
      </w:r>
      <w:r>
        <w:t xml:space="preserve"> </w:t>
      </w:r>
      <w:r>
        <w:t xml:space="preserve">introduction of new ideas and changes into a standard. Dynamic changes of this</w:t>
      </w:r>
      <w:r>
        <w:t xml:space="preserve"> </w:t>
      </w:r>
      <w:r>
        <w:t xml:space="preserve">sort therefore risk causing a loss of faith in the standard by a user</w:t>
      </w:r>
      <w:r>
        <w:t xml:space="preserve"> </w:t>
      </w:r>
      <w:r>
        <w:t xml:space="preserve">community, and migration away from the standard. Similarly, if a standard</w:t>
      </w:r>
      <w:r>
        <w:t xml:space="preserve"> </w:t>
      </w:r>
      <w:r>
        <w:t xml:space="preserve">evolves too rapidly, users may choose to stick to an outdated version of a</w:t>
      </w:r>
      <w:r>
        <w:t xml:space="preserve"> </w:t>
      </w:r>
      <w:r>
        <w:t xml:space="preserve">standard for a long time, creating strains on the community of developers and</w:t>
      </w:r>
      <w:r>
        <w:t xml:space="preserve"> </w:t>
      </w:r>
      <w:r>
        <w:t xml:space="preserve">maintainers of a standard who will need to accommodate long deprecation cycles.</w:t>
      </w:r>
    </w:p>
    <w:bookmarkEnd w:id="30"/>
    <w:bookmarkStart w:id="31" w:name="X6c5144b5d2eedb3ea5d19f4a57c0dc4d41eddb0"/>
    <w:p>
      <w:pPr>
        <w:pStyle w:val="Heading2"/>
      </w:pPr>
      <w:r>
        <w:t xml:space="preserve">5.2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and validation of the standard or advocate for more</w:t>
      </w:r>
      <w:r>
        <w:t xml:space="preserve"> </w:t>
      </w:r>
      <w:r>
        <w:t xml:space="preserve">technically advanced mechanisms for evolving the standard. These advanced</w:t>
      </w:r>
      <w:r>
        <w:t xml:space="preserve"> </w:t>
      </w:r>
      <w:r>
        <w:t xml:space="preserve">capabilities offer more robust development practices and consistency in cases</w:t>
      </w:r>
      <w:r>
        <w:t xml:space="preserve"> </w:t>
      </w:r>
      <w:r>
        <w:t xml:space="preserve">where the standards are complex and elaborate. On the other hand, they may end</w:t>
      </w:r>
      <w:r>
        <w:t xml:space="preserve"> </w:t>
      </w:r>
      <w:r>
        <w:t xml:space="preserve">up leaving potential users sidelined in the development of the standard, and</w:t>
      </w:r>
      <w:r>
        <w:t xml:space="preserve"> </w:t>
      </w:r>
      <w:r>
        <w:t xml:space="preserve">limiting their ability to provide feedback about the practical implications of</w:t>
      </w:r>
      <w:r>
        <w:t xml:space="preserve"> </w:t>
      </w:r>
      <w:r>
        <w:t xml:space="preserve">changes to the standards.</w:t>
      </w:r>
    </w:p>
    <w:bookmarkEnd w:id="31"/>
    <w:bookmarkStart w:id="32" w:name="unclear-pathways-for-standards-success"/>
    <w:p>
      <w:pPr>
        <w:pStyle w:val="Heading2"/>
      </w:pPr>
      <w:r>
        <w:t xml:space="preserve">5.3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success and recognition, for example through dedicated research grants (and see</w:t>
      </w:r>
      <w:r>
        <w:t xml:space="preserve"> </w:t>
      </w:r>
      <w:hyperlink w:anchor="sec-cross-sector">
        <w:r>
          <w:rPr>
            <w:rStyle w:val="Hyperlink"/>
          </w:rPr>
          <w:t xml:space="preserve">Section 6</w:t>
        </w:r>
      </w:hyperlink>
      <w:r>
        <w:t xml:space="preserve">)</w:t>
      </w:r>
    </w:p>
    <w:bookmarkEnd w:id="32"/>
    <w:bookmarkStart w:id="33" w:name="cross-domain-funding-gaps"/>
    <w:p>
      <w:pPr>
        <w:pStyle w:val="Heading2"/>
      </w:pPr>
      <w:r>
        <w:t xml:space="preserve">5.4 Cross-domain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33"/>
    <w:bookmarkStart w:id="34" w:name="data-instrumentation-issues"/>
    <w:p>
      <w:pPr>
        <w:pStyle w:val="Heading2"/>
      </w:pPr>
      <w:r>
        <w:t xml:space="preserve">5.5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34"/>
    <w:bookmarkStart w:id="35" w:name="sustainability"/>
    <w:p>
      <w:pPr>
        <w:pStyle w:val="Heading2"/>
      </w:pPr>
      <w:r>
        <w:t xml:space="preserve">5.6 Sustainability</w:t>
      </w:r>
    </w:p>
    <w:bookmarkEnd w:id="35"/>
    <w:bookmarkStart w:id="36" w:name="the-importance-of-automated-validation"/>
    <w:p>
      <w:pPr>
        <w:pStyle w:val="Heading2"/>
      </w:pPr>
      <w:r>
        <w:t xml:space="preserve">5.7 The importance of automated validation</w:t>
      </w:r>
    </w:p>
    <w:bookmarkEnd w:id="36"/>
    <w:bookmarkStart w:id="37" w:name="X62cc3f99638453ab2bec97132bc2f5cbee64014"/>
    <w:p>
      <w:pPr>
        <w:pStyle w:val="Heading2"/>
      </w:pPr>
      <w:r>
        <w:t xml:space="preserve">5.8 Harnessing new computing paradigms and technologies</w:t>
      </w:r>
    </w:p>
    <w:p>
      <w:pPr>
        <w:pStyle w:val="FirstParagraph"/>
      </w:pPr>
      <w:r>
        <w:t xml:space="preserve">Open-source standards development faces the challenges of adapting to new</w:t>
      </w:r>
      <w:r>
        <w:t xml:space="preserve"> </w:t>
      </w:r>
      <w:r>
        <w:t xml:space="preserve">technologies The development of standards that are well-Cloud computing</w:t>
      </w:r>
      <w:r>
        <w:t xml:space="preserve"> </w:t>
      </w:r>
      <w:r>
        <w:t xml:space="preserve">provides</w:t>
      </w:r>
    </w:p>
    <w:bookmarkEnd w:id="37"/>
    <w:bookmarkEnd w:id="38"/>
    <w:bookmarkStart w:id="42" w:name="sec-cross-sector"/>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9"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Cs/>
          <w:i/>
        </w:rPr>
        <w:t xml:space="preserve">normative</w:t>
      </w:r>
      <w:r>
        <w:t xml:space="preserve">. Once all of these pieces are in place,</w:t>
      </w:r>
      <w:r>
        <w:t xml:space="preserve"> </w:t>
      </w:r>
      <w:r>
        <w:t xml:space="preserve">making adoption of open science standards</w:t>
      </w:r>
      <w:r>
        <w:t xml:space="preserve"> </w:t>
      </w:r>
      <w:r>
        <w:rPr>
          <w:iCs/>
          <w:i/>
        </w:rPr>
        <w:t xml:space="preserve">required</w:t>
      </w:r>
      <w:r>
        <w:t xml:space="preserve"> </w:t>
      </w:r>
      <w:r>
        <w:t xml:space="preserve">through policy becomes</w:t>
      </w:r>
      <w:r>
        <w:t xml:space="preserve"> </w:t>
      </w:r>
      <w:r>
        <w:t xml:space="preserve">more straightforward and less onerous.</w:t>
      </w:r>
    </w:p>
    <w:bookmarkEnd w:id="39"/>
    <w:bookmarkStart w:id="40" w:name="funding"/>
    <w:p>
      <w:pPr>
        <w:pStyle w:val="Heading2"/>
      </w:pPr>
      <w:r>
        <w:t xml:space="preserve">6.2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40"/>
    <w:bookmarkStart w:id="41" w:name="industry"/>
    <w:p>
      <w:pPr>
        <w:pStyle w:val="Heading2"/>
      </w:pPr>
      <w:r>
        <w:t xml:space="preserve">6.3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One</w:t>
      </w:r>
      <w:r>
        <w:t xml:space="preserve"> </w:t>
      </w:r>
      <w:r>
        <w:t xml:space="preserve">example is the DICOM standard, which is maintained by working groups that</w:t>
      </w:r>
      <w:r>
        <w:t xml:space="preserve"> </w:t>
      </w:r>
      <w:r>
        <w:t xml:space="preserve">encompass commercial imaging device vendors and researchers.</w:t>
      </w:r>
    </w:p>
    <w:bookmarkEnd w:id="41"/>
    <w:bookmarkEnd w:id="42"/>
    <w:bookmarkStart w:id="62"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51" w:name="funding-or-grantmaking-entities"/>
    <w:p>
      <w:pPr>
        <w:pStyle w:val="Heading2"/>
      </w:pPr>
      <w:r>
        <w:t xml:space="preserve">7.1 Funding or Grantmaking entities:</w:t>
      </w:r>
    </w:p>
    <w:bookmarkStart w:id="43"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3"/>
    <w:bookmarkStart w:id="44"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4"/>
    <w:bookmarkStart w:id="45"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5"/>
    <w:bookmarkStart w:id="47"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6">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7"/>
    <w:bookmarkStart w:id="49"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8">
        <w:r>
          <w:rPr>
            <w:rStyle w:val="Hyperlink"/>
          </w:rPr>
          <w:t xml:space="preserve">Pistoiaalliance</w:t>
        </w:r>
      </w:hyperlink>
      <w:r>
        <w:t xml:space="preserve">.</w:t>
      </w:r>
    </w:p>
    <w:bookmarkEnd w:id="49"/>
    <w:bookmarkStart w:id="50"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50"/>
    <w:bookmarkEnd w:id="51"/>
    <w:bookmarkStart w:id="61" w:name="science-and-technology-communities"/>
    <w:p>
      <w:pPr>
        <w:pStyle w:val="Heading2"/>
      </w:pPr>
      <w:r>
        <w:t xml:space="preserve">7.2 Science and Technology Communities:</w:t>
      </w:r>
    </w:p>
    <w:bookmarkStart w:id="52"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52"/>
    <w:bookmarkStart w:id="53"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3"/>
    <w:bookmarkStart w:id="54"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4"/>
    <w:bookmarkStart w:id="56"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5">
        <w:r>
          <w:rPr>
            <w:rStyle w:val="Hyperlink"/>
          </w:rPr>
          <w:t xml:space="preserve">LinkML</w:t>
        </w:r>
      </w:hyperlink>
      <w:r>
        <w:t xml:space="preserve">.</w:t>
      </w:r>
    </w:p>
    <w:bookmarkEnd w:id="56"/>
    <w:bookmarkStart w:id="59"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7">
        <w:r>
          <w:rPr>
            <w:rStyle w:val="Hyperlink"/>
          </w:rPr>
          <w:t xml:space="preserve">Fairsharing</w:t>
        </w:r>
      </w:hyperlink>
      <w:r>
        <w:t xml:space="preserve"> </w:t>
      </w:r>
      <w:r>
        <w:t xml:space="preserve">or</w:t>
      </w:r>
      <w:r>
        <w:t xml:space="preserve"> </w:t>
      </w:r>
      <w:hyperlink r:id="rId58">
        <w:r>
          <w:rPr>
            <w:rStyle w:val="Hyperlink"/>
          </w:rPr>
          <w:t xml:space="preserve">Digital Curation Center</w:t>
        </w:r>
      </w:hyperlink>
      <w:r>
        <w:t xml:space="preserve">.</w:t>
      </w:r>
    </w:p>
    <w:bookmarkEnd w:id="59"/>
    <w:bookmarkStart w:id="60"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60"/>
    <w:bookmarkEnd w:id="61"/>
    <w:bookmarkEnd w:id="62"/>
    <w:bookmarkStart w:id="66" w:name="acknowledgements"/>
    <w:p>
      <w:pPr>
        <w:pStyle w:val="Heading1"/>
      </w:pPr>
      <w:r>
        <w:t xml:space="preserve">8. Acknowledgements</w:t>
      </w:r>
    </w:p>
    <w:p>
      <w:pPr>
        <w:pStyle w:val="FirstParagraph"/>
      </w:pPr>
      <w:r>
        <w:t xml:space="preserve">This report was produced following a</w:t>
      </w:r>
      <w:r>
        <w:t xml:space="preserve"> </w:t>
      </w:r>
      <w:hyperlink r:id="rId63">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4">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5">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6"/>
    <w:bookmarkStart w:id="83" w:name="references"/>
    <w:p>
      <w:pPr>
        <w:pStyle w:val="Heading1"/>
      </w:pPr>
      <w:r>
        <w:t xml:space="preserve">9. References</w:t>
      </w:r>
    </w:p>
    <w:bookmarkStart w:id="82" w:name="refs"/>
    <w:bookmarkStart w:id="67"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7"/>
    <w:bookmarkStart w:id="69"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8">
        <w:r>
          <w:rPr>
            <w:rStyle w:val="Hyperlink"/>
          </w:rPr>
          <w:t xml:space="preserve">https://www.nature.com/articles/sdata201644</w:t>
        </w:r>
      </w:hyperlink>
      <w:r>
        <w:t xml:space="preserve">.</w:t>
      </w:r>
    </w:p>
    <w:bookmarkEnd w:id="69"/>
    <w:bookmarkStart w:id="71" w:name="ref-Koch2012-ve"/>
    <w:p>
      <w:pPr>
        <w:pStyle w:val="Bibliography"/>
      </w:pPr>
      <w:r>
        <w:t xml:space="preserve">Koch, Christof, and R Clay Reid. 2012.</w:t>
      </w:r>
      <w:r>
        <w:t xml:space="preserve"> </w:t>
      </w:r>
      <w:r>
        <w:t xml:space="preserve">“Observatories of the Mind.”</w:t>
      </w:r>
      <w:r>
        <w:t xml:space="preserve"> </w:t>
      </w:r>
      <w:hyperlink r:id="rId70">
        <w:r>
          <w:rPr>
            <w:rStyle w:val="Hyperlink"/>
          </w:rPr>
          <w:t xml:space="preserve">http://dx.doi.org/10.1038/483397a</w:t>
        </w:r>
      </w:hyperlink>
      <w:r>
        <w:t xml:space="preserve">.</w:t>
      </w:r>
    </w:p>
    <w:bookmarkEnd w:id="71"/>
    <w:bookmarkStart w:id="73"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72">
        <w:r>
          <w:rPr>
            <w:rStyle w:val="Hyperlink"/>
          </w:rPr>
          <w:t xml:space="preserve">https://doi.org/10.1201/9781315380711</w:t>
        </w:r>
      </w:hyperlink>
      <w:r>
        <w:t xml:space="preserve">.</w:t>
      </w:r>
    </w:p>
    <w:bookmarkEnd w:id="73"/>
    <w:bookmarkStart w:id="74"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4"/>
    <w:bookmarkStart w:id="76" w:name="ref-Nosek2019CultureChange"/>
    <w:p>
      <w:pPr>
        <w:pStyle w:val="Bibliography"/>
      </w:pPr>
      <w:r>
        <w:t xml:space="preserve">Nosek, Brian. n.d.</w:t>
      </w:r>
      <w:r>
        <w:t xml:space="preserve"> </w:t>
      </w:r>
      <w:r>
        <w:t xml:space="preserve">“Strategy for Culture Change.”</w:t>
      </w:r>
      <w:r>
        <w:t xml:space="preserve"> </w:t>
      </w:r>
      <w:hyperlink r:id="rId75">
        <w:r>
          <w:rPr>
            <w:rStyle w:val="Hyperlink"/>
          </w:rPr>
          <w:t xml:space="preserve">https://www.cos.io/blog/strategy-for-culture-change</w:t>
        </w:r>
      </w:hyperlink>
      <w:r>
        <w:t xml:space="preserve">.</w:t>
      </w:r>
    </w:p>
    <w:bookmarkEnd w:id="76"/>
    <w:bookmarkStart w:id="77"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7"/>
    <w:bookmarkStart w:id="78"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8"/>
    <w:bookmarkStart w:id="79"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9"/>
    <w:bookmarkStart w:id="80"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80"/>
    <w:bookmarkStart w:id="81"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dx.doi.org/10.1038/483397a" TargetMode="External" /><Relationship Type="http://schemas.openxmlformats.org/officeDocument/2006/relationships/hyperlink" Id="rId72" Target="https://doi.org/10.1201/9781315380711" TargetMode="External" /><Relationship Type="http://schemas.openxmlformats.org/officeDocument/2006/relationships/hyperlink" Id="rId57" Target="https://fairsharing.org/" TargetMode="External" /><Relationship Type="http://schemas.openxmlformats.org/officeDocument/2006/relationships/hyperlink" Id="rId55" Target="https://linkml.io" TargetMode="External" /><Relationship Type="http://schemas.openxmlformats.org/officeDocument/2006/relationships/hyperlink" Id="rId65" Target="https://new.nsf.gov/funding/opportunities/pathways-enable-open-source-ecosystems-pose" TargetMode="External" /><Relationship Type="http://schemas.openxmlformats.org/officeDocument/2006/relationships/hyperlink" Id="rId63" Target="https://uwescience.github.io/2024-open-source-standards-workshop/" TargetMode="External" /><Relationship Type="http://schemas.openxmlformats.org/officeDocument/2006/relationships/hyperlink" Id="rId75" Target="https://www.cos.io/blog/strategy-for-culture-change" TargetMode="External" /><Relationship Type="http://schemas.openxmlformats.org/officeDocument/2006/relationships/hyperlink" Id="rId58" Target="https://www.dcc.ac.uk/guidance/standards" TargetMode="External" /><Relationship Type="http://schemas.openxmlformats.org/officeDocument/2006/relationships/hyperlink" Id="rId68" Target="https://www.nature.com/articles/sdata201644" TargetMode="External" /><Relationship Type="http://schemas.openxmlformats.org/officeDocument/2006/relationships/hyperlink" Id="rId64" Target="https://www.nsf.gov/awardsearch/showAward?AWD_ID=2334483&amp;HistoricalAwards=false" TargetMode="External" /><Relationship Type="http://schemas.openxmlformats.org/officeDocument/2006/relationships/hyperlink" Id="rId48" Target="https://www.pistoiaalliance.org/news/press-release-pistoia-alliance-launches-idmp-1-0/" TargetMode="External" /><Relationship Type="http://schemas.openxmlformats.org/officeDocument/2006/relationships/hyperlink" Id="rId46"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038/483397a" TargetMode="External" /><Relationship Type="http://schemas.openxmlformats.org/officeDocument/2006/relationships/hyperlink" Id="rId72" Target="https://doi.org/10.1201/9781315380711" TargetMode="External" /><Relationship Type="http://schemas.openxmlformats.org/officeDocument/2006/relationships/hyperlink" Id="rId57" Target="https://fairsharing.org/" TargetMode="External" /><Relationship Type="http://schemas.openxmlformats.org/officeDocument/2006/relationships/hyperlink" Id="rId55" Target="https://linkml.io" TargetMode="External" /><Relationship Type="http://schemas.openxmlformats.org/officeDocument/2006/relationships/hyperlink" Id="rId65" Target="https://new.nsf.gov/funding/opportunities/pathways-enable-open-source-ecosystems-pose" TargetMode="External" /><Relationship Type="http://schemas.openxmlformats.org/officeDocument/2006/relationships/hyperlink" Id="rId63" Target="https://uwescience.github.io/2024-open-source-standards-workshop/" TargetMode="External" /><Relationship Type="http://schemas.openxmlformats.org/officeDocument/2006/relationships/hyperlink" Id="rId75" Target="https://www.cos.io/blog/strategy-for-culture-change" TargetMode="External" /><Relationship Type="http://schemas.openxmlformats.org/officeDocument/2006/relationships/hyperlink" Id="rId58" Target="https://www.dcc.ac.uk/guidance/standards" TargetMode="External" /><Relationship Type="http://schemas.openxmlformats.org/officeDocument/2006/relationships/hyperlink" Id="rId68" Target="https://www.nature.com/articles/sdata201644" TargetMode="External" /><Relationship Type="http://schemas.openxmlformats.org/officeDocument/2006/relationships/hyperlink" Id="rId64" Target="https://www.nsf.gov/awardsearch/showAward?AWD_ID=2334483&amp;HistoricalAwards=false" TargetMode="External" /><Relationship Type="http://schemas.openxmlformats.org/officeDocument/2006/relationships/hyperlink" Id="rId48" Target="https://www.pistoiaalliance.org/news/press-release-pistoia-alliance-launches-idmp-1-0/" TargetMode="External" /><Relationship Type="http://schemas.openxmlformats.org/officeDocument/2006/relationships/hyperlink" Id="rId46"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2024-06-19T21:17:41Z</dcterms:created>
  <dcterms:modified xsi:type="dcterms:W3CDTF">2024-06-19T21:17:41Z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