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小立方体堆叠成大立方体实现及应用说明</w:t>
      </w:r>
    </w:p>
    <w:p>
      <w:pPr>
        <w:pStyle w:val="3"/>
        <w:bidi w:val="0"/>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为了让堆叠效果更加逼真自然，达到较好的动态效果，这里借助物理引擎进行运动仿真。记录运动过程中每个小立方体的方位信息，生成动画文件。播放时，加载对应动画文件，生成动画信息，并应用到各个小立方体，形成堆叠效果。</w:t>
      </w:r>
    </w:p>
    <w:p>
      <w:pPr>
        <w:pStyle w:val="3"/>
        <w:bidi w:val="0"/>
        <w:rPr>
          <w:rFonts w:hint="eastAsia"/>
          <w:lang w:val="en-US" w:eastAsia="zh-CN"/>
        </w:rPr>
      </w:pPr>
      <w:r>
        <w:rPr>
          <w:rFonts w:hint="eastAsia"/>
          <w:lang w:val="en-US" w:eastAsia="zh-CN"/>
        </w:rPr>
        <w:t>关键词</w:t>
      </w:r>
    </w:p>
    <w:p>
      <w:pPr>
        <w:ind w:firstLine="420" w:firstLineChars="0"/>
        <w:rPr>
          <w:rFonts w:hint="eastAsia"/>
          <w:lang w:val="en-US" w:eastAsia="zh-CN"/>
        </w:rPr>
      </w:pPr>
      <w:r>
        <w:rPr>
          <w:rFonts w:hint="eastAsia"/>
          <w:lang w:val="en-US" w:eastAsia="zh-CN"/>
        </w:rPr>
        <w:t>动画、物理引擎、录制、3D、Unity。</w:t>
      </w:r>
    </w:p>
    <w:p>
      <w:pPr>
        <w:pStyle w:val="3"/>
        <w:bidi w:val="0"/>
        <w:rPr>
          <w:rFonts w:hint="eastAsia"/>
          <w:lang w:val="en-US" w:eastAsia="zh-CN"/>
        </w:rPr>
      </w:pPr>
      <w:r>
        <w:rPr>
          <w:rFonts w:hint="eastAsia"/>
          <w:lang w:val="en-US" w:eastAsia="zh-CN"/>
        </w:rPr>
        <w:t>引言</w:t>
      </w:r>
    </w:p>
    <w:p>
      <w:pPr>
        <w:ind w:firstLine="420" w:firstLineChars="0"/>
        <w:rPr>
          <w:rFonts w:hint="default"/>
          <w:lang w:val="en-US" w:eastAsia="zh-CN"/>
        </w:rPr>
      </w:pPr>
      <w:r>
        <w:rPr>
          <w:rFonts w:hint="eastAsia"/>
          <w:lang w:val="en-US" w:eastAsia="zh-CN"/>
        </w:rPr>
        <w:t>小立方体堆叠成大立方体的视频展示了非常漂亮的立方体堆叠及散落效果，这个效果就是我们的研究目标。</w:t>
      </w:r>
    </w:p>
    <w:p>
      <w:r>
        <w:drawing>
          <wp:inline distT="0" distB="0" distL="114300" distR="114300">
            <wp:extent cx="5266690" cy="3041650"/>
            <wp:effectExtent l="0" t="0" r="1016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3041650"/>
                    </a:xfrm>
                    <a:prstGeom prst="rect">
                      <a:avLst/>
                    </a:prstGeom>
                    <a:noFill/>
                    <a:ln>
                      <a:noFill/>
                    </a:ln>
                  </pic:spPr>
                </pic:pic>
              </a:graphicData>
            </a:graphic>
          </wp:inline>
        </w:drawing>
      </w:r>
    </w:p>
    <w:p>
      <w:pPr>
        <w:pStyle w:val="3"/>
        <w:bidi w:val="0"/>
        <w:rPr>
          <w:rFonts w:hint="eastAsia"/>
          <w:lang w:eastAsia="zh-CN"/>
        </w:rPr>
      </w:pPr>
      <w:r>
        <w:rPr>
          <w:rFonts w:hint="eastAsia"/>
          <w:lang w:eastAsia="zh-CN"/>
        </w:rPr>
        <w:t>正文</w:t>
      </w:r>
    </w:p>
    <w:p>
      <w:pPr>
        <w:pStyle w:val="4"/>
        <w:bidi w:val="0"/>
        <w:rPr>
          <w:rFonts w:hint="eastAsia"/>
          <w:lang w:eastAsia="zh-CN"/>
        </w:rPr>
      </w:pPr>
      <w:r>
        <w:rPr>
          <w:rFonts w:hint="eastAsia"/>
          <w:lang w:eastAsia="zh-CN"/>
        </w:rPr>
        <w:t>功能文件清单</w:t>
      </w:r>
    </w:p>
    <w:p>
      <w:r>
        <w:drawing>
          <wp:inline distT="0" distB="0" distL="114300" distR="114300">
            <wp:extent cx="2667000" cy="1685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667000" cy="1685925"/>
                    </a:xfrm>
                    <a:prstGeom prst="rect">
                      <a:avLst/>
                    </a:prstGeom>
                    <a:noFill/>
                    <a:ln>
                      <a:noFill/>
                    </a:ln>
                  </pic:spPr>
                </pic:pic>
              </a:graphicData>
            </a:graphic>
          </wp:inline>
        </w:drawing>
      </w:r>
    </w:p>
    <w:p>
      <w:pPr>
        <w:pStyle w:val="4"/>
        <w:bidi w:val="0"/>
        <w:rPr>
          <w:rFonts w:hint="eastAsia"/>
          <w:lang w:eastAsia="zh-CN"/>
        </w:rPr>
      </w:pPr>
      <w:r>
        <w:rPr>
          <w:rFonts w:hint="eastAsia"/>
          <w:lang w:eastAsia="zh-CN"/>
        </w:rPr>
        <w:t>方案</w:t>
      </w:r>
    </w:p>
    <w:p>
      <w:pPr>
        <w:ind w:firstLine="420" w:firstLineChars="0"/>
        <w:rPr>
          <w:rFonts w:hint="eastAsia"/>
          <w:lang w:eastAsia="zh-CN"/>
        </w:rPr>
      </w:pPr>
      <w:r>
        <w:rPr>
          <w:rFonts w:hint="eastAsia"/>
          <w:lang w:eastAsia="zh-CN"/>
        </w:rPr>
        <w:t>运动动画采用记录关键帧的形式实现。关键帧包括时间（或帧</w:t>
      </w:r>
      <w:r>
        <w:rPr>
          <w:rFonts w:hint="eastAsia"/>
          <w:lang w:val="en-US" w:eastAsia="zh-CN"/>
        </w:rPr>
        <w:t>id</w:t>
      </w:r>
      <w:r>
        <w:rPr>
          <w:rFonts w:hint="eastAsia"/>
          <w:lang w:eastAsia="zh-CN"/>
        </w:rPr>
        <w:t>）以及方位信息。动画播放过程中，根据关键帧计算当前的运行状态。</w:t>
      </w:r>
    </w:p>
    <w:p>
      <w:pPr>
        <w:pStyle w:val="4"/>
        <w:bidi w:val="0"/>
        <w:rPr>
          <w:rFonts w:hint="eastAsia" w:eastAsiaTheme="minorEastAsia"/>
          <w:color w:val="FF0000"/>
          <w:lang w:val="en-US" w:eastAsia="zh-CN"/>
        </w:rPr>
      </w:pPr>
      <w:r>
        <w:rPr>
          <w:rFonts w:hint="eastAsia"/>
          <w:lang w:eastAsia="zh-CN"/>
        </w:rPr>
        <w:t>关键帧</w:t>
      </w:r>
      <w:bookmarkStart w:id="0" w:name="_GoBack"/>
      <w:bookmarkEnd w:id="0"/>
    </w:p>
    <w:p>
      <w:pPr>
        <w:ind w:firstLine="420" w:firstLineChars="0"/>
        <w:rPr>
          <w:rFonts w:hint="eastAsia"/>
          <w:lang w:val="en-US" w:eastAsia="zh-CN"/>
        </w:rPr>
      </w:pPr>
      <w:r>
        <w:rPr>
          <w:rFonts w:hint="eastAsia"/>
          <w:lang w:val="en-US" w:eastAsia="zh-CN"/>
        </w:rPr>
        <w:t>方位信息包括位置、定向以及缩放。为了节约内存使用以及目前的动画需求，可以忽略缩放（节约30%）。故目前存储的方位信息只包含位置和定向。方位信息附加时间戳形成动画关键帧信息。</w:t>
      </w:r>
    </w:p>
    <w:p>
      <w:pPr>
        <w:ind w:firstLine="420" w:firstLineChars="0"/>
      </w:pPr>
      <w:r>
        <w:drawing>
          <wp:inline distT="0" distB="0" distL="114300" distR="114300">
            <wp:extent cx="2770505" cy="1360170"/>
            <wp:effectExtent l="0" t="0" r="1079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770505" cy="1360170"/>
                    </a:xfrm>
                    <a:prstGeom prst="rect">
                      <a:avLst/>
                    </a:prstGeom>
                    <a:noFill/>
                    <a:ln>
                      <a:noFill/>
                    </a:ln>
                  </pic:spPr>
                </pic:pic>
              </a:graphicData>
            </a:graphic>
          </wp:inline>
        </w:drawing>
      </w:r>
    </w:p>
    <w:p>
      <w:pPr>
        <w:pStyle w:val="4"/>
        <w:bidi w:val="0"/>
        <w:rPr>
          <w:rFonts w:hint="eastAsia"/>
          <w:lang w:eastAsia="zh-CN"/>
        </w:rPr>
      </w:pPr>
      <w:r>
        <w:rPr>
          <w:rFonts w:hint="eastAsia"/>
          <w:lang w:eastAsia="zh-CN"/>
        </w:rPr>
        <w:t>采样策略</w:t>
      </w:r>
    </w:p>
    <w:p>
      <w:pPr>
        <w:ind w:firstLine="420" w:firstLineChars="0"/>
        <w:rPr>
          <w:rFonts w:hint="eastAsia"/>
          <w:lang w:eastAsia="zh-CN"/>
        </w:rPr>
      </w:pPr>
      <w:r>
        <w:rPr>
          <w:rFonts w:hint="eastAsia"/>
          <w:lang w:eastAsia="zh-CN"/>
        </w:rPr>
        <w:t>动画片段存储的是离散的关键帧信息。如果采样时间为某一关键帧，这时返回对应关键帧信息即可。但是大部分情况下，采样时间会位于俩个关键帧之间，这时就需要根据前后关键帧信息进行线性插值计算得出动画信息。</w:t>
      </w:r>
    </w:p>
    <w:p>
      <w:pPr>
        <w:bidi w:val="0"/>
        <w:ind w:firstLine="420" w:firstLineChars="0"/>
        <w:rPr>
          <w:rFonts w:hint="eastAsia"/>
          <w:lang w:eastAsia="zh-CN"/>
        </w:rPr>
      </w:pPr>
      <w:r>
        <w:rPr>
          <w:rFonts w:hint="eastAsia"/>
          <w:lang w:eastAsia="zh-CN"/>
        </w:rPr>
        <w:t>不同的属性采用不同的插值策略。位置属性通过调用</w:t>
      </w:r>
      <w:r>
        <w:rPr>
          <w:rFonts w:hint="eastAsia"/>
          <w:lang w:val="en-US" w:eastAsia="zh-CN"/>
        </w:rPr>
        <w:t>Vector3.</w:t>
      </w:r>
      <w:r>
        <w:rPr>
          <w:rFonts w:hint="default"/>
        </w:rPr>
        <w:t>LerpUnclamped</w:t>
      </w:r>
      <w:r>
        <w:rPr>
          <w:rFonts w:hint="eastAsia"/>
          <w:lang w:eastAsia="zh-CN"/>
        </w:rPr>
        <w:t>计算。定向属性则通过</w:t>
      </w:r>
      <w:r>
        <w:rPr>
          <w:rFonts w:hint="default"/>
        </w:rPr>
        <w:t>Quaternion.SlerpUnclamped</w:t>
      </w:r>
      <w:r>
        <w:rPr>
          <w:rFonts w:hint="eastAsia"/>
          <w:lang w:eastAsia="zh-CN"/>
        </w:rPr>
        <w:t>计算。</w:t>
      </w:r>
    </w:p>
    <w:p>
      <w:pPr>
        <w:pStyle w:val="4"/>
        <w:bidi w:val="0"/>
        <w:rPr>
          <w:rFonts w:hint="eastAsia"/>
          <w:lang w:eastAsia="zh-CN"/>
        </w:rPr>
      </w:pPr>
      <w:r>
        <w:rPr>
          <w:rFonts w:hint="eastAsia"/>
          <w:lang w:eastAsia="zh-CN"/>
        </w:rPr>
        <w:t>动画数据结构</w:t>
      </w:r>
    </w:p>
    <w:p>
      <w:pPr>
        <w:ind w:firstLine="420" w:firstLineChars="0"/>
        <w:rPr>
          <w:rFonts w:hint="eastAsia"/>
          <w:lang w:eastAsia="zh-CN"/>
        </w:rPr>
      </w:pPr>
      <w:r>
        <w:rPr>
          <w:rFonts w:hint="eastAsia"/>
          <w:lang w:eastAsia="zh-CN"/>
        </w:rPr>
        <w:t>大立方体包含多个小立方体。每个小立方体对应一个动画片段。每个动画片段保存多个关键帧信息。对应类图如下：</w:t>
      </w:r>
    </w:p>
    <w:p>
      <w:pPr>
        <w:ind w:firstLine="420" w:firstLineChars="0"/>
        <w:rPr>
          <w:rFonts w:hint="eastAsia"/>
          <w:lang w:eastAsia="zh-CN"/>
        </w:rPr>
      </w:pPr>
      <w:r>
        <w:drawing>
          <wp:inline distT="0" distB="0" distL="114300" distR="114300">
            <wp:extent cx="2386965" cy="1163955"/>
            <wp:effectExtent l="0" t="0" r="133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386965" cy="1163955"/>
                    </a:xfrm>
                    <a:prstGeom prst="rect">
                      <a:avLst/>
                    </a:prstGeom>
                    <a:noFill/>
                    <a:ln>
                      <a:noFill/>
                    </a:ln>
                  </pic:spPr>
                </pic:pic>
              </a:graphicData>
            </a:graphic>
          </wp:inline>
        </w:drawing>
      </w:r>
    </w:p>
    <w:p>
      <w:pPr>
        <w:pStyle w:val="4"/>
        <w:bidi w:val="0"/>
        <w:rPr>
          <w:rFonts w:hint="eastAsia"/>
          <w:lang w:eastAsia="zh-CN"/>
        </w:rPr>
      </w:pPr>
      <w:r>
        <w:rPr>
          <w:rFonts w:hint="eastAsia"/>
          <w:lang w:eastAsia="zh-CN"/>
        </w:rPr>
        <w:t>动画文件格式</w:t>
      </w:r>
    </w:p>
    <w:p>
      <w:pPr>
        <w:ind w:firstLine="420" w:firstLineChars="0"/>
      </w:pPr>
      <w:r>
        <w:rPr>
          <w:rFonts w:hint="eastAsia"/>
          <w:lang w:val="en-US" w:eastAsia="zh-CN"/>
        </w:rPr>
        <w:t>为节约内存使用，提升序列化反序列化效率，动画信息的存储采用二进制文件的方式。</w:t>
      </w:r>
    </w:p>
    <w:p>
      <w:pPr>
        <w:ind w:firstLine="420" w:firstLineChars="0"/>
        <w:rPr>
          <w:rFonts w:hint="default"/>
          <w:lang w:val="en-US" w:eastAsia="zh-CN"/>
        </w:rPr>
      </w:pPr>
      <w:r>
        <w:rPr>
          <w:rFonts w:hint="eastAsia"/>
          <w:lang w:eastAsia="zh-CN"/>
        </w:rPr>
        <w:t>文件打开通过二进制读取流，代码如下：</w:t>
      </w:r>
    </w:p>
    <w:p>
      <w:pPr>
        <w:ind w:firstLine="420" w:firstLineChars="0"/>
      </w:pPr>
      <w:r>
        <w:drawing>
          <wp:inline distT="0" distB="0" distL="114300" distR="114300">
            <wp:extent cx="4642485" cy="614045"/>
            <wp:effectExtent l="0" t="0" r="571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642485" cy="614045"/>
                    </a:xfrm>
                    <a:prstGeom prst="rect">
                      <a:avLst/>
                    </a:prstGeom>
                    <a:noFill/>
                    <a:ln>
                      <a:noFill/>
                    </a:ln>
                  </pic:spPr>
                </pic:pic>
              </a:graphicData>
            </a:graphic>
          </wp:inline>
        </w:drawing>
      </w:r>
    </w:p>
    <w:p>
      <w:pPr>
        <w:ind w:firstLine="420" w:firstLineChars="0"/>
        <w:rPr>
          <w:rFonts w:hint="eastAsia" w:eastAsiaTheme="minorEastAsia"/>
          <w:lang w:eastAsia="zh-CN"/>
        </w:rPr>
      </w:pPr>
      <w:r>
        <w:rPr>
          <w:rFonts w:hint="eastAsia"/>
          <w:lang w:eastAsia="zh-CN"/>
        </w:rPr>
        <w:t>文件保存通过二进制写入流，代码如下：</w:t>
      </w:r>
    </w:p>
    <w:p>
      <w:pPr>
        <w:ind w:firstLine="420" w:firstLineChars="0"/>
      </w:pPr>
      <w:r>
        <w:drawing>
          <wp:inline distT="0" distB="0" distL="114300" distR="114300">
            <wp:extent cx="4656455" cy="615950"/>
            <wp:effectExtent l="0" t="0" r="1079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4656455" cy="6159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为方便使用，统一数据格式，抽象二进制数据读写类并封装通用的读写方法。</w:t>
      </w:r>
    </w:p>
    <w:p>
      <w:pPr>
        <w:ind w:firstLine="420" w:firstLineChars="0"/>
      </w:pPr>
      <w:r>
        <w:drawing>
          <wp:inline distT="0" distB="0" distL="114300" distR="114300">
            <wp:extent cx="3098800" cy="971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098800" cy="971550"/>
                    </a:xfrm>
                    <a:prstGeom prst="rect">
                      <a:avLst/>
                    </a:prstGeom>
                    <a:noFill/>
                    <a:ln>
                      <a:noFill/>
                    </a:ln>
                  </pic:spPr>
                </pic:pic>
              </a:graphicData>
            </a:graphic>
          </wp:inline>
        </w:drawing>
      </w:r>
    </w:p>
    <w:p>
      <w:pPr>
        <w:ind w:firstLine="420" w:firstLineChars="0"/>
        <w:rPr>
          <w:rFonts w:hint="eastAsia"/>
          <w:lang w:eastAsia="zh-CN"/>
        </w:rPr>
      </w:pPr>
      <w:r>
        <w:rPr>
          <w:rFonts w:hint="eastAsia"/>
          <w:lang w:eastAsia="zh-CN"/>
        </w:rPr>
        <w:t>在保存加载回调中调用相应方法进行数据读写。</w:t>
      </w:r>
    </w:p>
    <w:p>
      <w:pPr>
        <w:ind w:firstLine="420" w:firstLineChars="0"/>
      </w:pPr>
      <w:r>
        <w:drawing>
          <wp:inline distT="0" distB="0" distL="114300" distR="114300">
            <wp:extent cx="2856865" cy="1655445"/>
            <wp:effectExtent l="0" t="0" r="63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856865" cy="1655445"/>
                    </a:xfrm>
                    <a:prstGeom prst="rect">
                      <a:avLst/>
                    </a:prstGeom>
                    <a:noFill/>
                    <a:ln>
                      <a:noFill/>
                    </a:ln>
                  </pic:spPr>
                </pic:pic>
              </a:graphicData>
            </a:graphic>
          </wp:inline>
        </w:drawing>
      </w:r>
    </w:p>
    <w:p>
      <w:pPr>
        <w:ind w:firstLine="420" w:firstLineChars="0"/>
        <w:rPr>
          <w:rFonts w:hint="eastAsia"/>
          <w:lang w:eastAsia="zh-CN"/>
        </w:rPr>
      </w:pPr>
      <w:r>
        <w:drawing>
          <wp:inline distT="0" distB="0" distL="114300" distR="114300">
            <wp:extent cx="2694940" cy="19519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2694940" cy="195199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动画录制结束判断</w:t>
      </w:r>
    </w:p>
    <w:p>
      <w:pPr>
        <w:ind w:firstLine="420" w:firstLineChars="0"/>
        <w:rPr>
          <w:rFonts w:hint="eastAsia"/>
          <w:lang w:val="en-US" w:eastAsia="zh-CN"/>
        </w:rPr>
      </w:pPr>
      <w:r>
        <w:rPr>
          <w:rFonts w:hint="eastAsia"/>
          <w:lang w:val="en-US" w:eastAsia="zh-CN"/>
        </w:rPr>
        <w:t>一个小立方体对应一个动画片段。当这个立方体方位变更，则产生并记录关键帧。</w:t>
      </w:r>
    </w:p>
    <w:p>
      <w:pPr>
        <w:ind w:firstLine="420" w:firstLineChars="0"/>
        <w:rPr>
          <w:rFonts w:hint="eastAsia"/>
          <w:lang w:val="en-US" w:eastAsia="zh-CN"/>
        </w:rPr>
      </w:pPr>
      <w:r>
        <w:rPr>
          <w:rFonts w:hint="eastAsia"/>
          <w:lang w:val="en-US" w:eastAsia="zh-CN"/>
        </w:rPr>
        <w:t>如果所有的小立方体方位不再变更，则判定动画录制结束。</w:t>
      </w:r>
    </w:p>
    <w:p>
      <w:pPr>
        <w:pStyle w:val="4"/>
        <w:bidi w:val="0"/>
        <w:rPr>
          <w:rFonts w:hint="eastAsia"/>
          <w:lang w:eastAsia="zh-CN"/>
        </w:rPr>
      </w:pPr>
      <w:r>
        <w:rPr>
          <w:rFonts w:hint="eastAsia"/>
          <w:lang w:eastAsia="zh-CN"/>
        </w:rPr>
        <w:t>性能分析</w:t>
      </w:r>
    </w:p>
    <w:p>
      <w:pPr>
        <w:bidi w:val="0"/>
        <w:rPr>
          <w:rFonts w:hint="eastAsia"/>
          <w:lang w:eastAsia="zh-CN"/>
        </w:rPr>
      </w:pPr>
      <w:r>
        <w:rPr>
          <w:rFonts w:hint="eastAsia"/>
          <w:lang w:eastAsia="zh-CN"/>
        </w:rPr>
        <w:t>实验数据：</w:t>
      </w:r>
    </w:p>
    <w:tbl>
      <w:tblPr>
        <w:tblStyle w:val="7"/>
        <w:tblpPr w:leftFromText="180" w:rightFromText="180" w:vertAnchor="text" w:horzAnchor="page" w:tblpX="2062" w:tblpY="7"/>
        <w:tblOverlap w:val="never"/>
        <w:tblW w:w="7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8"/>
        <w:gridCol w:w="1692"/>
        <w:gridCol w:w="1911"/>
        <w:gridCol w:w="1772"/>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748" w:type="dxa"/>
            <w:vMerge w:val="restart"/>
            <w:vAlign w:val="center"/>
          </w:tcPr>
          <w:p>
            <w:pPr>
              <w:jc w:val="center"/>
              <w:rPr>
                <w:rFonts w:hint="default"/>
                <w:sz w:val="15"/>
                <w:szCs w:val="18"/>
                <w:vertAlign w:val="baseline"/>
                <w:lang w:val="en-US" w:eastAsia="zh-CN"/>
              </w:rPr>
            </w:pPr>
            <w:r>
              <w:rPr>
                <w:rFonts w:hint="eastAsia"/>
                <w:b/>
                <w:bCs/>
                <w:sz w:val="15"/>
                <w:szCs w:val="18"/>
                <w:vertAlign w:val="baseline"/>
                <w:lang w:val="en-US" w:eastAsia="zh-CN"/>
              </w:rPr>
              <w:t>指标</w:t>
            </w:r>
          </w:p>
        </w:tc>
        <w:tc>
          <w:tcPr>
            <w:tcW w:w="3603" w:type="dxa"/>
            <w:gridSpan w:val="2"/>
          </w:tcPr>
          <w:p>
            <w:pPr>
              <w:jc w:val="center"/>
              <w:rPr>
                <w:rFonts w:hint="eastAsia"/>
                <w:b/>
                <w:bCs/>
                <w:sz w:val="15"/>
                <w:szCs w:val="18"/>
                <w:vertAlign w:val="baseline"/>
                <w:lang w:val="en-US" w:eastAsia="zh-CN"/>
              </w:rPr>
            </w:pPr>
            <w:r>
              <w:rPr>
                <w:rFonts w:hint="eastAsia"/>
                <w:b/>
                <w:bCs/>
                <w:sz w:val="15"/>
                <w:szCs w:val="18"/>
                <w:vertAlign w:val="baseline"/>
                <w:lang w:val="en-US" w:eastAsia="zh-CN"/>
              </w:rPr>
              <w:t>URP渲染模式</w:t>
            </w:r>
          </w:p>
        </w:tc>
        <w:tc>
          <w:tcPr>
            <w:tcW w:w="3648" w:type="dxa"/>
            <w:gridSpan w:val="2"/>
          </w:tcPr>
          <w:p>
            <w:pPr>
              <w:jc w:val="center"/>
              <w:rPr>
                <w:rFonts w:hint="eastAsia"/>
                <w:b/>
                <w:bCs/>
                <w:sz w:val="15"/>
                <w:szCs w:val="18"/>
                <w:vertAlign w:val="baseline"/>
                <w:lang w:val="en-US" w:eastAsia="zh-CN"/>
              </w:rPr>
            </w:pPr>
            <w:r>
              <w:rPr>
                <w:rFonts w:hint="eastAsia"/>
                <w:b/>
                <w:bCs/>
                <w:sz w:val="15"/>
                <w:szCs w:val="18"/>
                <w:vertAlign w:val="baseline"/>
                <w:lang w:val="en-US" w:eastAsia="zh-CN"/>
              </w:rPr>
              <w:t>HDRP渲染模式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748" w:type="dxa"/>
            <w:vMerge w:val="continue"/>
          </w:tcPr>
          <w:p>
            <w:pPr>
              <w:jc w:val="center"/>
              <w:rPr>
                <w:rFonts w:hint="eastAsia"/>
                <w:b/>
                <w:bCs/>
                <w:sz w:val="15"/>
                <w:szCs w:val="18"/>
                <w:vertAlign w:val="baseline"/>
                <w:lang w:val="en-US" w:eastAsia="zh-CN"/>
              </w:rPr>
            </w:pPr>
          </w:p>
        </w:tc>
        <w:tc>
          <w:tcPr>
            <w:tcW w:w="1692" w:type="dxa"/>
          </w:tcPr>
          <w:p>
            <w:pPr>
              <w:jc w:val="center"/>
              <w:rPr>
                <w:rFonts w:hint="eastAsia"/>
                <w:b/>
                <w:bCs/>
                <w:sz w:val="15"/>
                <w:szCs w:val="18"/>
                <w:lang w:val="en-US" w:eastAsia="zh-CN"/>
              </w:rPr>
            </w:pPr>
            <w:r>
              <w:rPr>
                <w:rFonts w:hint="eastAsia"/>
                <w:b/>
                <w:bCs/>
                <w:sz w:val="15"/>
                <w:szCs w:val="18"/>
                <w:vertAlign w:val="baseline"/>
                <w:lang w:val="en-US" w:eastAsia="zh-CN"/>
              </w:rPr>
              <w:t>每帧平均数据</w:t>
            </w:r>
          </w:p>
        </w:tc>
        <w:tc>
          <w:tcPr>
            <w:tcW w:w="1911" w:type="dxa"/>
          </w:tcPr>
          <w:p>
            <w:pPr>
              <w:jc w:val="center"/>
              <w:rPr>
                <w:rFonts w:hint="eastAsia"/>
                <w:b/>
                <w:bCs/>
                <w:sz w:val="15"/>
                <w:szCs w:val="18"/>
                <w:lang w:val="en-US" w:eastAsia="zh-CN"/>
              </w:rPr>
            </w:pPr>
            <w:r>
              <w:rPr>
                <w:rFonts w:hint="eastAsia"/>
                <w:b/>
                <w:bCs/>
                <w:sz w:val="15"/>
                <w:szCs w:val="18"/>
                <w:vertAlign w:val="baseline"/>
                <w:lang w:val="en-US" w:eastAsia="zh-CN"/>
              </w:rPr>
              <w:t>性能消耗百分比数据</w:t>
            </w:r>
          </w:p>
        </w:tc>
        <w:tc>
          <w:tcPr>
            <w:tcW w:w="1772" w:type="dxa"/>
            <w:vAlign w:val="top"/>
          </w:tcPr>
          <w:p>
            <w:pPr>
              <w:jc w:val="center"/>
              <w:rPr>
                <w:rFonts w:hint="eastAsia" w:asciiTheme="minorHAnsi" w:hAnsiTheme="minorHAnsi" w:eastAsiaTheme="minorEastAsia" w:cstheme="minorBidi"/>
                <w:b/>
                <w:bCs/>
                <w:kern w:val="2"/>
                <w:sz w:val="15"/>
                <w:szCs w:val="18"/>
                <w:lang w:val="en-US" w:eastAsia="zh-CN" w:bidi="ar-SA"/>
              </w:rPr>
            </w:pPr>
            <w:r>
              <w:rPr>
                <w:rFonts w:hint="eastAsia"/>
                <w:b/>
                <w:bCs/>
                <w:sz w:val="15"/>
                <w:szCs w:val="18"/>
                <w:vertAlign w:val="baseline"/>
                <w:lang w:val="en-US" w:eastAsia="zh-CN"/>
              </w:rPr>
              <w:t>每帧平均数据</w:t>
            </w:r>
          </w:p>
        </w:tc>
        <w:tc>
          <w:tcPr>
            <w:tcW w:w="1876" w:type="dxa"/>
            <w:vAlign w:val="top"/>
          </w:tcPr>
          <w:p>
            <w:pPr>
              <w:jc w:val="center"/>
              <w:rPr>
                <w:rFonts w:hint="eastAsia" w:asciiTheme="minorHAnsi" w:hAnsiTheme="minorHAnsi" w:eastAsiaTheme="minorEastAsia" w:cstheme="minorBidi"/>
                <w:b/>
                <w:bCs/>
                <w:kern w:val="2"/>
                <w:sz w:val="15"/>
                <w:szCs w:val="18"/>
                <w:lang w:val="en-US" w:eastAsia="zh-CN" w:bidi="ar-SA"/>
              </w:rPr>
            </w:pPr>
            <w:r>
              <w:rPr>
                <w:rFonts w:hint="eastAsia"/>
                <w:b/>
                <w:bCs/>
                <w:sz w:val="15"/>
                <w:szCs w:val="18"/>
                <w:vertAlign w:val="baseline"/>
                <w:lang w:val="en-US" w:eastAsia="zh-CN"/>
              </w:rPr>
              <w:t>性能消耗百分比数据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748" w:type="dxa"/>
          </w:tcPr>
          <w:p>
            <w:pPr>
              <w:jc w:val="center"/>
              <w:rPr>
                <w:rFonts w:hint="default"/>
                <w:b/>
                <w:bCs/>
                <w:sz w:val="15"/>
                <w:szCs w:val="18"/>
                <w:vertAlign w:val="baseline"/>
                <w:lang w:val="en-US" w:eastAsia="zh-CN"/>
              </w:rPr>
            </w:pPr>
            <w:r>
              <w:rPr>
                <w:rFonts w:hint="eastAsia"/>
                <w:b/>
                <w:bCs/>
                <w:sz w:val="15"/>
                <w:szCs w:val="18"/>
                <w:vertAlign w:val="baseline"/>
                <w:lang w:val="en-US" w:eastAsia="zh-CN"/>
              </w:rPr>
              <w:t>CPU</w:t>
            </w:r>
          </w:p>
        </w:tc>
        <w:tc>
          <w:tcPr>
            <w:tcW w:w="1692" w:type="dxa"/>
          </w:tcPr>
          <w:p>
            <w:pPr>
              <w:jc w:val="center"/>
              <w:rPr>
                <w:rFonts w:hint="eastAsia"/>
                <w:b/>
                <w:bCs/>
                <w:sz w:val="15"/>
                <w:szCs w:val="18"/>
                <w:vertAlign w:val="baseline"/>
                <w:lang w:val="en-US" w:eastAsia="zh-CN"/>
              </w:rPr>
            </w:pPr>
            <w:r>
              <w:rPr>
                <w:rFonts w:hint="eastAsia"/>
                <w:b/>
                <w:bCs/>
                <w:sz w:val="15"/>
                <w:szCs w:val="18"/>
                <w:lang w:val="en-US" w:eastAsia="zh-CN"/>
              </w:rPr>
              <w:t>1.378 ms</w:t>
            </w:r>
            <w:r>
              <w:rPr>
                <w:rFonts w:hint="eastAsia"/>
                <w:b/>
                <w:bCs/>
                <w:color w:val="FF0000"/>
                <w:sz w:val="15"/>
                <w:szCs w:val="18"/>
                <w:lang w:val="en-US" w:eastAsia="zh-CN"/>
              </w:rPr>
              <w:t xml:space="preserve">（+ </w:t>
            </w:r>
            <w:r>
              <w:rPr>
                <w:rFonts w:hint="eastAsia"/>
                <w:b/>
                <w:bCs/>
                <w:color w:val="FF0000"/>
                <w:sz w:val="15"/>
                <w:szCs w:val="18"/>
                <w:vertAlign w:val="baseline"/>
                <w:lang w:val="en-US" w:eastAsia="zh-CN"/>
              </w:rPr>
              <w:t>0.202 ms</w:t>
            </w:r>
            <w:r>
              <w:rPr>
                <w:rFonts w:hint="eastAsia"/>
                <w:b/>
                <w:bCs/>
                <w:color w:val="FF0000"/>
                <w:sz w:val="15"/>
                <w:szCs w:val="18"/>
                <w:lang w:val="en-US" w:eastAsia="zh-CN"/>
              </w:rPr>
              <w:t>）</w:t>
            </w:r>
          </w:p>
        </w:tc>
        <w:tc>
          <w:tcPr>
            <w:tcW w:w="1911" w:type="dxa"/>
          </w:tcPr>
          <w:p>
            <w:pPr>
              <w:jc w:val="center"/>
              <w:rPr>
                <w:rFonts w:hint="default"/>
                <w:b/>
                <w:bCs/>
                <w:sz w:val="15"/>
                <w:szCs w:val="18"/>
                <w:lang w:val="en-US" w:eastAsia="zh-CN"/>
              </w:rPr>
            </w:pPr>
            <w:r>
              <w:rPr>
                <w:rFonts w:hint="eastAsia"/>
                <w:b/>
                <w:bCs/>
                <w:sz w:val="15"/>
                <w:szCs w:val="18"/>
                <w:lang w:val="en-US" w:eastAsia="zh-CN"/>
              </w:rPr>
              <w:t>4.08%</w:t>
            </w:r>
            <w:r>
              <w:rPr>
                <w:rFonts w:hint="eastAsia"/>
                <w:b/>
                <w:bCs/>
                <w:color w:val="FF0000"/>
                <w:sz w:val="15"/>
                <w:szCs w:val="18"/>
                <w:vertAlign w:val="baseline"/>
                <w:lang w:val="en-US" w:eastAsia="zh-CN"/>
              </w:rPr>
              <w:t>（+0.4）</w:t>
            </w:r>
          </w:p>
        </w:tc>
        <w:tc>
          <w:tcPr>
            <w:tcW w:w="1772" w:type="dxa"/>
          </w:tcPr>
          <w:p>
            <w:pPr>
              <w:jc w:val="center"/>
              <w:rPr>
                <w:rFonts w:hint="eastAsia"/>
                <w:b/>
                <w:bCs/>
                <w:sz w:val="15"/>
                <w:szCs w:val="18"/>
                <w:vertAlign w:val="baseline"/>
                <w:lang w:val="en-US" w:eastAsia="zh-CN"/>
              </w:rPr>
            </w:pPr>
            <w:r>
              <w:rPr>
                <w:rFonts w:hint="eastAsia"/>
                <w:b/>
                <w:bCs/>
                <w:sz w:val="15"/>
                <w:szCs w:val="18"/>
                <w:lang w:val="en-US" w:eastAsia="zh-CN"/>
              </w:rPr>
              <w:t>11.386 ms</w:t>
            </w:r>
            <w:r>
              <w:rPr>
                <w:rFonts w:hint="eastAsia"/>
                <w:b/>
                <w:bCs/>
                <w:color w:val="FF0000"/>
                <w:sz w:val="15"/>
                <w:szCs w:val="18"/>
                <w:lang w:val="en-US" w:eastAsia="zh-CN"/>
              </w:rPr>
              <w:t>（+ 0.086</w:t>
            </w:r>
            <w:r>
              <w:rPr>
                <w:rFonts w:hint="eastAsia"/>
                <w:b/>
                <w:bCs/>
                <w:color w:val="FF0000"/>
                <w:sz w:val="15"/>
                <w:szCs w:val="18"/>
                <w:vertAlign w:val="baseline"/>
                <w:lang w:val="en-US" w:eastAsia="zh-CN"/>
              </w:rPr>
              <w:t xml:space="preserve"> ms</w:t>
            </w:r>
            <w:r>
              <w:rPr>
                <w:rFonts w:hint="eastAsia"/>
                <w:b/>
                <w:bCs/>
                <w:color w:val="FF0000"/>
                <w:sz w:val="15"/>
                <w:szCs w:val="18"/>
                <w:lang w:val="en-US" w:eastAsia="zh-CN"/>
              </w:rPr>
              <w:t>）</w:t>
            </w:r>
          </w:p>
        </w:tc>
        <w:tc>
          <w:tcPr>
            <w:tcW w:w="1876" w:type="dxa"/>
          </w:tcPr>
          <w:p>
            <w:pPr>
              <w:jc w:val="center"/>
              <w:rPr>
                <w:rFonts w:hint="default"/>
                <w:b/>
                <w:bCs/>
                <w:sz w:val="15"/>
                <w:szCs w:val="18"/>
                <w:lang w:val="en-US" w:eastAsia="zh-CN"/>
              </w:rPr>
            </w:pPr>
            <w:r>
              <w:rPr>
                <w:rFonts w:hint="eastAsia"/>
                <w:b/>
                <w:bCs/>
                <w:sz w:val="15"/>
                <w:szCs w:val="18"/>
                <w:lang w:val="en-US" w:eastAsia="zh-CN"/>
              </w:rPr>
              <w:t>10.3%</w:t>
            </w:r>
            <w:r>
              <w:rPr>
                <w:rFonts w:hint="eastAsia"/>
                <w:b/>
                <w:bCs/>
                <w:color w:val="FF0000"/>
                <w:sz w:val="15"/>
                <w:szCs w:val="18"/>
                <w:vertAlign w:val="baseline"/>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748" w:type="dxa"/>
          </w:tcPr>
          <w:p>
            <w:pPr>
              <w:jc w:val="center"/>
              <w:rPr>
                <w:rFonts w:hint="default"/>
                <w:b/>
                <w:bCs/>
                <w:sz w:val="15"/>
                <w:szCs w:val="18"/>
                <w:vertAlign w:val="baseline"/>
                <w:lang w:val="en-US" w:eastAsia="zh-CN"/>
              </w:rPr>
            </w:pPr>
            <w:r>
              <w:rPr>
                <w:rFonts w:hint="eastAsia"/>
                <w:b/>
                <w:bCs/>
                <w:sz w:val="15"/>
                <w:szCs w:val="18"/>
                <w:vertAlign w:val="baseline"/>
                <w:lang w:val="en-US" w:eastAsia="zh-CN"/>
              </w:rPr>
              <w:t>GPU</w:t>
            </w:r>
          </w:p>
        </w:tc>
        <w:tc>
          <w:tcPr>
            <w:tcW w:w="1692" w:type="dxa"/>
          </w:tcPr>
          <w:p>
            <w:pPr>
              <w:jc w:val="center"/>
              <w:rPr>
                <w:rFonts w:hint="eastAsia"/>
                <w:b/>
                <w:bCs/>
                <w:sz w:val="15"/>
                <w:szCs w:val="18"/>
                <w:vertAlign w:val="baseline"/>
                <w:lang w:val="en-US" w:eastAsia="zh-CN"/>
              </w:rPr>
            </w:pPr>
            <w:r>
              <w:rPr>
                <w:rFonts w:hint="eastAsia"/>
                <w:b/>
                <w:bCs/>
                <w:sz w:val="15"/>
                <w:szCs w:val="18"/>
                <w:lang w:val="en-US" w:eastAsia="zh-CN"/>
              </w:rPr>
              <w:t>0.292 ms</w:t>
            </w:r>
            <w:r>
              <w:rPr>
                <w:rFonts w:hint="eastAsia"/>
                <w:b/>
                <w:bCs/>
                <w:color w:val="FF0000"/>
                <w:sz w:val="15"/>
                <w:szCs w:val="18"/>
                <w:lang w:val="en-US" w:eastAsia="zh-CN"/>
              </w:rPr>
              <w:t xml:space="preserve">（+ </w:t>
            </w:r>
            <w:r>
              <w:rPr>
                <w:rFonts w:hint="eastAsia"/>
                <w:b/>
                <w:bCs/>
                <w:color w:val="FF0000"/>
                <w:sz w:val="15"/>
                <w:szCs w:val="18"/>
                <w:vertAlign w:val="baseline"/>
                <w:lang w:val="en-US" w:eastAsia="zh-CN"/>
              </w:rPr>
              <w:t>0.026 ms</w:t>
            </w:r>
            <w:r>
              <w:rPr>
                <w:rFonts w:hint="eastAsia"/>
                <w:b/>
                <w:bCs/>
                <w:color w:val="FF0000"/>
                <w:sz w:val="15"/>
                <w:szCs w:val="18"/>
                <w:lang w:val="en-US" w:eastAsia="zh-CN"/>
              </w:rPr>
              <w:t>）</w:t>
            </w:r>
          </w:p>
        </w:tc>
        <w:tc>
          <w:tcPr>
            <w:tcW w:w="1911" w:type="dxa"/>
          </w:tcPr>
          <w:p>
            <w:pPr>
              <w:jc w:val="center"/>
              <w:rPr>
                <w:rFonts w:hint="default"/>
                <w:b/>
                <w:bCs/>
                <w:sz w:val="15"/>
                <w:szCs w:val="18"/>
                <w:vertAlign w:val="baseline"/>
                <w:lang w:val="en-US" w:eastAsia="zh-CN"/>
              </w:rPr>
            </w:pPr>
            <w:r>
              <w:rPr>
                <w:rFonts w:hint="eastAsia"/>
                <w:b/>
                <w:bCs/>
                <w:sz w:val="15"/>
                <w:szCs w:val="18"/>
                <w:lang w:val="en-US" w:eastAsia="zh-CN"/>
              </w:rPr>
              <w:t>34.24%</w:t>
            </w:r>
            <w:r>
              <w:rPr>
                <w:rFonts w:hint="eastAsia"/>
                <w:b/>
                <w:bCs/>
                <w:color w:val="FF0000"/>
                <w:sz w:val="15"/>
                <w:szCs w:val="18"/>
                <w:vertAlign w:val="baseline"/>
                <w:lang w:val="en-US" w:eastAsia="zh-CN"/>
              </w:rPr>
              <w:t>（+10.38）</w:t>
            </w:r>
          </w:p>
        </w:tc>
        <w:tc>
          <w:tcPr>
            <w:tcW w:w="1772" w:type="dxa"/>
          </w:tcPr>
          <w:p>
            <w:pPr>
              <w:jc w:val="center"/>
              <w:rPr>
                <w:rFonts w:hint="eastAsia"/>
                <w:b/>
                <w:bCs/>
                <w:sz w:val="15"/>
                <w:szCs w:val="18"/>
                <w:lang w:val="en-US" w:eastAsia="zh-CN"/>
              </w:rPr>
            </w:pPr>
            <w:r>
              <w:rPr>
                <w:rFonts w:hint="eastAsia"/>
                <w:b/>
                <w:bCs/>
                <w:sz w:val="15"/>
                <w:szCs w:val="18"/>
                <w:lang w:val="en-US" w:eastAsia="zh-CN"/>
              </w:rPr>
              <w:t>9.1596 ms</w:t>
            </w:r>
            <w:r>
              <w:rPr>
                <w:rFonts w:hint="eastAsia"/>
                <w:b/>
                <w:bCs/>
                <w:color w:val="FF0000"/>
                <w:sz w:val="15"/>
                <w:szCs w:val="18"/>
                <w:lang w:val="en-US" w:eastAsia="zh-CN"/>
              </w:rPr>
              <w:t>（+ 0.039</w:t>
            </w:r>
            <w:r>
              <w:rPr>
                <w:rFonts w:hint="eastAsia"/>
                <w:b/>
                <w:bCs/>
                <w:color w:val="FF0000"/>
                <w:sz w:val="15"/>
                <w:szCs w:val="18"/>
                <w:vertAlign w:val="baseline"/>
                <w:lang w:val="en-US" w:eastAsia="zh-CN"/>
              </w:rPr>
              <w:t xml:space="preserve"> ms</w:t>
            </w:r>
            <w:r>
              <w:rPr>
                <w:rFonts w:hint="eastAsia"/>
                <w:b/>
                <w:bCs/>
                <w:color w:val="FF0000"/>
                <w:sz w:val="15"/>
                <w:szCs w:val="18"/>
                <w:lang w:val="en-US" w:eastAsia="zh-CN"/>
              </w:rPr>
              <w:t>）</w:t>
            </w:r>
          </w:p>
        </w:tc>
        <w:tc>
          <w:tcPr>
            <w:tcW w:w="1876" w:type="dxa"/>
          </w:tcPr>
          <w:p>
            <w:pPr>
              <w:jc w:val="center"/>
              <w:rPr>
                <w:rFonts w:hint="default"/>
                <w:b/>
                <w:bCs/>
                <w:sz w:val="15"/>
                <w:szCs w:val="18"/>
                <w:vertAlign w:val="baseline"/>
                <w:lang w:val="en-US" w:eastAsia="zh-CN"/>
              </w:rPr>
            </w:pPr>
            <w:r>
              <w:rPr>
                <w:rFonts w:hint="eastAsia"/>
                <w:b/>
                <w:bCs/>
                <w:sz w:val="15"/>
                <w:szCs w:val="18"/>
                <w:lang w:val="en-US" w:eastAsia="zh-CN"/>
              </w:rPr>
              <w:t>60.5%</w:t>
            </w:r>
            <w:r>
              <w:rPr>
                <w:rFonts w:hint="eastAsia"/>
                <w:b/>
                <w:bCs/>
                <w:color w:val="FF0000"/>
                <w:sz w:val="15"/>
                <w:szCs w:val="18"/>
                <w:vertAlign w:val="baseline"/>
                <w:lang w:val="en-US" w:eastAsia="zh-CN"/>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748" w:type="dxa"/>
          </w:tcPr>
          <w:p>
            <w:pPr>
              <w:jc w:val="center"/>
              <w:rPr>
                <w:rFonts w:hint="default"/>
                <w:b/>
                <w:bCs/>
                <w:sz w:val="15"/>
                <w:szCs w:val="18"/>
                <w:vertAlign w:val="baseline"/>
                <w:lang w:val="en-US" w:eastAsia="zh-CN"/>
              </w:rPr>
            </w:pPr>
            <w:r>
              <w:rPr>
                <w:rFonts w:hint="eastAsia"/>
                <w:b/>
                <w:bCs/>
                <w:sz w:val="15"/>
                <w:szCs w:val="18"/>
                <w:vertAlign w:val="baseline"/>
                <w:lang w:val="en-US" w:eastAsia="zh-CN"/>
              </w:rPr>
              <w:t>内存</w:t>
            </w:r>
          </w:p>
        </w:tc>
        <w:tc>
          <w:tcPr>
            <w:tcW w:w="1692" w:type="dxa"/>
          </w:tcPr>
          <w:p>
            <w:pPr>
              <w:jc w:val="center"/>
              <w:rPr>
                <w:rFonts w:hint="default"/>
                <w:b/>
                <w:bCs/>
                <w:sz w:val="15"/>
                <w:szCs w:val="18"/>
                <w:vertAlign w:val="baseline"/>
                <w:lang w:val="en-US" w:eastAsia="zh-CN"/>
              </w:rPr>
            </w:pPr>
            <w:r>
              <w:rPr>
                <w:rFonts w:hint="eastAsia"/>
                <w:b/>
                <w:bCs/>
                <w:sz w:val="15"/>
                <w:szCs w:val="18"/>
                <w:vertAlign w:val="baseline"/>
                <w:lang w:val="en-US" w:eastAsia="zh-CN"/>
              </w:rPr>
              <w:t>-</w:t>
            </w:r>
          </w:p>
        </w:tc>
        <w:tc>
          <w:tcPr>
            <w:tcW w:w="1911" w:type="dxa"/>
          </w:tcPr>
          <w:p>
            <w:pPr>
              <w:jc w:val="center"/>
              <w:rPr>
                <w:rFonts w:hint="eastAsia"/>
                <w:b/>
                <w:bCs/>
                <w:sz w:val="15"/>
                <w:szCs w:val="18"/>
                <w:vertAlign w:val="baseline"/>
                <w:lang w:val="en-US" w:eastAsia="zh-CN"/>
              </w:rPr>
            </w:pPr>
            <w:r>
              <w:rPr>
                <w:rFonts w:hint="eastAsia"/>
                <w:b/>
                <w:bCs/>
                <w:sz w:val="15"/>
                <w:szCs w:val="18"/>
                <w:vertAlign w:val="baseline"/>
                <w:lang w:val="en-US" w:eastAsia="zh-CN"/>
              </w:rPr>
              <w:t>142.6 MB</w:t>
            </w:r>
            <w:r>
              <w:rPr>
                <w:rFonts w:hint="eastAsia"/>
                <w:b/>
                <w:bCs/>
                <w:color w:val="FF0000"/>
                <w:sz w:val="15"/>
                <w:szCs w:val="18"/>
                <w:vertAlign w:val="baseline"/>
                <w:lang w:val="en-US" w:eastAsia="zh-CN"/>
              </w:rPr>
              <w:t>（+ 5.1 MB）</w:t>
            </w:r>
          </w:p>
        </w:tc>
        <w:tc>
          <w:tcPr>
            <w:tcW w:w="1772" w:type="dxa"/>
          </w:tcPr>
          <w:p>
            <w:pPr>
              <w:jc w:val="center"/>
              <w:rPr>
                <w:rFonts w:hint="default"/>
                <w:b/>
                <w:bCs/>
                <w:sz w:val="15"/>
                <w:szCs w:val="18"/>
                <w:vertAlign w:val="baseline"/>
                <w:lang w:val="en-US" w:eastAsia="zh-CN"/>
              </w:rPr>
            </w:pPr>
            <w:r>
              <w:rPr>
                <w:rFonts w:hint="eastAsia"/>
                <w:b/>
                <w:bCs/>
                <w:sz w:val="15"/>
                <w:szCs w:val="18"/>
                <w:vertAlign w:val="baseline"/>
                <w:lang w:val="en-US" w:eastAsia="zh-CN"/>
              </w:rPr>
              <w:t>-</w:t>
            </w:r>
          </w:p>
        </w:tc>
        <w:tc>
          <w:tcPr>
            <w:tcW w:w="1876" w:type="dxa"/>
          </w:tcPr>
          <w:p>
            <w:pPr>
              <w:jc w:val="center"/>
              <w:rPr>
                <w:rFonts w:hint="eastAsia"/>
                <w:b/>
                <w:bCs/>
                <w:sz w:val="15"/>
                <w:szCs w:val="18"/>
                <w:vertAlign w:val="baseline"/>
                <w:lang w:val="en-US" w:eastAsia="zh-CN"/>
              </w:rPr>
            </w:pPr>
            <w:r>
              <w:rPr>
                <w:rFonts w:hint="eastAsia"/>
                <w:b/>
                <w:bCs/>
                <w:sz w:val="15"/>
                <w:szCs w:val="18"/>
                <w:vertAlign w:val="baseline"/>
                <w:lang w:val="en-US" w:eastAsia="zh-CN"/>
              </w:rPr>
              <w:t>2.20 GB</w:t>
            </w:r>
            <w:r>
              <w:rPr>
                <w:rFonts w:hint="eastAsia"/>
                <w:b/>
                <w:bCs/>
                <w:color w:val="FF0000"/>
                <w:sz w:val="15"/>
                <w:szCs w:val="18"/>
                <w:vertAlign w:val="baseline"/>
                <w:lang w:val="en-US" w:eastAsia="zh-CN"/>
              </w:rPr>
              <w:t>（+ 0.01 GB）</w:t>
            </w:r>
          </w:p>
        </w:tc>
      </w:tr>
    </w:tbl>
    <w:p>
      <w:pPr>
        <w:pStyle w:val="3"/>
        <w:bidi w:val="0"/>
        <w:rPr>
          <w:rFonts w:hint="eastAsia"/>
          <w:lang w:eastAsia="zh-CN"/>
        </w:rPr>
      </w:pPr>
      <w:r>
        <w:rPr>
          <w:rFonts w:hint="eastAsia"/>
          <w:lang w:eastAsia="zh-CN"/>
        </w:rPr>
        <w:t>结论</w:t>
      </w:r>
    </w:p>
    <w:p>
      <w:pPr>
        <w:pStyle w:val="4"/>
        <w:bidi w:val="0"/>
        <w:rPr>
          <w:rFonts w:hint="eastAsia"/>
          <w:lang w:eastAsia="zh-CN"/>
        </w:rPr>
      </w:pPr>
      <w:r>
        <w:rPr>
          <w:rFonts w:hint="eastAsia"/>
          <w:lang w:eastAsia="zh-CN"/>
        </w:rPr>
        <w:t>平台支持</w:t>
      </w:r>
    </w:p>
    <w:p>
      <w:pPr>
        <w:ind w:firstLine="420" w:firstLineChars="0"/>
        <w:rPr>
          <w:rFonts w:hint="eastAsia"/>
          <w:lang w:val="en-US" w:eastAsia="zh-CN"/>
        </w:rPr>
      </w:pPr>
      <w:r>
        <w:rPr>
          <w:rFonts w:hint="eastAsia"/>
          <w:lang w:val="en-US" w:eastAsia="zh-CN"/>
        </w:rPr>
        <w:t>PC、Android以及iOS</w:t>
      </w:r>
    </w:p>
    <w:p>
      <w:pPr>
        <w:pStyle w:val="4"/>
        <w:bidi w:val="0"/>
        <w:rPr>
          <w:rFonts w:hint="eastAsia"/>
          <w:lang w:val="en-US" w:eastAsia="zh-CN"/>
        </w:rPr>
      </w:pPr>
      <w:r>
        <w:rPr>
          <w:rFonts w:hint="eastAsia"/>
          <w:lang w:val="en-US" w:eastAsia="zh-CN"/>
        </w:rPr>
        <w:t>性能结论</w:t>
      </w:r>
    </w:p>
    <w:p>
      <w:pPr>
        <w:ind w:firstLine="420" w:firstLineChars="0"/>
        <w:rPr>
          <w:rFonts w:hint="eastAsia"/>
          <w:lang w:val="en-US" w:eastAsia="zh-CN"/>
        </w:rPr>
      </w:pPr>
      <w:r>
        <w:rPr>
          <w:rFonts w:hint="eastAsia"/>
          <w:lang w:val="en-US" w:eastAsia="zh-CN"/>
        </w:rPr>
        <w:t>立方体堆叠与散落动画播放CPU的耗时整体较小，从结构化数据分析，URP渲染模式下大量的时间仍花在CPU等待GPU垂直同步上</w:t>
      </w:r>
    </w:p>
    <w:p>
      <w:pPr>
        <w:pStyle w:val="4"/>
        <w:bidi w:val="0"/>
        <w:rPr>
          <w:rFonts w:hint="eastAsia"/>
          <w:lang w:val="en-US" w:eastAsia="zh-CN"/>
        </w:rPr>
      </w:pPr>
      <w:r>
        <w:rPr>
          <w:rFonts w:hint="eastAsia"/>
          <w:lang w:val="en-US" w:eastAsia="zh-CN"/>
        </w:rPr>
        <w:t>应用建议</w:t>
      </w:r>
    </w:p>
    <w:p>
      <w:pPr>
        <w:numPr>
          <w:ilvl w:val="0"/>
          <w:numId w:val="1"/>
        </w:numPr>
        <w:ind w:left="425" w:leftChars="0" w:hanging="425" w:firstLineChars="0"/>
        <w:rPr>
          <w:rFonts w:hint="eastAsia"/>
          <w:lang w:val="en-US" w:eastAsia="zh-CN"/>
        </w:rPr>
      </w:pPr>
      <w:r>
        <w:rPr>
          <w:rFonts w:hint="eastAsia"/>
          <w:lang w:val="en-US" w:eastAsia="zh-CN"/>
        </w:rPr>
        <w:t>录制动画及播放动画分俩个场景进行配置。这样可以带来一些好处：</w:t>
      </w:r>
    </w:p>
    <w:p>
      <w:pPr>
        <w:numPr>
          <w:ilvl w:val="0"/>
          <w:numId w:val="2"/>
        </w:numPr>
        <w:ind w:left="845" w:leftChars="0" w:hanging="425" w:firstLineChars="0"/>
        <w:rPr>
          <w:rFonts w:hint="eastAsia"/>
          <w:lang w:val="en-US" w:eastAsia="zh-CN"/>
        </w:rPr>
      </w:pPr>
      <w:r>
        <w:rPr>
          <w:rFonts w:hint="eastAsia"/>
          <w:lang w:val="en-US" w:eastAsia="zh-CN"/>
        </w:rPr>
        <w:t>配置方便，不用再录制以及播放来回修改物理配置</w:t>
      </w:r>
    </w:p>
    <w:p>
      <w:pPr>
        <w:numPr>
          <w:ilvl w:val="0"/>
          <w:numId w:val="2"/>
        </w:numPr>
        <w:ind w:left="845" w:leftChars="0" w:hanging="425" w:firstLineChars="0"/>
        <w:rPr>
          <w:rFonts w:hint="eastAsia"/>
          <w:lang w:val="en-US" w:eastAsia="zh-CN"/>
        </w:rPr>
      </w:pPr>
      <w:r>
        <w:rPr>
          <w:rFonts w:hint="eastAsia"/>
          <w:lang w:val="en-US" w:eastAsia="zh-CN"/>
        </w:rPr>
        <w:t>若应用没有物理需求，可以剥离物理模块</w:t>
      </w:r>
    </w:p>
    <w:p>
      <w:pPr>
        <w:numPr>
          <w:ilvl w:val="0"/>
          <w:numId w:val="1"/>
        </w:numPr>
        <w:ind w:left="425" w:leftChars="0" w:hanging="425" w:firstLineChars="0"/>
        <w:rPr>
          <w:rFonts w:hint="eastAsia"/>
          <w:lang w:val="en-US" w:eastAsia="zh-CN"/>
        </w:rPr>
      </w:pPr>
      <w:r>
        <w:rPr>
          <w:rFonts w:hint="eastAsia"/>
          <w:lang w:val="en-US" w:eastAsia="zh-CN"/>
        </w:rPr>
        <w:t>播放模块尽量使用组件的方式（播放组件支持编辑态）而不是API，这样能快速调整效果，并进行效果验证</w:t>
      </w:r>
    </w:p>
    <w:p>
      <w:pPr>
        <w:pStyle w:val="3"/>
        <w:bidi w:val="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无</w:t>
      </w:r>
    </w:p>
    <w:p>
      <w:pPr>
        <w:rPr>
          <w:rFonts w:hint="eastAsia"/>
          <w:lang w:val="en-US" w:eastAsia="zh-CN"/>
        </w:rPr>
      </w:pPr>
    </w:p>
    <w:p>
      <w:pPr>
        <w:numPr>
          <w:ilvl w:val="0"/>
          <w:numId w:val="0"/>
        </w:numPr>
        <w:ind w:leftChars="0" w:firstLine="420" w:firstLine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2EFAB1"/>
    <w:multiLevelType w:val="singleLevel"/>
    <w:tmpl w:val="E62EFAB1"/>
    <w:lvl w:ilvl="0" w:tentative="0">
      <w:start w:val="1"/>
      <w:numFmt w:val="decimal"/>
      <w:lvlText w:val="%1."/>
      <w:lvlJc w:val="left"/>
      <w:pPr>
        <w:ind w:left="425" w:hanging="425"/>
      </w:pPr>
      <w:rPr>
        <w:rFonts w:hint="default"/>
      </w:rPr>
    </w:lvl>
  </w:abstractNum>
  <w:abstractNum w:abstractNumId="1">
    <w:nsid w:val="559EDF84"/>
    <w:multiLevelType w:val="singleLevel"/>
    <w:tmpl w:val="559EDF84"/>
    <w:lvl w:ilvl="0" w:tentative="0">
      <w:start w:val="1"/>
      <w:numFmt w:val="lowerLetter"/>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57D89"/>
    <w:rsid w:val="013D326D"/>
    <w:rsid w:val="01CF6730"/>
    <w:rsid w:val="02153735"/>
    <w:rsid w:val="0311605D"/>
    <w:rsid w:val="06394FB0"/>
    <w:rsid w:val="06974373"/>
    <w:rsid w:val="07EF54B8"/>
    <w:rsid w:val="0A326AD2"/>
    <w:rsid w:val="0A361C54"/>
    <w:rsid w:val="0C1F17CE"/>
    <w:rsid w:val="0D853D4B"/>
    <w:rsid w:val="0DC859F5"/>
    <w:rsid w:val="0DE74FB0"/>
    <w:rsid w:val="15192EDE"/>
    <w:rsid w:val="16493EDE"/>
    <w:rsid w:val="164B4CB0"/>
    <w:rsid w:val="17307846"/>
    <w:rsid w:val="173D5781"/>
    <w:rsid w:val="17B54E0A"/>
    <w:rsid w:val="19E14D6E"/>
    <w:rsid w:val="1D572E81"/>
    <w:rsid w:val="1ED34318"/>
    <w:rsid w:val="1FBB211F"/>
    <w:rsid w:val="20EA43E3"/>
    <w:rsid w:val="22230D48"/>
    <w:rsid w:val="24876009"/>
    <w:rsid w:val="2608782C"/>
    <w:rsid w:val="26B4095F"/>
    <w:rsid w:val="2A1408EA"/>
    <w:rsid w:val="2C4F0C6A"/>
    <w:rsid w:val="2DD71EC4"/>
    <w:rsid w:val="2F3D0682"/>
    <w:rsid w:val="312D1E68"/>
    <w:rsid w:val="328D3530"/>
    <w:rsid w:val="32977615"/>
    <w:rsid w:val="33EF65F9"/>
    <w:rsid w:val="355B5F37"/>
    <w:rsid w:val="3A164F4C"/>
    <w:rsid w:val="3BC91F3A"/>
    <w:rsid w:val="3BDA163B"/>
    <w:rsid w:val="3FEB3BD4"/>
    <w:rsid w:val="40D82C66"/>
    <w:rsid w:val="410B0537"/>
    <w:rsid w:val="421A69DF"/>
    <w:rsid w:val="427229A4"/>
    <w:rsid w:val="42880150"/>
    <w:rsid w:val="440F7FA8"/>
    <w:rsid w:val="48D73EE8"/>
    <w:rsid w:val="494269A8"/>
    <w:rsid w:val="495F0CB6"/>
    <w:rsid w:val="4AC878BE"/>
    <w:rsid w:val="4D744869"/>
    <w:rsid w:val="4D8034B8"/>
    <w:rsid w:val="4FD52DE1"/>
    <w:rsid w:val="503563B5"/>
    <w:rsid w:val="50B27FCB"/>
    <w:rsid w:val="51B05657"/>
    <w:rsid w:val="532965C9"/>
    <w:rsid w:val="53B62714"/>
    <w:rsid w:val="54F5208C"/>
    <w:rsid w:val="57DF3028"/>
    <w:rsid w:val="589669BF"/>
    <w:rsid w:val="5A9E6A57"/>
    <w:rsid w:val="5BB9570A"/>
    <w:rsid w:val="5C37480C"/>
    <w:rsid w:val="61EB1D35"/>
    <w:rsid w:val="6214243C"/>
    <w:rsid w:val="62214E22"/>
    <w:rsid w:val="63A063A5"/>
    <w:rsid w:val="63DD1A63"/>
    <w:rsid w:val="64E93F25"/>
    <w:rsid w:val="677F7E8D"/>
    <w:rsid w:val="695242D9"/>
    <w:rsid w:val="696E6AB5"/>
    <w:rsid w:val="6979776B"/>
    <w:rsid w:val="6A563FBB"/>
    <w:rsid w:val="6C6A6B09"/>
    <w:rsid w:val="6CBC504C"/>
    <w:rsid w:val="6F9B779B"/>
    <w:rsid w:val="6FA91160"/>
    <w:rsid w:val="70AE50AD"/>
    <w:rsid w:val="70C243A4"/>
    <w:rsid w:val="71380A53"/>
    <w:rsid w:val="715A6B7B"/>
    <w:rsid w:val="720F148F"/>
    <w:rsid w:val="764D2D39"/>
    <w:rsid w:val="76F50D81"/>
    <w:rsid w:val="77006423"/>
    <w:rsid w:val="774D3C7B"/>
    <w:rsid w:val="77BF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2020-07-20T07:16:00Z</dcterms:created>
  <dc:creator>Administrator</dc:creator>
  <cp:lastModifiedBy>Administrator</cp:lastModifiedBy>
  <dcterms:modified xsi:type="dcterms:W3CDTF">2020-07-24T09:24:46Z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