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8ECAC" w14:textId="77777777" w:rsidR="001F786D" w:rsidRDefault="00000000">
      <w:pPr>
        <w:pStyle w:val="Heading1"/>
      </w:pPr>
      <w:r>
        <w:t>Avocado Market Trends in the USA — ANNOTATED COPY</w:t>
      </w:r>
    </w:p>
    <w:p w14:paraId="517C6191" w14:textId="77777777" w:rsidR="001F786D" w:rsidRDefault="00000000">
      <w:r>
        <w:rPr>
          <w:b/>
          <w:bCs/>
        </w:rPr>
        <w:t xml:space="preserve">Verification key:  </w:t>
      </w:r>
      <w:r>
        <w:rPr>
          <w:b/>
          <w:bCs/>
          <w:color w:val="1E7A34"/>
        </w:rPr>
        <w:t xml:space="preserve">  = figure independently recalculated in Python and confirmed correct.</w:t>
      </w:r>
    </w:p>
    <w:p w14:paraId="2BB7E4C6" w14:textId="77777777" w:rsidR="001F786D" w:rsidRDefault="00000000">
      <w:r>
        <w:rPr>
          <w:highlight w:val="yellow"/>
        </w:rPr>
        <w:t>Highlighted text</w:t>
      </w:r>
      <w:r>
        <w:t xml:space="preserve"> = phrasing flagged as a possible overstatement / hallucination risk (see margin comment), even where the underlying number is correct.</w:t>
      </w:r>
    </w:p>
    <w:p w14:paraId="48D04563" w14:textId="77777777" w:rsidR="001F786D" w:rsidRDefault="001F786D"/>
    <w:p w14:paraId="7902CF69" w14:textId="77777777" w:rsidR="001F786D" w:rsidRDefault="00000000">
      <w:r>
        <w:rPr>
          <w:b/>
          <w:bCs/>
        </w:rPr>
        <w:t xml:space="preserve">To: </w:t>
      </w:r>
      <w:r>
        <w:t>Nathan Daniels, Mid-Level Manager</w:t>
      </w:r>
    </w:p>
    <w:p w14:paraId="7BDBF749" w14:textId="77777777" w:rsidR="001F786D" w:rsidRDefault="00000000">
      <w:r>
        <w:rPr>
          <w:b/>
          <w:bCs/>
        </w:rPr>
        <w:t xml:space="preserve">From: </w:t>
      </w:r>
      <w:r>
        <w:t>AI</w:t>
      </w:r>
    </w:p>
    <w:p w14:paraId="40AAAD5F" w14:textId="77777777" w:rsidR="001F786D" w:rsidRDefault="00000000">
      <w:r>
        <w:rPr>
          <w:b/>
          <w:bCs/>
        </w:rPr>
        <w:t xml:space="preserve">Date: </w:t>
      </w:r>
      <w:r>
        <w:t>September 27, 2026</w:t>
      </w:r>
    </w:p>
    <w:p w14:paraId="6EC9E71B" w14:textId="77777777" w:rsidR="001F786D" w:rsidRDefault="00000000">
      <w:r>
        <w:rPr>
          <w:b/>
          <w:bCs/>
        </w:rPr>
        <w:t xml:space="preserve">Subject: </w:t>
      </w:r>
      <w:r>
        <w:t>Avocado Market Trends in the USA</w:t>
      </w:r>
    </w:p>
    <w:p w14:paraId="52B3EF98" w14:textId="77777777" w:rsidR="001F786D" w:rsidRDefault="001F786D"/>
    <w:p w14:paraId="5BFB6C90" w14:textId="77777777" w:rsidR="001F786D" w:rsidRDefault="00000000">
      <w:pPr>
        <w:pStyle w:val="Heading2"/>
      </w:pPr>
      <w:r>
        <w:t>Purpose</w:t>
      </w:r>
    </w:p>
    <w:p w14:paraId="5780C20D" w14:textId="77777777" w:rsidR="001F786D" w:rsidRDefault="00000000">
      <w:r>
        <w:t>The purpose of this memo is to identify trends in the U.S. avocado market using the data from the 2025 and 2026 files. The analysis uses Period as the main measure of time and focuses on the Total U.S. data. The 2025 file contains 52 periods, while the 2026 file contains 32 periods, so the year-over-year comparison focuses on Periods 1–32, which are available in both files.</w:t>
      </w:r>
    </w:p>
    <w:p w14:paraId="01A16297" w14:textId="77777777" w:rsidR="001F786D" w:rsidRDefault="00000000">
      <w:pPr>
        <w:pStyle w:val="Heading2"/>
      </w:pPr>
      <w:r>
        <w:t>Overall Market Volume</w:t>
      </w:r>
    </w:p>
    <w:p w14:paraId="274FE39E" w14:textId="77777777" w:rsidR="001F786D" w:rsidRDefault="00000000">
      <w:r>
        <w:t>Total avocado volume increased during the first 32 periods of 2026 compared with the same periods in 2025. Total volume was approximately 1.871 billion in Periods 1–32 of 2025 and 2.126 billion in Periods 1–32 of 2026, representing an increase of approximately 13.6%.</w:t>
      </w:r>
      <w:r>
        <w:rPr>
          <w:b/>
          <w:bCs/>
          <w:color w:val="1E7A34"/>
        </w:rPr>
        <w:t xml:space="preserve">  (recalculated: 13.6%)</w:t>
      </w:r>
    </w:p>
    <w:p w14:paraId="3EDBF70C" w14:textId="77777777" w:rsidR="001F786D" w:rsidRDefault="00000000">
      <w:r>
        <w:t>The increase was primarily driven by conventional avocados. Conventional volume increased from approximately 1.765 billion in Periods 1–32 of 2025 to 2.021 billion in the same periods of 2026, an increase of approximately 14.5%.</w:t>
      </w:r>
      <w:r>
        <w:rPr>
          <w:b/>
          <w:bCs/>
          <w:color w:val="1E7A34"/>
        </w:rPr>
        <w:t xml:space="preserve">  (recalculated: 14.5%)</w:t>
      </w:r>
      <w:r>
        <w:t xml:space="preserve"> Conventional volume was higher in all 32 comparable periods. </w:t>
      </w:r>
      <w:r>
        <w:rPr>
          <w:i/>
          <w:iCs/>
        </w:rPr>
        <w:t>[verified period-by-period: 32/32 — confirmed]</w:t>
      </w:r>
    </w:p>
    <w:p w14:paraId="17A153C0" w14:textId="77777777" w:rsidR="001F786D" w:rsidRDefault="00000000">
      <w:r>
        <w:t>Organic avocado volume was much more stable. It decreased slightly from approximately 105.9 million in Periods 1–32 of 2025 to 105.1 million in 2026, a decrease of approximately 0.7%.</w:t>
      </w:r>
      <w:r>
        <w:rPr>
          <w:b/>
          <w:bCs/>
          <w:color w:val="1E7A34"/>
        </w:rPr>
        <w:t xml:space="preserve">  (recalculated: -0.7%)</w:t>
      </w:r>
      <w:r>
        <w:t xml:space="preserve"> Organic volume increased in only 9 of the 32 comparable periods. </w:t>
      </w:r>
      <w:r>
        <w:rPr>
          <w:i/>
          <w:iCs/>
        </w:rPr>
        <w:t>[verified period-by-period: 9/32 — confirmed]</w:t>
      </w:r>
    </w:p>
    <w:p w14:paraId="2316BA74" w14:textId="77777777" w:rsidR="001F786D" w:rsidRDefault="00000000">
      <w:pPr>
        <w:pStyle w:val="Heading2"/>
      </w:pPr>
      <w:r>
        <w:t>Average Selling Price</w:t>
      </w:r>
    </w:p>
    <w:p w14:paraId="39FBB57B" w14:textId="77777777" w:rsidR="001F786D" w:rsidRDefault="00000000">
      <w:r>
        <w:t>Average selling prices were lower in 2026 during the first 32 periods. The volume-weighted ASP across both types decreased from approximately 1.245 in Periods 1–32 of 2025 to 1.008 in 2026, a decrease of approximately 19.1%.</w:t>
      </w:r>
      <w:r>
        <w:rPr>
          <w:b/>
          <w:bCs/>
          <w:color w:val="1E7A34"/>
        </w:rPr>
        <w:t xml:space="preserve">  (recalculated: -19.1%)</w:t>
      </w:r>
    </w:p>
    <w:p w14:paraId="086DF226" w14:textId="77777777" w:rsidR="001F786D" w:rsidRDefault="00000000">
      <w:r>
        <w:t>The decline occurred for both types. Conventional ASP decreased from approximately 1.215 in 2025 to 0.979 in 2026, while organic ASP decreased from approximately 1.741 to 1.562.</w:t>
      </w:r>
      <w:r>
        <w:rPr>
          <w:b/>
          <w:bCs/>
          <w:color w:val="1E7A34"/>
        </w:rPr>
        <w:t xml:space="preserve">  (both values recalculated exactly)</w:t>
      </w:r>
      <w:r>
        <w:t xml:space="preserve"> Conventional ASP was lower in every comparable period, and organic ASP was also lower in every comparable period. </w:t>
      </w:r>
      <w:r>
        <w:rPr>
          <w:i/>
          <w:iCs/>
        </w:rPr>
        <w:t>[verified period-by-period: 32/32 both types — confirmed]</w:t>
      </w:r>
    </w:p>
    <w:p w14:paraId="7CEF53B3" w14:textId="77777777" w:rsidR="001F786D" w:rsidRDefault="00000000">
      <w:r>
        <w:t xml:space="preserve">Within 2026, conventional volume reached its highest level in Period 6, at approximately 75.97 million, </w:t>
      </w:r>
      <w:r>
        <w:rPr>
          <w:highlight w:val="yellow"/>
        </w:rPr>
        <w:t>before declining to approximately 54.22 million in Period 26</w:t>
      </w:r>
      <w:r>
        <w:t xml:space="preserve"> and ending at approximately 57.79 million in Period 32.</w:t>
      </w:r>
      <w:r>
        <w:rPr>
          <w:b/>
          <w:bCs/>
          <w:color w:val="1E7A34"/>
        </w:rPr>
        <w:t xml:space="preserve">  (Period 6 max, Period 26 &amp; 32 values all recalculated exactly)</w:t>
      </w:r>
      <w:r>
        <w:t xml:space="preserve"> Conventional ASP followed a different pattern, reaching its lowest level in Period 6 at approximately 0.892 and its highest level in Period 26 at approximately 1.187.</w:t>
      </w:r>
      <w:r>
        <w:rPr>
          <w:b/>
          <w:bCs/>
          <w:color w:val="1E7A34"/>
        </w:rPr>
        <w:t xml:space="preserve">  (recalculated exactly)</w:t>
      </w:r>
    </w:p>
    <w:p w14:paraId="14345C08" w14:textId="77777777" w:rsidR="001F786D" w:rsidRDefault="00000000">
      <w:pPr>
        <w:pStyle w:val="Heading2"/>
      </w:pPr>
      <w:r>
        <w:t>Product Mix</w:t>
      </w:r>
    </w:p>
    <w:p w14:paraId="37BB63D7" w14:textId="77777777" w:rsidR="001F786D" w:rsidRDefault="00000000">
      <w:r>
        <w:t>The market remained heavily concentrated in conventional avocados. Conventional products represented approximately 94.3% of total volume during Periods 1–32 of 2025 and approximately 95.1% during the same periods of 2026. Organic's share therefore decreased from approximately 5.7% to 4.9%.</w:t>
      </w:r>
      <w:r>
        <w:rPr>
          <w:b/>
          <w:bCs/>
          <w:color w:val="1E7A34"/>
        </w:rPr>
        <w:t xml:space="preserve">  (all four shares recalculated exactly)</w:t>
      </w:r>
    </w:p>
    <w:p w14:paraId="2AF20D24" w14:textId="77777777" w:rsidR="001F786D" w:rsidRDefault="00000000">
      <w:r>
        <w:t xml:space="preserve">The product categories also changed in their shares of total volume. The </w:t>
      </w:r>
      <w:proofErr w:type="gramStart"/>
      <w:r>
        <w:t>4046 category</w:t>
      </w:r>
      <w:proofErr w:type="gramEnd"/>
      <w:r>
        <w:t xml:space="preserve"> accounted for approximately 46.4% of volume in Periods 1–32 of 2025 compared with 41.8% in 2026. The </w:t>
      </w:r>
      <w:proofErr w:type="gramStart"/>
      <w:r>
        <w:t>4225 category</w:t>
      </w:r>
      <w:proofErr w:type="gramEnd"/>
      <w:r>
        <w:t xml:space="preserve"> increased from approximately 10.5% to 12.6%, while 4770 increased from approximately 1.3% to 2.3%. Total bagged volume increased from approximately 41.8% to 43.3% of total volume.</w:t>
      </w:r>
      <w:r>
        <w:rPr>
          <w:b/>
          <w:bCs/>
          <w:color w:val="1E7A34"/>
        </w:rPr>
        <w:t xml:space="preserve">  (all shares recalculated exactly)</w:t>
      </w:r>
    </w:p>
    <w:p w14:paraId="22EEF659" w14:textId="77777777" w:rsidR="001F786D" w:rsidRDefault="00000000">
      <w:pPr>
        <w:pStyle w:val="Heading2"/>
      </w:pPr>
      <w:r>
        <w:t>Conclusion</w:t>
      </w:r>
    </w:p>
    <w:p w14:paraId="446D66C2" w14:textId="77777777" w:rsidR="001F786D" w:rsidRDefault="00000000">
      <w:r>
        <w:t>The data shows that the U.S. avocado market had higher volume but lower ASP during Periods 1–32 of 2026 compared with the same periods in 2025. The increase in total volume was almost entirely associated with conventional avocados, while organic volume remained relatively stable. At the same time, ASP decreased for both conventional and organic avocados.</w:t>
      </w:r>
    </w:p>
    <w:sectPr w:rsidR="001F78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34745"/>
    <w:multiLevelType w:val="hybridMultilevel"/>
    <w:tmpl w:val="DB840D0A"/>
    <w:lvl w:ilvl="0" w:tplc="797AD29C">
      <w:start w:val="1"/>
      <w:numFmt w:val="bullet"/>
      <w:lvlText w:val="●"/>
      <w:lvlJc w:val="left"/>
      <w:pPr>
        <w:ind w:left="720" w:hanging="360"/>
      </w:pPr>
    </w:lvl>
    <w:lvl w:ilvl="1" w:tplc="52281E1C">
      <w:start w:val="1"/>
      <w:numFmt w:val="bullet"/>
      <w:lvlText w:val="○"/>
      <w:lvlJc w:val="left"/>
      <w:pPr>
        <w:ind w:left="1440" w:hanging="360"/>
      </w:pPr>
    </w:lvl>
    <w:lvl w:ilvl="2" w:tplc="774AEA2C">
      <w:start w:val="1"/>
      <w:numFmt w:val="bullet"/>
      <w:lvlText w:val="■"/>
      <w:lvlJc w:val="left"/>
      <w:pPr>
        <w:ind w:left="2160" w:hanging="360"/>
      </w:pPr>
    </w:lvl>
    <w:lvl w:ilvl="3" w:tplc="50DC7A00">
      <w:start w:val="1"/>
      <w:numFmt w:val="bullet"/>
      <w:lvlText w:val="●"/>
      <w:lvlJc w:val="left"/>
      <w:pPr>
        <w:ind w:left="2880" w:hanging="360"/>
      </w:pPr>
    </w:lvl>
    <w:lvl w:ilvl="4" w:tplc="E2DC9CCC">
      <w:start w:val="1"/>
      <w:numFmt w:val="bullet"/>
      <w:lvlText w:val="○"/>
      <w:lvlJc w:val="left"/>
      <w:pPr>
        <w:ind w:left="3600" w:hanging="360"/>
      </w:pPr>
    </w:lvl>
    <w:lvl w:ilvl="5" w:tplc="E2EC0206">
      <w:start w:val="1"/>
      <w:numFmt w:val="bullet"/>
      <w:lvlText w:val="■"/>
      <w:lvlJc w:val="left"/>
      <w:pPr>
        <w:ind w:left="4320" w:hanging="360"/>
      </w:pPr>
    </w:lvl>
    <w:lvl w:ilvl="6" w:tplc="1A825378">
      <w:start w:val="1"/>
      <w:numFmt w:val="bullet"/>
      <w:lvlText w:val="●"/>
      <w:lvlJc w:val="left"/>
      <w:pPr>
        <w:ind w:left="5040" w:hanging="360"/>
      </w:pPr>
    </w:lvl>
    <w:lvl w:ilvl="7" w:tplc="785CE342">
      <w:start w:val="1"/>
      <w:numFmt w:val="bullet"/>
      <w:lvlText w:val="●"/>
      <w:lvlJc w:val="left"/>
      <w:pPr>
        <w:ind w:left="5760" w:hanging="360"/>
      </w:pPr>
    </w:lvl>
    <w:lvl w:ilvl="8" w:tplc="051EB736">
      <w:start w:val="1"/>
      <w:numFmt w:val="bullet"/>
      <w:lvlText w:val="●"/>
      <w:lvlJc w:val="left"/>
      <w:pPr>
        <w:ind w:left="6480" w:hanging="360"/>
      </w:pPr>
    </w:lvl>
  </w:abstractNum>
  <w:num w:numId="1" w16cid:durableId="1230383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86D"/>
    <w:rsid w:val="000D1E11"/>
    <w:rsid w:val="001F786D"/>
    <w:rsid w:val="00F80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FC77617F-AE7E-0147-99EA-6850284E5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Daniels, Nathan</cp:lastModifiedBy>
  <cp:revision>2</cp:revision>
  <dcterms:created xsi:type="dcterms:W3CDTF">2026-09-27T13:51:00Z</dcterms:created>
  <dcterms:modified xsi:type="dcterms:W3CDTF">2026-09-27T13:51:00Z</dcterms:modified>
</cp:coreProperties>
</file>