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18"/>
      </w:tblGrid>
      <w:tr>
        <w:tc>
          <w:tcPr>
            <w:tcW w:type="dxa" w:w="9524"/>
            <w:shd w:val="clear" w:color="auto" w:fill="02000B"/>
          </w:tcPr>
          <w:p>
            <w:pPr>
              <w:spacing w:before="520" w:after="80"/>
              <w:jc w:val="left"/>
            </w:pPr>
            <w:r>
              <w:drawing>
                <wp:inline xmlns:a="http://schemas.openxmlformats.org/drawingml/2006/main" xmlns:pic="http://schemas.openxmlformats.org/drawingml/2006/picture">
                  <wp:extent cx="2232000" cy="512262"/>
                  <wp:docPr id="1" name="Picture 1"/>
                  <wp:cNvGraphicFramePr>
                    <a:graphicFrameLocks noChangeAspect="1"/>
                  </wp:cNvGraphicFramePr>
                  <a:graphic>
                    <a:graphicData uri="http://schemas.openxmlformats.org/drawingml/2006/picture">
                      <pic:pic>
                        <pic:nvPicPr>
                          <pic:cNvPr id="0" name="logo_dark.png"/>
                          <pic:cNvPicPr/>
                        </pic:nvPicPr>
                        <pic:blipFill>
                          <a:blip r:embed="rId10"/>
                          <a:stretch>
                            <a:fillRect/>
                          </a:stretch>
                        </pic:blipFill>
                        <pic:spPr>
                          <a:xfrm>
                            <a:off x="0" y="0"/>
                            <a:ext cx="2232000" cy="512262"/>
                          </a:xfrm>
                          <a:prstGeom prst="rect"/>
                        </pic:spPr>
                      </pic:pic>
                    </a:graphicData>
                  </a:graphic>
                </wp:inline>
              </w:drawing>
            </w:r>
          </w:p>
          <w:p>
            <w:pPr>
              <w:spacing w:before="280" w:after="200"/>
            </w:pPr>
            <w:r>
              <w:rPr>
                <w:rFonts w:ascii="Source Sans 3" w:hAnsi="Source Sans 3" w:cs="Source Sans 3"/>
                <w:b/>
                <w:color w:val="A04732"/>
                <w:sz w:val="18"/>
                <w:caps w:val="true"/>
              </w:rPr>
              <w:t>Portfolio Case Study</w:t>
            </w:r>
          </w:p>
          <w:p>
            <w:pPr>
              <w:spacing w:before="0" w:after="80"/>
            </w:pPr>
            <w:r>
              <w:rPr>
                <w:rFonts w:ascii="Roboto Slab" w:hAnsi="Roboto Slab" w:cs="Roboto Slab"/>
                <w:b/>
                <w:color w:val="FFFFFF"/>
                <w:sz w:val="52"/>
              </w:rPr>
              <w:t>Construction Project Controls Analytics</w:t>
            </w:r>
          </w:p>
          <w:p>
            <w:pPr>
              <w:spacing w:before="0" w:after="600"/>
            </w:pPr>
            <w:r>
              <w:rPr>
                <w:rFonts w:ascii="Source Sans 3" w:hAnsi="Source Sans 3" w:cs="Source Sans 3"/>
                <w:b w:val="0"/>
                <w:color w:val="F4F0E8"/>
                <w:sz w:val="26"/>
              </w:rPr>
              <w:t>Early-warning analysis of cost and schedule performance</w:t>
            </w:r>
          </w:p>
          <w:p>
            <w:pPr>
              <w:spacing w:before="0" w:after="60"/>
            </w:pPr>
            <w:r>
              <w:rPr>
                <w:rFonts w:ascii="Source Sans 3" w:hAnsi="Source Sans 3" w:cs="Source Sans 3"/>
                <w:b/>
                <w:color w:val="F4F0E8"/>
                <w:sz w:val="21"/>
              </w:rPr>
              <w:t>Narciso M. Dickson  ·  In Project LLC</w:t>
            </w:r>
          </w:p>
          <w:p>
            <w:pPr>
              <w:spacing w:before="0" w:after="60"/>
            </w:pPr>
            <w:r>
              <w:rPr>
                <w:rFonts w:ascii="Source Sans 3" w:hAnsi="Source Sans 3" w:cs="Source Sans 3"/>
                <w:b w:val="0"/>
                <w:color w:val="6E6861"/>
                <w:sz w:val="18"/>
              </w:rPr>
              <w:t>Google Data Analytics framework: Ask · Prepare · Process · Analyze · Share · Act</w:t>
            </w:r>
          </w:p>
          <w:p>
            <w:pPr>
              <w:spacing w:before="0" w:after="560"/>
            </w:pPr>
            <w:r>
              <w:rPr>
                <w:rFonts w:ascii="Source Sans 3" w:hAnsi="Source Sans 3" w:cs="Source Sans 3"/>
                <w:b w:val="0"/>
                <w:color w:val="6E6861"/>
                <w:sz w:val="18"/>
              </w:rPr>
              <w:t>July 2026  ·  75 projects  ·  $5.83B portfolio  ·  2022–2025 reporting period</w:t>
            </w:r>
          </w:p>
        </w:tc>
      </w:tr>
    </w:tbl>
    <w:p/>
    <w:tbl>
      <w:tblPr>
        <w:tblW w:type="auto" w:w="0"/>
        <w:tblLook w:firstColumn="1" w:firstRow="1" w:lastColumn="0" w:lastRow="0" w:noHBand="0" w:noVBand="1" w:val="04A0"/>
      </w:tblPr>
      <w:tblGrid>
        <w:gridCol w:w="9518"/>
      </w:tblGrid>
      <w:tr>
        <w:tc>
          <w:tcPr>
            <w:tcW w:type="dxa" w:w="9518"/>
            <w:shd w:val="clear" w:color="auto" w:fill="EDEAE2"/>
          </w:tcPr>
          <w:p>
            <w:pPr>
              <w:spacing w:before="140" w:after="140"/>
            </w:pPr>
            <w:r>
              <w:rPr>
                <w:rFonts w:ascii="Source Sans 3" w:hAnsi="Source Sans 3"/>
                <w:b/>
                <w:color w:val="A04732"/>
                <w:sz w:val="18"/>
              </w:rPr>
              <w:t xml:space="preserve">Synthetic-data disclosure   </w:t>
            </w:r>
            <w:r>
              <w:rPr>
                <w:rFonts w:ascii="Source Sans 3" w:hAnsi="Source Sans 3"/>
                <w:color w:val="272421"/>
                <w:sz w:val="18"/>
              </w:rPr>
              <w:t>All projects, organisations, people, budgets, schedules, changes and RFIs in this case study are fictional. The analysis demonstrates methodology and decision support; it does not represent actual client performance or verified industry benchmarks.</w:t>
            </w:r>
          </w:p>
        </w:tc>
      </w:tr>
    </w:tbl>
    <w:p>
      <w:r>
        <w:br w:type="page"/>
      </w:r>
    </w:p>
    <w:p>
      <w:pPr>
        <w:pStyle w:val="Heading1"/>
        <w:pBdr>
          <w:bottom w:val="single" w:sz="8" w:space="4" w:color="A04732"/>
        </w:pBdr>
      </w:pPr>
      <w:r>
        <w:rPr>
          <w:b w:val="0"/>
          <w:i w:val="0"/>
        </w:rPr>
        <w:t>Contents</w:t>
      </w:r>
    </w:p>
    <w:p>
      <w:pPr/>
      <w:r>
        <w:rPr>
          <w:b/>
          <w:i w:val="0"/>
        </w:rPr>
        <w:t>Executive Summary</w:t>
      </w:r>
    </w:p>
    <w:p>
      <w:pPr/>
      <w:r>
        <w:rPr>
          <w:b/>
          <w:i w:val="0"/>
        </w:rPr>
        <w:t>1. Project Overview and Business Task</w:t>
      </w:r>
    </w:p>
    <w:p>
      <w:pPr/>
      <w:r>
        <w:rPr>
          <w:b/>
          <w:i w:val="0"/>
        </w:rPr>
        <w:t>2. Ask Phase</w:t>
      </w:r>
    </w:p>
    <w:p>
      <w:pPr/>
      <w:r>
        <w:rPr>
          <w:b/>
          <w:i w:val="0"/>
        </w:rPr>
        <w:t>3. Prepare Phase</w:t>
      </w:r>
    </w:p>
    <w:p>
      <w:pPr/>
      <w:r>
        <w:rPr>
          <w:b/>
          <w:i w:val="0"/>
        </w:rPr>
        <w:t>4. Process Phase</w:t>
      </w:r>
    </w:p>
    <w:p>
      <w:pPr/>
      <w:r>
        <w:rPr>
          <w:b/>
          <w:i w:val="0"/>
        </w:rPr>
        <w:t>5. Analyze Phase</w:t>
      </w:r>
    </w:p>
    <w:p>
      <w:pPr/>
      <w:r>
        <w:rPr>
          <w:b/>
          <w:i w:val="0"/>
        </w:rPr>
        <w:t>6. Share Phase</w:t>
      </w:r>
    </w:p>
    <w:p>
      <w:pPr/>
      <w:r>
        <w:rPr>
          <w:b/>
          <w:i w:val="0"/>
        </w:rPr>
        <w:t>7. Act Phase</w:t>
      </w:r>
    </w:p>
    <w:p>
      <w:pPr/>
      <w:r>
        <w:rPr>
          <w:b/>
          <w:i w:val="0"/>
        </w:rPr>
        <w:t>8. Automation Strategy</w:t>
      </w:r>
    </w:p>
    <w:p>
      <w:pPr/>
      <w:r>
        <w:rPr>
          <w:b/>
          <w:i w:val="0"/>
        </w:rPr>
        <w:t>9. Limitations, Ethics, and Use Controls</w:t>
      </w:r>
    </w:p>
    <w:p>
      <w:pPr/>
      <w:r>
        <w:rPr>
          <w:b/>
          <w:i w:val="0"/>
        </w:rPr>
        <w:t>10. Conclusion</w:t>
      </w:r>
    </w:p>
    <w:p>
      <w:pPr/>
      <w:r>
        <w:rPr>
          <w:b/>
          <w:i w:val="0"/>
        </w:rPr>
        <w:t>Appendix A - Metric Definitions and Thresholds</w:t>
      </w:r>
    </w:p>
    <w:p>
      <w:pPr/>
      <w:r>
        <w:rPr>
          <w:b/>
          <w:i w:val="0"/>
        </w:rPr>
        <w:t>Appendix B - Top 10 Priority Projects</w:t>
      </w:r>
    </w:p>
    <w:p>
      <w:pPr/>
      <w:r>
        <w:rPr>
          <w:b/>
          <w:i w:val="0"/>
        </w:rPr>
        <w:t>Appendix C - Deliverables and File Structure</w:t>
      </w:r>
    </w:p>
    <w:p>
      <w:pPr/>
      <w:r>
        <w:rPr>
          <w:b/>
          <w:i w:val="0"/>
        </w:rPr>
        <w:t>References</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The report is designed as a portfolio-ready case study and an In Project LLC capability demonstration. Detailed datasets, SQL, workbooks, dashboards, and automation files are included in the final project package.</w:t>
            </w:r>
          </w:p>
        </w:tc>
      </w:tr>
    </w:tbl>
    <w:p/>
    <w:p>
      <w:pPr>
        <w:pStyle w:val="Heading1"/>
        <w:pBdr>
          <w:bottom w:val="single" w:sz="8" w:space="4" w:color="A04732"/>
        </w:pBdr>
      </w:pPr>
      <w:r>
        <w:rPr>
          <w:b w:val="0"/>
          <w:i w:val="0"/>
        </w:rPr>
        <w:t>Executive Summary</w:t>
      </w:r>
    </w:p>
    <w:p>
      <w:pPr/>
      <w:r>
        <w:rPr>
          <w:b w:val="0"/>
          <w:i w:val="0"/>
        </w:rPr>
        <w:t>Construction organizations often review budgets, schedules, change orders, RFIs, contingency, and progress through separate reports. This fragmentation can delay recognition of deteriorating performance and make it difficult for leaders to prioritize intervention.</w:t>
      </w:r>
    </w:p>
    <w:p>
      <w:pPr/>
      <w:r>
        <w:rPr>
          <w:b w:val="0"/>
          <w:i w:val="0"/>
        </w:rPr>
        <w:t>This case study developed a synthetic relational portfolio of 75 U.S. construction projects, cleaned and validated 3,899 raw records, calculated project-control and earned-value indicators, communicated the results through executive dashboards, and converted the findings into a 90-day management and automation program.</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Portfolio KPI</w:t>
            </w:r>
          </w:p>
        </w:tc>
        <w:tc>
          <w:tcPr>
            <w:tcW w:type="dxa" w:w="4759"/>
            <w:shd w:val="clear" w:color="auto" w:fill="02000B"/>
          </w:tcPr>
          <w:p>
            <w:pPr>
              <w:spacing w:before="60" w:after="60"/>
            </w:pPr>
            <w:r/>
            <w:r>
              <w:rPr>
                <w:rFonts w:ascii="Roboto Slab" w:hAnsi="Roboto Slab" w:cs="Roboto Slab"/>
                <w:b/>
                <w:color w:val="FFFFFF"/>
                <w:sz w:val="18"/>
              </w:rPr>
              <w:t>Result</w:t>
            </w:r>
          </w:p>
        </w:tc>
      </w:tr>
      <w:tr>
        <w:tc>
          <w:tcPr>
            <w:tcW w:type="dxa" w:w="4759"/>
          </w:tcPr>
          <w:p>
            <w:pPr>
              <w:spacing w:before="60" w:after="60"/>
            </w:pPr>
            <w:r/>
            <w:r>
              <w:rPr>
                <w:rFonts w:ascii="Source Sans 3" w:hAnsi="Source Sans 3" w:cs="Source Sans 3"/>
                <w:color w:val="272421"/>
                <w:sz w:val="18"/>
              </w:rPr>
              <w:t>Projects</w:t>
            </w:r>
          </w:p>
        </w:tc>
        <w:tc>
          <w:tcPr>
            <w:tcW w:type="dxa" w:w="4759"/>
          </w:tcPr>
          <w:p>
            <w:pPr>
              <w:spacing w:before="60" w:after="60"/>
            </w:pPr>
            <w:r/>
            <w:r>
              <w:rPr>
                <w:rFonts w:ascii="Source Sans 3" w:hAnsi="Source Sans 3" w:cs="Source Sans 3"/>
                <w:color w:val="272421"/>
                <w:sz w:val="18"/>
              </w:rPr>
              <w:t>75</w:t>
            </w:r>
          </w:p>
        </w:tc>
      </w:tr>
      <w:tr>
        <w:tc>
          <w:tcPr>
            <w:tcW w:type="dxa" w:w="4759"/>
            <w:shd w:val="clear" w:color="auto" w:fill="F4F0E8"/>
          </w:tcPr>
          <w:p>
            <w:pPr>
              <w:spacing w:before="60" w:after="60"/>
            </w:pPr>
            <w:r/>
            <w:r>
              <w:rPr>
                <w:rFonts w:ascii="Source Sans 3" w:hAnsi="Source Sans 3" w:cs="Source Sans 3"/>
                <w:color w:val="272421"/>
                <w:sz w:val="18"/>
              </w:rPr>
              <w:t>Portfolio BAC</w:t>
            </w:r>
          </w:p>
        </w:tc>
        <w:tc>
          <w:tcPr>
            <w:tcW w:type="dxa" w:w="4759"/>
            <w:shd w:val="clear" w:color="auto" w:fill="F4F0E8"/>
          </w:tcPr>
          <w:p>
            <w:pPr>
              <w:spacing w:before="60" w:after="60"/>
            </w:pPr>
            <w:r/>
            <w:r>
              <w:rPr>
                <w:rFonts w:ascii="Source Sans 3" w:hAnsi="Source Sans 3" w:cs="Source Sans 3"/>
                <w:color w:val="272421"/>
                <w:sz w:val="18"/>
              </w:rPr>
              <w:t>$5,831,436,600</w:t>
            </w:r>
          </w:p>
        </w:tc>
      </w:tr>
      <w:tr>
        <w:tc>
          <w:tcPr>
            <w:tcW w:type="dxa" w:w="4759"/>
          </w:tcPr>
          <w:p>
            <w:pPr>
              <w:spacing w:before="60" w:after="60"/>
            </w:pPr>
            <w:r/>
            <w:r>
              <w:rPr>
                <w:rFonts w:ascii="Source Sans 3" w:hAnsi="Source Sans 3" w:cs="Source Sans 3"/>
                <w:color w:val="272421"/>
                <w:sz w:val="18"/>
              </w:rPr>
              <w:t>Forecast EAC</w:t>
            </w:r>
          </w:p>
        </w:tc>
        <w:tc>
          <w:tcPr>
            <w:tcW w:type="dxa" w:w="4759"/>
          </w:tcPr>
          <w:p>
            <w:pPr>
              <w:spacing w:before="60" w:after="60"/>
            </w:pPr>
            <w:r/>
            <w:r>
              <w:rPr>
                <w:rFonts w:ascii="Source Sans 3" w:hAnsi="Source Sans 3" w:cs="Source Sans 3"/>
                <w:color w:val="272421"/>
                <w:sz w:val="18"/>
              </w:rPr>
              <w:t>$6,586,989,966</w:t>
            </w:r>
          </w:p>
        </w:tc>
      </w:tr>
      <w:tr>
        <w:tc>
          <w:tcPr>
            <w:tcW w:type="dxa" w:w="4759"/>
            <w:shd w:val="clear" w:color="auto" w:fill="F4F0E8"/>
          </w:tcPr>
          <w:p>
            <w:pPr>
              <w:spacing w:before="60" w:after="60"/>
            </w:pPr>
            <w:r/>
            <w:r>
              <w:rPr>
                <w:rFonts w:ascii="Source Sans 3" w:hAnsi="Source Sans 3" w:cs="Source Sans 3"/>
                <w:color w:val="272421"/>
                <w:sz w:val="18"/>
              </w:rPr>
              <w:t>Forecast variance</w:t>
            </w:r>
          </w:p>
        </w:tc>
        <w:tc>
          <w:tcPr>
            <w:tcW w:type="dxa" w:w="4759"/>
            <w:shd w:val="clear" w:color="auto" w:fill="F4F0E8"/>
          </w:tcPr>
          <w:p>
            <w:pPr>
              <w:spacing w:before="60" w:after="60"/>
            </w:pPr>
            <w:r/>
            <w:r>
              <w:rPr>
                <w:rFonts w:ascii="Source Sans 3" w:hAnsi="Source Sans 3" w:cs="Source Sans 3"/>
                <w:color w:val="272421"/>
                <w:sz w:val="18"/>
              </w:rPr>
              <w:t>$755,553,366 unfavorable</w:t>
            </w:r>
          </w:p>
        </w:tc>
      </w:tr>
      <w:tr>
        <w:tc>
          <w:tcPr>
            <w:tcW w:type="dxa" w:w="4759"/>
          </w:tcPr>
          <w:p>
            <w:pPr>
              <w:spacing w:before="60" w:after="60"/>
            </w:pPr>
            <w:r/>
            <w:r>
              <w:rPr>
                <w:rFonts w:ascii="Source Sans 3" w:hAnsi="Source Sans 3" w:cs="Source Sans 3"/>
                <w:color w:val="272421"/>
                <w:sz w:val="18"/>
              </w:rPr>
              <w:t>Forecast overrun</w:t>
            </w:r>
          </w:p>
        </w:tc>
        <w:tc>
          <w:tcPr>
            <w:tcW w:type="dxa" w:w="4759"/>
          </w:tcPr>
          <w:p>
            <w:pPr>
              <w:spacing w:before="60" w:after="60"/>
            </w:pPr>
            <w:r/>
            <w:r>
              <w:rPr>
                <w:rFonts w:ascii="Source Sans 3" w:hAnsi="Source Sans 3" w:cs="Source Sans 3"/>
                <w:color w:val="272421"/>
                <w:sz w:val="18"/>
              </w:rPr>
              <w:t>13.0%</w:t>
            </w:r>
          </w:p>
        </w:tc>
      </w:tr>
      <w:tr>
        <w:tc>
          <w:tcPr>
            <w:tcW w:type="dxa" w:w="4759"/>
            <w:shd w:val="clear" w:color="auto" w:fill="F4F0E8"/>
          </w:tcPr>
          <w:p>
            <w:pPr>
              <w:spacing w:before="60" w:after="60"/>
            </w:pPr>
            <w:r/>
            <w:r>
              <w:rPr>
                <w:rFonts w:ascii="Source Sans 3" w:hAnsi="Source Sans 3" w:cs="Source Sans 3"/>
                <w:color w:val="272421"/>
                <w:sz w:val="18"/>
              </w:rPr>
              <w:t>Weighted CPI</w:t>
            </w:r>
          </w:p>
        </w:tc>
        <w:tc>
          <w:tcPr>
            <w:tcW w:type="dxa" w:w="4759"/>
            <w:shd w:val="clear" w:color="auto" w:fill="F4F0E8"/>
          </w:tcPr>
          <w:p>
            <w:pPr>
              <w:spacing w:before="60" w:after="60"/>
            </w:pPr>
            <w:r/>
            <w:r>
              <w:rPr>
                <w:rFonts w:ascii="Source Sans 3" w:hAnsi="Source Sans 3" w:cs="Source Sans 3"/>
                <w:color w:val="272421"/>
                <w:sz w:val="18"/>
              </w:rPr>
              <w:t>0.884</w:t>
            </w:r>
          </w:p>
        </w:tc>
      </w:tr>
      <w:tr>
        <w:tc>
          <w:tcPr>
            <w:tcW w:type="dxa" w:w="4759"/>
          </w:tcPr>
          <w:p>
            <w:pPr>
              <w:spacing w:before="60" w:after="60"/>
            </w:pPr>
            <w:r/>
            <w:r>
              <w:rPr>
                <w:rFonts w:ascii="Source Sans 3" w:hAnsi="Source Sans 3" w:cs="Source Sans 3"/>
                <w:color w:val="272421"/>
                <w:sz w:val="18"/>
              </w:rPr>
              <w:t>Weighted SPI</w:t>
            </w:r>
          </w:p>
        </w:tc>
        <w:tc>
          <w:tcPr>
            <w:tcW w:type="dxa" w:w="4759"/>
          </w:tcPr>
          <w:p>
            <w:pPr>
              <w:spacing w:before="60" w:after="60"/>
            </w:pPr>
            <w:r/>
            <w:r>
              <w:rPr>
                <w:rFonts w:ascii="Source Sans 3" w:hAnsi="Source Sans 3" w:cs="Source Sans 3"/>
                <w:color w:val="272421"/>
                <w:sz w:val="18"/>
              </w:rPr>
              <w:t>0.987</w:t>
            </w:r>
          </w:p>
        </w:tc>
      </w:tr>
      <w:tr>
        <w:tc>
          <w:tcPr>
            <w:tcW w:type="dxa" w:w="4759"/>
            <w:shd w:val="clear" w:color="auto" w:fill="F4F0E8"/>
          </w:tcPr>
          <w:p>
            <w:pPr>
              <w:spacing w:before="60" w:after="60"/>
            </w:pPr>
            <w:r/>
            <w:r>
              <w:rPr>
                <w:rFonts w:ascii="Source Sans 3" w:hAnsi="Source Sans 3" w:cs="Source Sans 3"/>
                <w:color w:val="272421"/>
                <w:sz w:val="18"/>
              </w:rPr>
              <w:t>Average forecast delay</w:t>
            </w:r>
          </w:p>
        </w:tc>
        <w:tc>
          <w:tcPr>
            <w:tcW w:type="dxa" w:w="4759"/>
            <w:shd w:val="clear" w:color="auto" w:fill="F4F0E8"/>
          </w:tcPr>
          <w:p>
            <w:pPr>
              <w:spacing w:before="60" w:after="60"/>
            </w:pPr>
            <w:r/>
            <w:r>
              <w:rPr>
                <w:rFonts w:ascii="Source Sans 3" w:hAnsi="Source Sans 3" w:cs="Source Sans 3"/>
                <w:color w:val="272421"/>
                <w:sz w:val="18"/>
              </w:rPr>
              <w:t>33.7 days</w:t>
            </w:r>
          </w:p>
        </w:tc>
      </w:tr>
      <w:tr>
        <w:tc>
          <w:tcPr>
            <w:tcW w:type="dxa" w:w="4759"/>
          </w:tcPr>
          <w:p>
            <w:pPr>
              <w:spacing w:before="60" w:after="60"/>
            </w:pPr>
            <w:r/>
            <w:r>
              <w:rPr>
                <w:rFonts w:ascii="Source Sans 3" w:hAnsi="Source Sans 3" w:cs="Source Sans 3"/>
                <w:color w:val="272421"/>
                <w:sz w:val="18"/>
              </w:rPr>
              <w:t>Health distribution</w:t>
            </w:r>
          </w:p>
        </w:tc>
        <w:tc>
          <w:tcPr>
            <w:tcW w:type="dxa" w:w="4759"/>
          </w:tcPr>
          <w:p>
            <w:pPr>
              <w:spacing w:before="60" w:after="60"/>
            </w:pPr>
            <w:r/>
            <w:r>
              <w:rPr>
                <w:rFonts w:ascii="Source Sans 3" w:hAnsi="Source Sans 3" w:cs="Source Sans 3"/>
                <w:color w:val="272421"/>
                <w:sz w:val="18"/>
              </w:rPr>
              <w:t>50 Red / 13 Yellow / 12 Green</w:t>
            </w:r>
          </w:p>
        </w:tc>
      </w:tr>
    </w:tbl>
    <w:p/>
    <w:p>
      <w:pPr>
        <w:pStyle w:val="Heading2"/>
      </w:pPr>
      <w:r>
        <w:rPr>
          <w:b w:val="0"/>
          <w:i w:val="0"/>
        </w:rPr>
        <w:t>Principal Findings</w:t>
      </w:r>
    </w:p>
    <w:p>
      <w:pPr>
        <w:pStyle w:val="ListBullet"/>
      </w:pPr>
      <w:r>
        <w:rPr>
          <w:b w:val="0"/>
          <w:i w:val="0"/>
        </w:rPr>
        <w:t>Cost performance was the principal exposure. Weighted CPI was 0.884, and aggregate EAC was 13.0% above BAC.</w:t>
      </w:r>
    </w:p>
    <w:p>
      <w:pPr>
        <w:pStyle w:val="ListBullet"/>
      </w:pPr>
      <w:r>
        <w:rPr>
          <w:b w:val="0"/>
          <w:i w:val="0"/>
        </w:rPr>
        <w:t>Calendar delay remained material even though weighted SPI was near 1.00; average forecast delay was 33.7 days.</w:t>
      </w:r>
    </w:p>
    <w:p>
      <w:pPr>
        <w:pStyle w:val="ListBullet"/>
      </w:pPr>
      <w:r>
        <w:rPr>
          <w:b w:val="0"/>
          <w:i w:val="0"/>
        </w:rPr>
        <w:t>Contingency burn ratio had the strongest tested association with forecast overrun (Pearson r = 0.901).</w:t>
      </w:r>
    </w:p>
    <w:p>
      <w:pPr>
        <w:pStyle w:val="ListBullet"/>
      </w:pPr>
      <w:r>
        <w:rPr>
          <w:b w:val="0"/>
          <w:i w:val="0"/>
        </w:rPr>
        <w:t>Average RFI response time had a moderate positive association with schedule delay (Pearson r = 0.517).</w:t>
      </w:r>
    </w:p>
    <w:p>
      <w:pPr>
        <w:pStyle w:val="ListBullet"/>
      </w:pPr>
      <w:r>
        <w:rPr>
          <w:b w:val="0"/>
          <w:i w:val="0"/>
        </w:rPr>
        <w:t>Approved change value totaled $151,618,700, with owner-directed changes producing the largest approved value.</w:t>
      </w:r>
    </w:p>
    <w:p>
      <w:pPr>
        <w:pStyle w:val="ListBullet"/>
      </w:pPr>
      <w:r>
        <w:rPr>
          <w:b w:val="0"/>
          <w:i w:val="0"/>
        </w:rPr>
        <w:t>The highest-priority projects showed simultaneous cost inefficiency, forecast overrun, delay, and contingency exhaustion.</w:t>
      </w:r>
    </w:p>
    <w:p>
      <w:pPr>
        <w:pStyle w:val="Heading2"/>
      </w:pPr>
      <w:r>
        <w:rPr>
          <w:b w:val="0"/>
          <w:i w:val="0"/>
        </w:rPr>
        <w:t>Recommended Decision</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Approve a 90-day Project Controls Recovery and Automation Program: intervene on the top 10 projects, standardize cost/schedule/contingency/change/RFI governance, automate Power BI refresh and alerts, and pilot governed predictive analytics with In Project AI.</w:t>
            </w:r>
          </w:p>
        </w:tc>
      </w:tr>
    </w:tbl>
    <w:p/>
    <w:p>
      <w:pPr>
        <w:pStyle w:val="Heading1"/>
        <w:pBdr>
          <w:bottom w:val="single" w:sz="8" w:space="4" w:color="A04732"/>
        </w:pBdr>
      </w:pPr>
      <w:r>
        <w:rPr>
          <w:b w:val="0"/>
          <w:i w:val="0"/>
        </w:rPr>
        <w:t>1. Project Overview and Business Task</w:t>
      </w:r>
    </w:p>
    <w:p>
      <w:pPr>
        <w:pStyle w:val="Heading2"/>
      </w:pPr>
      <w:r>
        <w:rPr>
          <w:b w:val="0"/>
          <w:i w:val="0"/>
        </w:rPr>
        <w:t>1.1 Business Scenario</w:t>
      </w:r>
    </w:p>
    <w:p>
      <w:pPr/>
      <w:r>
        <w:rPr>
          <w:b w:val="0"/>
          <w:i w:val="0"/>
        </w:rPr>
        <w:t>In Project LLC sought a portfolio-ready demonstration of how construction project-control data can support earlier intervention. The simulated source environment included budgets, monthly earned-value data, completion forecasts, change orders, RFIs, and contingency use.</w:t>
      </w:r>
    </w:p>
    <w:p>
      <w:pPr>
        <w:pStyle w:val="Heading2"/>
      </w:pPr>
      <w:r>
        <w:rPr>
          <w:b w:val="0"/>
          <w:i w:val="0"/>
        </w:rPr>
        <w:t>1.2 Business Task</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Which construction projects are most at risk of exceeding their approved budgets or planned completion dates, and what project-control indicators provide the earliest evidence of that risk?</w:t>
            </w:r>
          </w:p>
        </w:tc>
      </w:tr>
    </w:tbl>
    <w:p/>
    <w:p>
      <w:pPr>
        <w:pStyle w:val="Heading2"/>
      </w:pPr>
      <w:r>
        <w:rPr>
          <w:b w:val="0"/>
          <w:i w:val="0"/>
        </w:rPr>
        <w:t>1.3 Stakeholders</w:t>
      </w:r>
    </w:p>
    <w:p>
      <w:pPr>
        <w:pStyle w:val="ListBullet"/>
      </w:pPr>
      <w:r>
        <w:rPr>
          <w:b w:val="0"/>
          <w:i w:val="0"/>
        </w:rPr>
        <w:t>Executive leadership and portfolio owners</w:t>
      </w:r>
    </w:p>
    <w:p>
      <w:pPr>
        <w:pStyle w:val="ListBullet"/>
      </w:pPr>
      <w:r>
        <w:rPr>
          <w:b w:val="0"/>
          <w:i w:val="0"/>
        </w:rPr>
        <w:t>Project-controls management</w:t>
      </w:r>
    </w:p>
    <w:p>
      <w:pPr>
        <w:pStyle w:val="ListBullet"/>
      </w:pPr>
      <w:r>
        <w:rPr>
          <w:b w:val="0"/>
          <w:i w:val="0"/>
        </w:rPr>
        <w:t>Project managers and superintendents</w:t>
      </w:r>
    </w:p>
    <w:p>
      <w:pPr>
        <w:pStyle w:val="ListBullet"/>
      </w:pPr>
      <w:r>
        <w:rPr>
          <w:b w:val="0"/>
          <w:i w:val="0"/>
        </w:rPr>
        <w:t>Cost managers and schedulers</w:t>
      </w:r>
    </w:p>
    <w:p>
      <w:pPr>
        <w:pStyle w:val="ListBullet"/>
      </w:pPr>
      <w:r>
        <w:rPr>
          <w:b w:val="0"/>
          <w:i w:val="0"/>
        </w:rPr>
        <w:t>Design managers and discipline leads</w:t>
      </w:r>
    </w:p>
    <w:p>
      <w:pPr>
        <w:pStyle w:val="ListBullet"/>
      </w:pPr>
      <w:r>
        <w:rPr>
          <w:b w:val="0"/>
          <w:i w:val="0"/>
        </w:rPr>
        <w:t>In Project LLC and portfolio reviewers</w:t>
      </w:r>
    </w:p>
    <w:p>
      <w:pPr>
        <w:pStyle w:val="Heading2"/>
      </w:pPr>
      <w:r>
        <w:rPr>
          <w:b w:val="0"/>
          <w:i w:val="0"/>
        </w:rPr>
        <w:t>1.4 Analytical Framework</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Phase</w:t>
            </w:r>
          </w:p>
        </w:tc>
        <w:tc>
          <w:tcPr>
            <w:tcW w:type="dxa" w:w="4759"/>
            <w:shd w:val="clear" w:color="auto" w:fill="02000B"/>
          </w:tcPr>
          <w:p>
            <w:pPr>
              <w:spacing w:before="60" w:after="60"/>
            </w:pPr>
            <w:r/>
            <w:r>
              <w:rPr>
                <w:rFonts w:ascii="Roboto Slab" w:hAnsi="Roboto Slab" w:cs="Roboto Slab"/>
                <w:b/>
                <w:color w:val="FFFFFF"/>
                <w:sz w:val="18"/>
              </w:rPr>
              <w:t>Purpose</w:t>
            </w:r>
          </w:p>
        </w:tc>
      </w:tr>
      <w:tr>
        <w:tc>
          <w:tcPr>
            <w:tcW w:type="dxa" w:w="4759"/>
          </w:tcPr>
          <w:p>
            <w:pPr>
              <w:spacing w:before="60" w:after="60"/>
            </w:pPr>
            <w:r/>
            <w:r>
              <w:rPr>
                <w:rFonts w:ascii="Source Sans 3" w:hAnsi="Source Sans 3" w:cs="Source Sans 3"/>
                <w:color w:val="272421"/>
                <w:sz w:val="18"/>
              </w:rPr>
              <w:t>Ask</w:t>
            </w:r>
          </w:p>
        </w:tc>
        <w:tc>
          <w:tcPr>
            <w:tcW w:type="dxa" w:w="4759"/>
          </w:tcPr>
          <w:p>
            <w:pPr>
              <w:spacing w:before="60" w:after="60"/>
            </w:pPr>
            <w:r/>
            <w:r>
              <w:rPr>
                <w:rFonts w:ascii="Source Sans 3" w:hAnsi="Source Sans 3" w:cs="Source Sans 3"/>
                <w:color w:val="272421"/>
                <w:sz w:val="18"/>
              </w:rPr>
              <w:t>Define the problem, stakeholders, scope, questions, KPIs, and success criteria.</w:t>
            </w:r>
          </w:p>
        </w:tc>
      </w:tr>
      <w:tr>
        <w:tc>
          <w:tcPr>
            <w:tcW w:type="dxa" w:w="4759"/>
            <w:shd w:val="clear" w:color="auto" w:fill="F4F0E8"/>
          </w:tcPr>
          <w:p>
            <w:pPr>
              <w:spacing w:before="60" w:after="60"/>
            </w:pPr>
            <w:r/>
            <w:r>
              <w:rPr>
                <w:rFonts w:ascii="Source Sans 3" w:hAnsi="Source Sans 3" w:cs="Source Sans 3"/>
                <w:color w:val="272421"/>
                <w:sz w:val="18"/>
              </w:rPr>
              <w:t>Prepare</w:t>
            </w:r>
          </w:p>
        </w:tc>
        <w:tc>
          <w:tcPr>
            <w:tcW w:type="dxa" w:w="4759"/>
            <w:shd w:val="clear" w:color="auto" w:fill="F4F0E8"/>
          </w:tcPr>
          <w:p>
            <w:pPr>
              <w:spacing w:before="60" w:after="60"/>
            </w:pPr>
            <w:r/>
            <w:r>
              <w:rPr>
                <w:rFonts w:ascii="Source Sans 3" w:hAnsi="Source Sans 3" w:cs="Source Sans 3"/>
                <w:color w:val="272421"/>
                <w:sz w:val="18"/>
              </w:rPr>
              <w:t>Select a transparent data strategy, relational model, dictionary, and integrity rules.</w:t>
            </w:r>
          </w:p>
        </w:tc>
      </w:tr>
      <w:tr>
        <w:tc>
          <w:tcPr>
            <w:tcW w:type="dxa" w:w="4759"/>
          </w:tcPr>
          <w:p>
            <w:pPr>
              <w:spacing w:before="60" w:after="60"/>
            </w:pPr>
            <w:r/>
            <w:r>
              <w:rPr>
                <w:rFonts w:ascii="Source Sans 3" w:hAnsi="Source Sans 3" w:cs="Source Sans 3"/>
                <w:color w:val="272421"/>
                <w:sz w:val="18"/>
              </w:rPr>
              <w:t>Process</w:t>
            </w:r>
          </w:p>
        </w:tc>
        <w:tc>
          <w:tcPr>
            <w:tcW w:type="dxa" w:w="4759"/>
          </w:tcPr>
          <w:p>
            <w:pPr>
              <w:spacing w:before="60" w:after="60"/>
            </w:pPr>
            <w:r/>
            <w:r>
              <w:rPr>
                <w:rFonts w:ascii="Source Sans 3" w:hAnsi="Source Sans 3" w:cs="Source Sans 3"/>
                <w:color w:val="272421"/>
                <w:sz w:val="18"/>
              </w:rPr>
              <w:t>Profile, clean, validate, and document transformations while preserving raw data.</w:t>
            </w:r>
          </w:p>
        </w:tc>
      </w:tr>
      <w:tr>
        <w:tc>
          <w:tcPr>
            <w:tcW w:type="dxa" w:w="4759"/>
            <w:shd w:val="clear" w:color="auto" w:fill="F4F0E8"/>
          </w:tcPr>
          <w:p>
            <w:pPr>
              <w:spacing w:before="60" w:after="60"/>
            </w:pPr>
            <w:r/>
            <w:r>
              <w:rPr>
                <w:rFonts w:ascii="Source Sans 3" w:hAnsi="Source Sans 3" w:cs="Source Sans 3"/>
                <w:color w:val="272421"/>
                <w:sz w:val="18"/>
              </w:rPr>
              <w:t>Analyze</w:t>
            </w:r>
          </w:p>
        </w:tc>
        <w:tc>
          <w:tcPr>
            <w:tcW w:type="dxa" w:w="4759"/>
            <w:shd w:val="clear" w:color="auto" w:fill="F4F0E8"/>
          </w:tcPr>
          <w:p>
            <w:pPr>
              <w:spacing w:before="60" w:after="60"/>
            </w:pPr>
            <w:r/>
            <w:r>
              <w:rPr>
                <w:rFonts w:ascii="Source Sans 3" w:hAnsi="Source Sans 3" w:cs="Source Sans 3"/>
                <w:color w:val="272421"/>
                <w:sz w:val="18"/>
              </w:rPr>
              <w:t>Calculate project-control metrics, compare segments, test associations, and prioritize projects.</w:t>
            </w:r>
          </w:p>
        </w:tc>
      </w:tr>
      <w:tr>
        <w:tc>
          <w:tcPr>
            <w:tcW w:type="dxa" w:w="4759"/>
          </w:tcPr>
          <w:p>
            <w:pPr>
              <w:spacing w:before="60" w:after="60"/>
            </w:pPr>
            <w:r/>
            <w:r>
              <w:rPr>
                <w:rFonts w:ascii="Source Sans 3" w:hAnsi="Source Sans 3" w:cs="Source Sans 3"/>
                <w:color w:val="272421"/>
                <w:sz w:val="18"/>
              </w:rPr>
              <w:t>Share</w:t>
            </w:r>
          </w:p>
        </w:tc>
        <w:tc>
          <w:tcPr>
            <w:tcW w:type="dxa" w:w="4759"/>
          </w:tcPr>
          <w:p>
            <w:pPr>
              <w:spacing w:before="60" w:after="60"/>
            </w:pPr>
            <w:r/>
            <w:r>
              <w:rPr>
                <w:rFonts w:ascii="Source Sans 3" w:hAnsi="Source Sans 3" w:cs="Source Sans 3"/>
                <w:color w:val="272421"/>
                <w:sz w:val="18"/>
              </w:rPr>
              <w:t>Communicate portfolio exposure, project exceptions, patterns, and limitations.</w:t>
            </w:r>
          </w:p>
        </w:tc>
      </w:tr>
      <w:tr>
        <w:tc>
          <w:tcPr>
            <w:tcW w:type="dxa" w:w="4759"/>
            <w:shd w:val="clear" w:color="auto" w:fill="F4F0E8"/>
          </w:tcPr>
          <w:p>
            <w:pPr>
              <w:spacing w:before="60" w:after="60"/>
            </w:pPr>
            <w:r/>
            <w:r>
              <w:rPr>
                <w:rFonts w:ascii="Source Sans 3" w:hAnsi="Source Sans 3" w:cs="Source Sans 3"/>
                <w:color w:val="272421"/>
                <w:sz w:val="18"/>
              </w:rPr>
              <w:t>Act</w:t>
            </w:r>
          </w:p>
        </w:tc>
        <w:tc>
          <w:tcPr>
            <w:tcW w:type="dxa" w:w="4759"/>
            <w:shd w:val="clear" w:color="auto" w:fill="F4F0E8"/>
          </w:tcPr>
          <w:p>
            <w:pPr>
              <w:spacing w:before="60" w:after="60"/>
            </w:pPr>
            <w:r/>
            <w:r>
              <w:rPr>
                <w:rFonts w:ascii="Source Sans 3" w:hAnsi="Source Sans 3" w:cs="Source Sans 3"/>
                <w:color w:val="272421"/>
                <w:sz w:val="18"/>
              </w:rPr>
              <w:t>Assign owners, interventions, governance, automation, and implementation targets.</w:t>
            </w:r>
          </w:p>
        </w:tc>
      </w:tr>
    </w:tbl>
    <w:p/>
    <w:p>
      <w:pPr>
        <w:pStyle w:val="Heading2"/>
      </w:pPr>
      <w:r>
        <w:rPr>
          <w:b w:val="0"/>
          <w:i w:val="0"/>
        </w:rPr>
        <w:t>1.5 Scope</w:t>
      </w:r>
    </w:p>
    <w:p>
      <w:pPr>
        <w:pStyle w:val="ListBullet"/>
      </w:pPr>
      <w:r>
        <w:rPr>
          <w:b w:val="0"/>
          <w:i w:val="0"/>
        </w:rPr>
        <w:t>Included: cost, schedule, EVM, forecasts, change orders, RFIs, contingency, project attributes, descriptive and diagnostic analytics.</w:t>
      </w:r>
    </w:p>
    <w:p>
      <w:pPr>
        <w:pStyle w:val="ListBullet"/>
      </w:pPr>
      <w:r>
        <w:rPr>
          <w:b w:val="0"/>
          <w:i w:val="0"/>
        </w:rPr>
        <w:t>Excluded: actual client data, legal claims, safety, quality, subcontractor solvency, detailed cash flow, and production deployment.</w:t>
      </w:r>
    </w:p>
    <w:p>
      <w:pPr>
        <w:pStyle w:val="Heading1"/>
        <w:pBdr>
          <w:bottom w:val="single" w:sz="8" w:space="4" w:color="A04732"/>
        </w:pBdr>
      </w:pPr>
      <w:r>
        <w:rPr>
          <w:b w:val="0"/>
          <w:i w:val="0"/>
        </w:rPr>
        <w:t>2. Ask Phase</w:t>
      </w:r>
    </w:p>
    <w:p>
      <w:pPr>
        <w:pStyle w:val="Heading2"/>
      </w:pPr>
      <w:r>
        <w:rPr>
          <w:b w:val="0"/>
          <w:i w:val="0"/>
        </w:rPr>
        <w:t>2.1 Problem Statement</w:t>
      </w:r>
    </w:p>
    <w:p>
      <w:pPr/>
      <w:r>
        <w:rPr>
          <w:b w:val="0"/>
          <w:i w:val="0"/>
        </w:rPr>
        <w:t>Fragmented project-control information can cause late recognition of deteriorating cost and schedule performance, inconsistent prioritization, and weak executive visibility.</w:t>
      </w:r>
    </w:p>
    <w:p>
      <w:pPr>
        <w:pStyle w:val="Heading2"/>
      </w:pPr>
      <w:r>
        <w:rPr>
          <w:b w:val="0"/>
          <w:i w:val="0"/>
        </w:rPr>
        <w:t>2.2 Primary and Supporting Questions</w:t>
      </w:r>
    </w:p>
    <w:p>
      <w:pPr/>
      <w:r>
        <w:rPr>
          <w:b w:val="0"/>
          <w:i w:val="0"/>
        </w:rPr>
        <w:t>1. Which projects have the greatest forecast cost or schedule exposure?</w:t>
      </w:r>
    </w:p>
    <w:p>
      <w:pPr/>
      <w:r>
        <w:rPr>
          <w:b w:val="0"/>
          <w:i w:val="0"/>
        </w:rPr>
        <w:t>2. Which projects have unfavorable CPI, SPI, EAC, VAC, or completion-date variance?</w:t>
      </w:r>
    </w:p>
    <w:p>
      <w:pPr/>
      <w:r>
        <w:rPr>
          <w:b w:val="0"/>
          <w:i w:val="0"/>
        </w:rPr>
        <w:t>3. How do approved and pending changes affect exposure?</w:t>
      </w:r>
    </w:p>
    <w:p>
      <w:pPr/>
      <w:r>
        <w:rPr>
          <w:b w:val="0"/>
          <w:i w:val="0"/>
        </w:rPr>
        <w:t>4. Are RFI response times or backlogs associated with schedule pressure?</w:t>
      </w:r>
    </w:p>
    <w:p>
      <w:pPr/>
      <w:r>
        <w:rPr>
          <w:b w:val="0"/>
          <w:i w:val="0"/>
        </w:rPr>
        <w:t>5. Is contingency being consumed faster than physical progress?</w:t>
      </w:r>
    </w:p>
    <w:p>
      <w:pPr/>
      <w:r>
        <w:rPr>
          <w:b w:val="0"/>
          <w:i w:val="0"/>
        </w:rPr>
        <w:t>6. Which indicators should trigger management intervention?</w:t>
      </w:r>
    </w:p>
    <w:p>
      <w:pPr>
        <w:pStyle w:val="Heading2"/>
      </w:pPr>
      <w:r>
        <w:rPr>
          <w:b w:val="0"/>
          <w:i w:val="0"/>
        </w:rPr>
        <w:t>2.3 KPI Framework</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Area</w:t>
            </w:r>
          </w:p>
        </w:tc>
        <w:tc>
          <w:tcPr>
            <w:tcW w:type="dxa" w:w="4759"/>
            <w:shd w:val="clear" w:color="auto" w:fill="02000B"/>
          </w:tcPr>
          <w:p>
            <w:pPr>
              <w:spacing w:before="60" w:after="60"/>
            </w:pPr>
            <w:r/>
            <w:r>
              <w:rPr>
                <w:rFonts w:ascii="Roboto Slab" w:hAnsi="Roboto Slab" w:cs="Roboto Slab"/>
                <w:b/>
                <w:color w:val="FFFFFF"/>
                <w:sz w:val="18"/>
              </w:rPr>
              <w:t>Measures</w:t>
            </w:r>
          </w:p>
        </w:tc>
      </w:tr>
      <w:tr>
        <w:tc>
          <w:tcPr>
            <w:tcW w:type="dxa" w:w="4759"/>
          </w:tcPr>
          <w:p>
            <w:pPr>
              <w:spacing w:before="60" w:after="60"/>
            </w:pPr>
            <w:r/>
            <w:r>
              <w:rPr>
                <w:rFonts w:ascii="Source Sans 3" w:hAnsi="Source Sans 3" w:cs="Source Sans 3"/>
                <w:color w:val="272421"/>
                <w:sz w:val="18"/>
              </w:rPr>
              <w:t>Cost</w:t>
            </w:r>
          </w:p>
        </w:tc>
        <w:tc>
          <w:tcPr>
            <w:tcW w:type="dxa" w:w="4759"/>
          </w:tcPr>
          <w:p>
            <w:pPr>
              <w:spacing w:before="60" w:after="60"/>
            </w:pPr>
            <w:r/>
            <w:r>
              <w:rPr>
                <w:rFonts w:ascii="Source Sans 3" w:hAnsi="Source Sans 3" w:cs="Source Sans 3"/>
                <w:color w:val="272421"/>
                <w:sz w:val="18"/>
              </w:rPr>
              <w:t>CPI, CV, EAC, ETC, VAC, forecast overrun, cost growth</w:t>
            </w:r>
          </w:p>
        </w:tc>
      </w:tr>
      <w:tr>
        <w:tc>
          <w:tcPr>
            <w:tcW w:type="dxa" w:w="4759"/>
            <w:shd w:val="clear" w:color="auto" w:fill="F4F0E8"/>
          </w:tcPr>
          <w:p>
            <w:pPr>
              <w:spacing w:before="60" w:after="60"/>
            </w:pPr>
            <w:r/>
            <w:r>
              <w:rPr>
                <w:rFonts w:ascii="Source Sans 3" w:hAnsi="Source Sans 3" w:cs="Source Sans 3"/>
                <w:color w:val="272421"/>
                <w:sz w:val="18"/>
              </w:rPr>
              <w:t>Schedule</w:t>
            </w:r>
          </w:p>
        </w:tc>
        <w:tc>
          <w:tcPr>
            <w:tcW w:type="dxa" w:w="4759"/>
            <w:shd w:val="clear" w:color="auto" w:fill="F4F0E8"/>
          </w:tcPr>
          <w:p>
            <w:pPr>
              <w:spacing w:before="60" w:after="60"/>
            </w:pPr>
            <w:r/>
            <w:r>
              <w:rPr>
                <w:rFonts w:ascii="Source Sans 3" w:hAnsi="Source Sans 3" w:cs="Source Sans 3"/>
                <w:color w:val="272421"/>
                <w:sz w:val="18"/>
              </w:rPr>
              <w:t>SPI, SV, forecast delay days, planned vs forecast completion</w:t>
            </w:r>
          </w:p>
        </w:tc>
      </w:tr>
      <w:tr>
        <w:tc>
          <w:tcPr>
            <w:tcW w:type="dxa" w:w="4759"/>
          </w:tcPr>
          <w:p>
            <w:pPr>
              <w:spacing w:before="60" w:after="60"/>
            </w:pPr>
            <w:r/>
            <w:r>
              <w:rPr>
                <w:rFonts w:ascii="Source Sans 3" w:hAnsi="Source Sans 3" w:cs="Source Sans 3"/>
                <w:color w:val="272421"/>
                <w:sz w:val="18"/>
              </w:rPr>
              <w:t>Change</w:t>
            </w:r>
          </w:p>
        </w:tc>
        <w:tc>
          <w:tcPr>
            <w:tcW w:type="dxa" w:w="4759"/>
          </w:tcPr>
          <w:p>
            <w:pPr>
              <w:spacing w:before="60" w:after="60"/>
            </w:pPr>
            <w:r/>
            <w:r>
              <w:rPr>
                <w:rFonts w:ascii="Source Sans 3" w:hAnsi="Source Sans 3" w:cs="Source Sans 3"/>
                <w:color w:val="272421"/>
                <w:sz w:val="18"/>
              </w:rPr>
              <w:t>Approved CO %, pending CO %, approval time, schedule impact</w:t>
            </w:r>
          </w:p>
        </w:tc>
      </w:tr>
      <w:tr>
        <w:tc>
          <w:tcPr>
            <w:tcW w:type="dxa" w:w="4759"/>
            <w:shd w:val="clear" w:color="auto" w:fill="F4F0E8"/>
          </w:tcPr>
          <w:p>
            <w:pPr>
              <w:spacing w:before="60" w:after="60"/>
            </w:pPr>
            <w:r/>
            <w:r>
              <w:rPr>
                <w:rFonts w:ascii="Source Sans 3" w:hAnsi="Source Sans 3" w:cs="Source Sans 3"/>
                <w:color w:val="272421"/>
                <w:sz w:val="18"/>
              </w:rPr>
              <w:t>RFI</w:t>
            </w:r>
          </w:p>
        </w:tc>
        <w:tc>
          <w:tcPr>
            <w:tcW w:type="dxa" w:w="4759"/>
            <w:shd w:val="clear" w:color="auto" w:fill="F4F0E8"/>
          </w:tcPr>
          <w:p>
            <w:pPr>
              <w:spacing w:before="60" w:after="60"/>
            </w:pPr>
            <w:r/>
            <w:r>
              <w:rPr>
                <w:rFonts w:ascii="Source Sans 3" w:hAnsi="Source Sans 3" w:cs="Source Sans 3"/>
                <w:color w:val="272421"/>
                <w:sz w:val="18"/>
              </w:rPr>
              <w:t>Average response days, late rate, open count, impact rate</w:t>
            </w:r>
          </w:p>
        </w:tc>
      </w:tr>
      <w:tr>
        <w:tc>
          <w:tcPr>
            <w:tcW w:type="dxa" w:w="4759"/>
          </w:tcPr>
          <w:p>
            <w:pPr>
              <w:spacing w:before="60" w:after="60"/>
            </w:pPr>
            <w:r/>
            <w:r>
              <w:rPr>
                <w:rFonts w:ascii="Source Sans 3" w:hAnsi="Source Sans 3" w:cs="Source Sans 3"/>
                <w:color w:val="272421"/>
                <w:sz w:val="18"/>
              </w:rPr>
              <w:t>Contingency</w:t>
            </w:r>
          </w:p>
        </w:tc>
        <w:tc>
          <w:tcPr>
            <w:tcW w:type="dxa" w:w="4759"/>
          </w:tcPr>
          <w:p>
            <w:pPr>
              <w:spacing w:before="60" w:after="60"/>
            </w:pPr>
            <w:r/>
            <w:r>
              <w:rPr>
                <w:rFonts w:ascii="Source Sans 3" w:hAnsi="Source Sans 3" w:cs="Source Sans 3"/>
                <w:color w:val="272421"/>
                <w:sz w:val="18"/>
              </w:rPr>
              <w:t>Utilization %, burn ratio</w:t>
            </w:r>
          </w:p>
        </w:tc>
      </w:tr>
      <w:tr>
        <w:tc>
          <w:tcPr>
            <w:tcW w:type="dxa" w:w="4759"/>
            <w:shd w:val="clear" w:color="auto" w:fill="F4F0E8"/>
          </w:tcPr>
          <w:p>
            <w:pPr>
              <w:spacing w:before="60" w:after="60"/>
            </w:pPr>
            <w:r/>
            <w:r>
              <w:rPr>
                <w:rFonts w:ascii="Source Sans 3" w:hAnsi="Source Sans 3" w:cs="Source Sans 3"/>
                <w:color w:val="272421"/>
                <w:sz w:val="18"/>
              </w:rPr>
              <w:t>Decision</w:t>
            </w:r>
          </w:p>
        </w:tc>
        <w:tc>
          <w:tcPr>
            <w:tcW w:type="dxa" w:w="4759"/>
            <w:shd w:val="clear" w:color="auto" w:fill="F4F0E8"/>
          </w:tcPr>
          <w:p>
            <w:pPr>
              <w:spacing w:before="60" w:after="60"/>
            </w:pPr>
            <w:r/>
            <w:r>
              <w:rPr>
                <w:rFonts w:ascii="Source Sans 3" w:hAnsi="Source Sans 3" w:cs="Source Sans 3"/>
                <w:color w:val="272421"/>
                <w:sz w:val="18"/>
              </w:rPr>
              <w:t>Green/Yellow/Red status and transparent priority rank</w:t>
            </w:r>
          </w:p>
        </w:tc>
      </w:tr>
    </w:tbl>
    <w:p/>
    <w:p>
      <w:pPr>
        <w:pStyle w:val="Heading2"/>
      </w:pPr>
      <w:r>
        <w:rPr>
          <w:b w:val="0"/>
          <w:i w:val="0"/>
        </w:rPr>
        <w:t>2.4 Initial Health Thresholds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02000B"/>
          </w:tcPr>
          <w:p>
            <w:pPr>
              <w:spacing w:before="60" w:after="60"/>
            </w:pPr>
            <w:r/>
            <w:r>
              <w:rPr>
                <w:rFonts w:ascii="Roboto Slab" w:hAnsi="Roboto Slab" w:cs="Roboto Slab"/>
                <w:b/>
                <w:color w:val="FFFFFF"/>
                <w:sz w:val="18"/>
              </w:rPr>
              <w:t>Health</w:t>
            </w:r>
          </w:p>
        </w:tc>
        <w:tc>
          <w:tcPr>
            <w:tcW w:type="dxa" w:w="1586"/>
            <w:shd w:val="clear" w:color="auto" w:fill="02000B"/>
          </w:tcPr>
          <w:p>
            <w:pPr>
              <w:spacing w:before="60" w:after="60"/>
            </w:pPr>
            <w:r/>
            <w:r>
              <w:rPr>
                <w:rFonts w:ascii="Roboto Slab" w:hAnsi="Roboto Slab" w:cs="Roboto Slab"/>
                <w:b/>
                <w:color w:val="FFFFFF"/>
                <w:sz w:val="18"/>
              </w:rPr>
              <w:t>CPI/SPI</w:t>
            </w:r>
          </w:p>
        </w:tc>
        <w:tc>
          <w:tcPr>
            <w:tcW w:type="dxa" w:w="1586"/>
            <w:shd w:val="clear" w:color="auto" w:fill="02000B"/>
          </w:tcPr>
          <w:p>
            <w:pPr>
              <w:spacing w:before="60" w:after="60"/>
            </w:pPr>
            <w:r/>
            <w:r>
              <w:rPr>
                <w:rFonts w:ascii="Roboto Slab" w:hAnsi="Roboto Slab" w:cs="Roboto Slab"/>
                <w:b/>
                <w:color w:val="FFFFFF"/>
                <w:sz w:val="18"/>
              </w:rPr>
              <w:t>Forecast Overrun</w:t>
            </w:r>
          </w:p>
        </w:tc>
        <w:tc>
          <w:tcPr>
            <w:tcW w:type="dxa" w:w="1586"/>
            <w:shd w:val="clear" w:color="auto" w:fill="02000B"/>
          </w:tcPr>
          <w:p>
            <w:pPr>
              <w:spacing w:before="60" w:after="60"/>
            </w:pPr>
            <w:r/>
            <w:r>
              <w:rPr>
                <w:rFonts w:ascii="Roboto Slab" w:hAnsi="Roboto Slab" w:cs="Roboto Slab"/>
                <w:b/>
                <w:color w:val="FFFFFF"/>
                <w:sz w:val="18"/>
              </w:rPr>
              <w:t>Delay</w:t>
            </w:r>
          </w:p>
        </w:tc>
        <w:tc>
          <w:tcPr>
            <w:tcW w:type="dxa" w:w="1586"/>
            <w:shd w:val="clear" w:color="auto" w:fill="02000B"/>
          </w:tcPr>
          <w:p>
            <w:pPr>
              <w:spacing w:before="60" w:after="60"/>
            </w:pPr>
            <w:r/>
            <w:r>
              <w:rPr>
                <w:rFonts w:ascii="Roboto Slab" w:hAnsi="Roboto Slab" w:cs="Roboto Slab"/>
                <w:b/>
                <w:color w:val="FFFFFF"/>
                <w:sz w:val="18"/>
              </w:rPr>
              <w:t>Contingency</w:t>
            </w:r>
          </w:p>
        </w:tc>
        <w:tc>
          <w:tcPr>
            <w:tcW w:type="dxa" w:w="1586"/>
            <w:shd w:val="clear" w:color="auto" w:fill="02000B"/>
          </w:tcPr>
          <w:p>
            <w:pPr>
              <w:spacing w:before="60" w:after="60"/>
            </w:pPr>
            <w:r/>
            <w:r>
              <w:rPr>
                <w:rFonts w:ascii="Roboto Slab" w:hAnsi="Roboto Slab" w:cs="Roboto Slab"/>
                <w:b/>
                <w:color w:val="FFFFFF"/>
                <w:sz w:val="18"/>
              </w:rPr>
              <w:t>Burn Ratio</w:t>
            </w:r>
          </w:p>
        </w:tc>
      </w:tr>
      <w:tr>
        <w:tc>
          <w:tcPr>
            <w:tcW w:type="dxa" w:w="1586"/>
          </w:tcPr>
          <w:p>
            <w:pPr>
              <w:spacing w:before="60" w:after="60"/>
            </w:pPr>
            <w:r/>
            <w:r>
              <w:rPr>
                <w:rFonts w:ascii="Source Sans 3" w:hAnsi="Source Sans 3" w:cs="Source Sans 3"/>
                <w:color w:val="272421"/>
                <w:sz w:val="18"/>
              </w:rPr>
              <w:t>Green</w:t>
            </w:r>
          </w:p>
        </w:tc>
        <w:tc>
          <w:tcPr>
            <w:tcW w:type="dxa" w:w="1586"/>
          </w:tcPr>
          <w:p>
            <w:pPr>
              <w:spacing w:before="60" w:after="60"/>
            </w:pPr>
            <w:r/>
            <w:r>
              <w:rPr>
                <w:rFonts w:ascii="Source Sans 3" w:hAnsi="Source Sans 3" w:cs="Source Sans 3"/>
                <w:color w:val="272421"/>
                <w:sz w:val="18"/>
              </w:rPr>
              <w:t>CPI/SPI ≥ 0.95</w:t>
            </w:r>
          </w:p>
        </w:tc>
        <w:tc>
          <w:tcPr>
            <w:tcW w:type="dxa" w:w="1586"/>
          </w:tcPr>
          <w:p>
            <w:pPr>
              <w:spacing w:before="60" w:after="60"/>
            </w:pPr>
            <w:r/>
            <w:r>
              <w:rPr>
                <w:rFonts w:ascii="Source Sans 3" w:hAnsi="Source Sans 3" w:cs="Source Sans 3"/>
                <w:color w:val="272421"/>
                <w:sz w:val="18"/>
              </w:rPr>
              <w:t>Overrun ≤5%</w:t>
            </w:r>
          </w:p>
        </w:tc>
        <w:tc>
          <w:tcPr>
            <w:tcW w:type="dxa" w:w="1586"/>
          </w:tcPr>
          <w:p>
            <w:pPr>
              <w:spacing w:before="60" w:after="60"/>
            </w:pPr>
            <w:r/>
            <w:r>
              <w:rPr>
                <w:rFonts w:ascii="Source Sans 3" w:hAnsi="Source Sans 3" w:cs="Source Sans 3"/>
                <w:color w:val="272421"/>
                <w:sz w:val="18"/>
              </w:rPr>
              <w:t>Delay ≤15 days</w:t>
            </w:r>
          </w:p>
        </w:tc>
        <w:tc>
          <w:tcPr>
            <w:tcW w:type="dxa" w:w="1586"/>
          </w:tcPr>
          <w:p>
            <w:pPr>
              <w:spacing w:before="60" w:after="60"/>
            </w:pPr>
            <w:r/>
            <w:r>
              <w:rPr>
                <w:rFonts w:ascii="Source Sans 3" w:hAnsi="Source Sans 3" w:cs="Source Sans 3"/>
                <w:color w:val="272421"/>
                <w:sz w:val="18"/>
              </w:rPr>
              <w:t>Contingency ≤75%</w:t>
            </w:r>
          </w:p>
        </w:tc>
        <w:tc>
          <w:tcPr>
            <w:tcW w:type="dxa" w:w="1586"/>
          </w:tcPr>
          <w:p>
            <w:pPr>
              <w:spacing w:before="60" w:after="60"/>
            </w:pPr>
            <w:r/>
            <w:r>
              <w:rPr>
                <w:rFonts w:ascii="Source Sans 3" w:hAnsi="Source Sans 3" w:cs="Source Sans 3"/>
                <w:color w:val="272421"/>
                <w:sz w:val="18"/>
              </w:rPr>
              <w:t>Burn ≤1.20x</w:t>
            </w:r>
          </w:p>
        </w:tc>
      </w:tr>
      <w:tr>
        <w:tc>
          <w:tcPr>
            <w:tcW w:type="dxa" w:w="1586"/>
            <w:shd w:val="clear" w:color="auto" w:fill="F4F0E8"/>
          </w:tcPr>
          <w:p>
            <w:pPr>
              <w:spacing w:before="60" w:after="60"/>
            </w:pPr>
            <w:r/>
            <w:r>
              <w:rPr>
                <w:rFonts w:ascii="Source Sans 3" w:hAnsi="Source Sans 3" w:cs="Source Sans 3"/>
                <w:color w:val="272421"/>
                <w:sz w:val="18"/>
              </w:rPr>
              <w:t>Yellow</w:t>
            </w:r>
          </w:p>
        </w:tc>
        <w:tc>
          <w:tcPr>
            <w:tcW w:type="dxa" w:w="1586"/>
            <w:shd w:val="clear" w:color="auto" w:fill="F4F0E8"/>
          </w:tcPr>
          <w:p>
            <w:pPr>
              <w:spacing w:before="60" w:after="60"/>
            </w:pPr>
            <w:r/>
            <w:r>
              <w:rPr>
                <w:rFonts w:ascii="Source Sans 3" w:hAnsi="Source Sans 3" w:cs="Source Sans 3"/>
                <w:color w:val="272421"/>
                <w:sz w:val="18"/>
              </w:rPr>
              <w:t>CPI/SPI 0.90-0.95</w:t>
            </w:r>
          </w:p>
        </w:tc>
        <w:tc>
          <w:tcPr>
            <w:tcW w:type="dxa" w:w="1586"/>
            <w:shd w:val="clear" w:color="auto" w:fill="F4F0E8"/>
          </w:tcPr>
          <w:p>
            <w:pPr>
              <w:spacing w:before="60" w:after="60"/>
            </w:pPr>
            <w:r/>
            <w:r>
              <w:rPr>
                <w:rFonts w:ascii="Source Sans 3" w:hAnsi="Source Sans 3" w:cs="Source Sans 3"/>
                <w:color w:val="272421"/>
                <w:sz w:val="18"/>
              </w:rPr>
              <w:t>Overrun &gt;5%-10%</w:t>
            </w:r>
          </w:p>
        </w:tc>
        <w:tc>
          <w:tcPr>
            <w:tcW w:type="dxa" w:w="1586"/>
            <w:shd w:val="clear" w:color="auto" w:fill="F4F0E8"/>
          </w:tcPr>
          <w:p>
            <w:pPr>
              <w:spacing w:before="60" w:after="60"/>
            </w:pPr>
            <w:r/>
            <w:r>
              <w:rPr>
                <w:rFonts w:ascii="Source Sans 3" w:hAnsi="Source Sans 3" w:cs="Source Sans 3"/>
                <w:color w:val="272421"/>
                <w:sz w:val="18"/>
              </w:rPr>
              <w:t>Delay &gt;15-30 days</w:t>
            </w:r>
          </w:p>
        </w:tc>
        <w:tc>
          <w:tcPr>
            <w:tcW w:type="dxa" w:w="1586"/>
            <w:shd w:val="clear" w:color="auto" w:fill="F4F0E8"/>
          </w:tcPr>
          <w:p>
            <w:pPr>
              <w:spacing w:before="60" w:after="60"/>
            </w:pPr>
            <w:r/>
            <w:r>
              <w:rPr>
                <w:rFonts w:ascii="Source Sans 3" w:hAnsi="Source Sans 3" w:cs="Source Sans 3"/>
                <w:color w:val="272421"/>
                <w:sz w:val="18"/>
              </w:rPr>
              <w:t>Contingency &gt;75%-90%</w:t>
            </w:r>
          </w:p>
        </w:tc>
        <w:tc>
          <w:tcPr>
            <w:tcW w:type="dxa" w:w="1586"/>
            <w:shd w:val="clear" w:color="auto" w:fill="F4F0E8"/>
          </w:tcPr>
          <w:p>
            <w:pPr>
              <w:spacing w:before="60" w:after="60"/>
            </w:pPr>
            <w:r/>
            <w:r>
              <w:rPr>
                <w:rFonts w:ascii="Source Sans 3" w:hAnsi="Source Sans 3" w:cs="Source Sans 3"/>
                <w:color w:val="272421"/>
                <w:sz w:val="18"/>
              </w:rPr>
              <w:t>Burn &gt;1.20x-1.50x</w:t>
            </w:r>
          </w:p>
        </w:tc>
      </w:tr>
      <w:tr>
        <w:tc>
          <w:tcPr>
            <w:tcW w:type="dxa" w:w="1586"/>
          </w:tcPr>
          <w:p>
            <w:pPr>
              <w:spacing w:before="60" w:after="60"/>
            </w:pPr>
            <w:r/>
            <w:r>
              <w:rPr>
                <w:rFonts w:ascii="Source Sans 3" w:hAnsi="Source Sans 3" w:cs="Source Sans 3"/>
                <w:color w:val="272421"/>
                <w:sz w:val="18"/>
              </w:rPr>
              <w:t>Red</w:t>
            </w:r>
          </w:p>
        </w:tc>
        <w:tc>
          <w:tcPr>
            <w:tcW w:type="dxa" w:w="1586"/>
          </w:tcPr>
          <w:p>
            <w:pPr>
              <w:spacing w:before="60" w:after="60"/>
            </w:pPr>
            <w:r/>
            <w:r>
              <w:rPr>
                <w:rFonts w:ascii="Source Sans 3" w:hAnsi="Source Sans 3" w:cs="Source Sans 3"/>
                <w:color w:val="272421"/>
                <w:sz w:val="18"/>
              </w:rPr>
              <w:t>CPI/SPI &lt;0.90</w:t>
            </w:r>
          </w:p>
        </w:tc>
        <w:tc>
          <w:tcPr>
            <w:tcW w:type="dxa" w:w="1586"/>
          </w:tcPr>
          <w:p>
            <w:pPr>
              <w:spacing w:before="60" w:after="60"/>
            </w:pPr>
            <w:r/>
            <w:r>
              <w:rPr>
                <w:rFonts w:ascii="Source Sans 3" w:hAnsi="Source Sans 3" w:cs="Source Sans 3"/>
                <w:color w:val="272421"/>
                <w:sz w:val="18"/>
              </w:rPr>
              <w:t>Overrun &gt;10%</w:t>
            </w:r>
          </w:p>
        </w:tc>
        <w:tc>
          <w:tcPr>
            <w:tcW w:type="dxa" w:w="1586"/>
          </w:tcPr>
          <w:p>
            <w:pPr>
              <w:spacing w:before="60" w:after="60"/>
            </w:pPr>
            <w:r/>
            <w:r>
              <w:rPr>
                <w:rFonts w:ascii="Source Sans 3" w:hAnsi="Source Sans 3" w:cs="Source Sans 3"/>
                <w:color w:val="272421"/>
                <w:sz w:val="18"/>
              </w:rPr>
              <w:t>Delay &gt;30 days</w:t>
            </w:r>
          </w:p>
        </w:tc>
        <w:tc>
          <w:tcPr>
            <w:tcW w:type="dxa" w:w="1586"/>
          </w:tcPr>
          <w:p>
            <w:pPr>
              <w:spacing w:before="60" w:after="60"/>
            </w:pPr>
            <w:r/>
            <w:r>
              <w:rPr>
                <w:rFonts w:ascii="Source Sans 3" w:hAnsi="Source Sans 3" w:cs="Source Sans 3"/>
                <w:color w:val="272421"/>
                <w:sz w:val="18"/>
              </w:rPr>
              <w:t>Contingency &gt;90%</w:t>
            </w:r>
          </w:p>
        </w:tc>
        <w:tc>
          <w:tcPr>
            <w:tcW w:type="dxa" w:w="1586"/>
          </w:tcPr>
          <w:p>
            <w:pPr>
              <w:spacing w:before="60" w:after="60"/>
            </w:pPr>
            <w:r/>
            <w:r>
              <w:rPr>
                <w:rFonts w:ascii="Source Sans 3" w:hAnsi="Source Sans 3" w:cs="Source Sans 3"/>
                <w:color w:val="272421"/>
                <w:sz w:val="18"/>
              </w:rPr>
              <w:t>Burn &gt;1.50x</w:t>
            </w:r>
          </w:p>
        </w:tc>
      </w:tr>
    </w:tbl>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These thresholds are portfolio assumptions for the case study. They are not universal construction standards.</w:t>
            </w:r>
          </w:p>
        </w:tc>
      </w:tr>
    </w:tbl>
    <w:p/>
    <w:p>
      <w:pPr>
        <w:pStyle w:val="Heading1"/>
        <w:pBdr>
          <w:bottom w:val="single" w:sz="8" w:space="4" w:color="A04732"/>
        </w:pBdr>
      </w:pPr>
      <w:r>
        <w:rPr>
          <w:b w:val="0"/>
          <w:i w:val="0"/>
        </w:rPr>
        <w:t>3. Prepare Phase</w:t>
      </w:r>
    </w:p>
    <w:p>
      <w:pPr>
        <w:pStyle w:val="Heading2"/>
      </w:pPr>
      <w:r>
        <w:rPr>
          <w:b w:val="0"/>
          <w:i w:val="0"/>
        </w:rPr>
        <w:t>3.1 Data Strategy</w:t>
      </w:r>
    </w:p>
    <w:p>
      <w:pPr/>
      <w:r>
        <w:rPr>
          <w:b w:val="0"/>
          <w:i w:val="0"/>
        </w:rPr>
        <w:t>A realistic synthetic dataset was selected because public construction datasets rarely provide monthly Planned Value, Earned Value, Actual Cost, contingency consumption, change-order detail, and RFI response data in one complete model. The synthetic approach enabled a transparent, reproducible portfolio without exposing confidential information.</w:t>
      </w:r>
    </w:p>
    <w:p>
      <w:pPr>
        <w:pStyle w:val="Heading2"/>
      </w:pPr>
      <w:r>
        <w:rPr>
          <w:b w:val="0"/>
          <w:i w:val="0"/>
        </w:rPr>
        <w:t>3.2 Dataset Scope</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Component</w:t>
            </w:r>
          </w:p>
        </w:tc>
        <w:tc>
          <w:tcPr>
            <w:tcW w:type="dxa" w:w="4759"/>
            <w:shd w:val="clear" w:color="auto" w:fill="02000B"/>
          </w:tcPr>
          <w:p>
            <w:pPr>
              <w:spacing w:before="60" w:after="60"/>
            </w:pPr>
            <w:r/>
            <w:r>
              <w:rPr>
                <w:rFonts w:ascii="Roboto Slab" w:hAnsi="Roboto Slab" w:cs="Roboto Slab"/>
                <w:b/>
                <w:color w:val="FFFFFF"/>
                <w:sz w:val="18"/>
              </w:rPr>
              <w:t>Scope</w:t>
            </w:r>
          </w:p>
        </w:tc>
      </w:tr>
      <w:tr>
        <w:tc>
          <w:tcPr>
            <w:tcW w:type="dxa" w:w="4759"/>
          </w:tcPr>
          <w:p>
            <w:pPr>
              <w:spacing w:before="60" w:after="60"/>
            </w:pPr>
            <w:r/>
            <w:r>
              <w:rPr>
                <w:rFonts w:ascii="Source Sans 3" w:hAnsi="Source Sans 3" w:cs="Source Sans 3"/>
                <w:color w:val="272421"/>
                <w:sz w:val="18"/>
              </w:rPr>
              <w:t>Projects</w:t>
            </w:r>
          </w:p>
        </w:tc>
        <w:tc>
          <w:tcPr>
            <w:tcW w:type="dxa" w:w="4759"/>
          </w:tcPr>
          <w:p>
            <w:pPr>
              <w:spacing w:before="60" w:after="60"/>
            </w:pPr>
            <w:r/>
            <w:r>
              <w:rPr>
                <w:rFonts w:ascii="Source Sans 3" w:hAnsi="Source Sans 3" w:cs="Source Sans 3"/>
                <w:color w:val="272421"/>
                <w:sz w:val="18"/>
              </w:rPr>
              <w:t>75 intended unique projects</w:t>
            </w:r>
          </w:p>
        </w:tc>
      </w:tr>
      <w:tr>
        <w:tc>
          <w:tcPr>
            <w:tcW w:type="dxa" w:w="4759"/>
            <w:shd w:val="clear" w:color="auto" w:fill="F4F0E8"/>
          </w:tcPr>
          <w:p>
            <w:pPr>
              <w:spacing w:before="60" w:after="60"/>
            </w:pPr>
            <w:r/>
            <w:r>
              <w:rPr>
                <w:rFonts w:ascii="Source Sans 3" w:hAnsi="Source Sans 3" w:cs="Source Sans 3"/>
                <w:color w:val="272421"/>
                <w:sz w:val="18"/>
              </w:rPr>
              <w:t>Reporting period</w:t>
            </w:r>
          </w:p>
        </w:tc>
        <w:tc>
          <w:tcPr>
            <w:tcW w:type="dxa" w:w="4759"/>
            <w:shd w:val="clear" w:color="auto" w:fill="F4F0E8"/>
          </w:tcPr>
          <w:p>
            <w:pPr>
              <w:spacing w:before="60" w:after="60"/>
            </w:pPr>
            <w:r/>
            <w:r>
              <w:rPr>
                <w:rFonts w:ascii="Source Sans 3" w:hAnsi="Source Sans 3" w:cs="Source Sans 3"/>
                <w:color w:val="272421"/>
                <w:sz w:val="18"/>
              </w:rPr>
              <w:t>January 2022 through December 2025</w:t>
            </w:r>
          </w:p>
        </w:tc>
      </w:tr>
      <w:tr>
        <w:tc>
          <w:tcPr>
            <w:tcW w:type="dxa" w:w="4759"/>
          </w:tcPr>
          <w:p>
            <w:pPr>
              <w:spacing w:before="60" w:after="60"/>
            </w:pPr>
            <w:r/>
            <w:r>
              <w:rPr>
                <w:rFonts w:ascii="Source Sans 3" w:hAnsi="Source Sans 3" w:cs="Source Sans 3"/>
                <w:color w:val="272421"/>
                <w:sz w:val="18"/>
              </w:rPr>
              <w:t>Monthly performance</w:t>
            </w:r>
          </w:p>
        </w:tc>
        <w:tc>
          <w:tcPr>
            <w:tcW w:type="dxa" w:w="4759"/>
          </w:tcPr>
          <w:p>
            <w:pPr>
              <w:spacing w:before="60" w:after="60"/>
            </w:pPr>
            <w:r/>
            <w:r>
              <w:rPr>
                <w:rFonts w:ascii="Source Sans 3" w:hAnsi="Source Sans 3" w:cs="Source Sans 3"/>
                <w:color w:val="272421"/>
                <w:sz w:val="18"/>
              </w:rPr>
              <w:t>Approximately 1,743 clean records</w:t>
            </w:r>
          </w:p>
        </w:tc>
      </w:tr>
      <w:tr>
        <w:tc>
          <w:tcPr>
            <w:tcW w:type="dxa" w:w="4759"/>
            <w:shd w:val="clear" w:color="auto" w:fill="F4F0E8"/>
          </w:tcPr>
          <w:p>
            <w:pPr>
              <w:spacing w:before="60" w:after="60"/>
            </w:pPr>
            <w:r/>
            <w:r>
              <w:rPr>
                <w:rFonts w:ascii="Source Sans 3" w:hAnsi="Source Sans 3" w:cs="Source Sans 3"/>
                <w:color w:val="272421"/>
                <w:sz w:val="18"/>
              </w:rPr>
              <w:t>Change orders</w:t>
            </w:r>
          </w:p>
        </w:tc>
        <w:tc>
          <w:tcPr>
            <w:tcW w:type="dxa" w:w="4759"/>
            <w:shd w:val="clear" w:color="auto" w:fill="F4F0E8"/>
          </w:tcPr>
          <w:p>
            <w:pPr>
              <w:spacing w:before="60" w:after="60"/>
            </w:pPr>
            <w:r/>
            <w:r>
              <w:rPr>
                <w:rFonts w:ascii="Source Sans 3" w:hAnsi="Source Sans 3" w:cs="Source Sans 3"/>
                <w:color w:val="272421"/>
                <w:sz w:val="18"/>
              </w:rPr>
              <w:t>553 clean records</w:t>
            </w:r>
          </w:p>
        </w:tc>
      </w:tr>
      <w:tr>
        <w:tc>
          <w:tcPr>
            <w:tcW w:type="dxa" w:w="4759"/>
          </w:tcPr>
          <w:p>
            <w:pPr>
              <w:spacing w:before="60" w:after="60"/>
            </w:pPr>
            <w:r/>
            <w:r>
              <w:rPr>
                <w:rFonts w:ascii="Source Sans 3" w:hAnsi="Source Sans 3" w:cs="Source Sans 3"/>
                <w:color w:val="272421"/>
                <w:sz w:val="18"/>
              </w:rPr>
              <w:t>RFIs</w:t>
            </w:r>
          </w:p>
        </w:tc>
        <w:tc>
          <w:tcPr>
            <w:tcW w:type="dxa" w:w="4759"/>
          </w:tcPr>
          <w:p>
            <w:pPr>
              <w:spacing w:before="60" w:after="60"/>
            </w:pPr>
            <w:r/>
            <w:r>
              <w:rPr>
                <w:rFonts w:ascii="Source Sans 3" w:hAnsi="Source Sans 3" w:cs="Source Sans 3"/>
                <w:color w:val="272421"/>
                <w:sz w:val="18"/>
              </w:rPr>
              <w:t>1,514 clean records</w:t>
            </w:r>
          </w:p>
        </w:tc>
      </w:tr>
      <w:tr>
        <w:tc>
          <w:tcPr>
            <w:tcW w:type="dxa" w:w="4759"/>
            <w:shd w:val="clear" w:color="auto" w:fill="F4F0E8"/>
          </w:tcPr>
          <w:p>
            <w:pPr>
              <w:spacing w:before="60" w:after="60"/>
            </w:pPr>
            <w:r/>
            <w:r>
              <w:rPr>
                <w:rFonts w:ascii="Source Sans 3" w:hAnsi="Source Sans 3" w:cs="Source Sans 3"/>
                <w:color w:val="272421"/>
                <w:sz w:val="18"/>
              </w:rPr>
              <w:t>Sectors</w:t>
            </w:r>
          </w:p>
        </w:tc>
        <w:tc>
          <w:tcPr>
            <w:tcW w:type="dxa" w:w="4759"/>
            <w:shd w:val="clear" w:color="auto" w:fill="F4F0E8"/>
          </w:tcPr>
          <w:p>
            <w:pPr>
              <w:spacing w:before="60" w:after="60"/>
            </w:pPr>
            <w:r/>
            <w:r>
              <w:rPr>
                <w:rFonts w:ascii="Source Sans 3" w:hAnsi="Source Sans 3" w:cs="Source Sans 3"/>
                <w:color w:val="272421"/>
                <w:sz w:val="18"/>
              </w:rPr>
              <w:t>Residential, Commercial, Institutional, Industrial, Heavy Civil &amp; Infrastructure, Mixed-Use</w:t>
            </w:r>
          </w:p>
        </w:tc>
      </w:tr>
      <w:tr>
        <w:tc>
          <w:tcPr>
            <w:tcW w:type="dxa" w:w="4759"/>
          </w:tcPr>
          <w:p>
            <w:pPr>
              <w:spacing w:before="60" w:after="60"/>
            </w:pPr>
            <w:r/>
            <w:r>
              <w:rPr>
                <w:rFonts w:ascii="Source Sans 3" w:hAnsi="Source Sans 3" w:cs="Source Sans 3"/>
                <w:color w:val="272421"/>
                <w:sz w:val="18"/>
              </w:rPr>
              <w:t>States</w:t>
            </w:r>
          </w:p>
        </w:tc>
        <w:tc>
          <w:tcPr>
            <w:tcW w:type="dxa" w:w="4759"/>
          </w:tcPr>
          <w:p>
            <w:pPr>
              <w:spacing w:before="60" w:after="60"/>
            </w:pPr>
            <w:r/>
            <w:r>
              <w:rPr>
                <w:rFonts w:ascii="Source Sans 3" w:hAnsi="Source Sans 3" w:cs="Source Sans 3"/>
                <w:color w:val="272421"/>
                <w:sz w:val="18"/>
              </w:rPr>
              <w:t>Ten western and southern U.S. states</w:t>
            </w:r>
          </w:p>
        </w:tc>
      </w:tr>
    </w:tbl>
    <w:p/>
    <w:p>
      <w:pPr>
        <w:pStyle w:val="Heading2"/>
      </w:pPr>
      <w:r>
        <w:rPr>
          <w:b w:val="0"/>
          <w:i w:val="0"/>
        </w:rPr>
        <w:t>3.3 Relational Model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02000B"/>
          </w:tcPr>
          <w:p>
            <w:pPr>
              <w:spacing w:before="60" w:after="60"/>
            </w:pPr>
            <w:r/>
            <w:r>
              <w:rPr>
                <w:rFonts w:ascii="Roboto Slab" w:hAnsi="Roboto Slab" w:cs="Roboto Slab"/>
                <w:b/>
                <w:color w:val="FFFFFF"/>
                <w:sz w:val="18"/>
              </w:rPr>
              <w:t>Table</w:t>
            </w:r>
          </w:p>
        </w:tc>
        <w:tc>
          <w:tcPr>
            <w:tcW w:type="dxa" w:w="2379"/>
            <w:shd w:val="clear" w:color="auto" w:fill="02000B"/>
          </w:tcPr>
          <w:p>
            <w:pPr>
              <w:spacing w:before="60" w:after="60"/>
            </w:pPr>
            <w:r/>
            <w:r>
              <w:rPr>
                <w:rFonts w:ascii="Roboto Slab" w:hAnsi="Roboto Slab" w:cs="Roboto Slab"/>
                <w:b/>
                <w:color w:val="FFFFFF"/>
                <w:sz w:val="18"/>
              </w:rPr>
              <w:t>Grain</w:t>
            </w:r>
          </w:p>
        </w:tc>
        <w:tc>
          <w:tcPr>
            <w:tcW w:type="dxa" w:w="2379"/>
            <w:shd w:val="clear" w:color="auto" w:fill="02000B"/>
          </w:tcPr>
          <w:p>
            <w:pPr>
              <w:spacing w:before="60" w:after="60"/>
            </w:pPr>
            <w:r/>
            <w:r>
              <w:rPr>
                <w:rFonts w:ascii="Roboto Slab" w:hAnsi="Roboto Slab" w:cs="Roboto Slab"/>
                <w:b/>
                <w:color w:val="FFFFFF"/>
                <w:sz w:val="18"/>
              </w:rPr>
              <w:t>Primary Key</w:t>
            </w:r>
          </w:p>
        </w:tc>
        <w:tc>
          <w:tcPr>
            <w:tcW w:type="dxa" w:w="2379"/>
            <w:shd w:val="clear" w:color="auto" w:fill="02000B"/>
          </w:tcPr>
          <w:p>
            <w:pPr>
              <w:spacing w:before="60" w:after="60"/>
            </w:pPr>
            <w:r/>
            <w:r>
              <w:rPr>
                <w:rFonts w:ascii="Roboto Slab" w:hAnsi="Roboto Slab" w:cs="Roboto Slab"/>
                <w:b/>
                <w:color w:val="FFFFFF"/>
                <w:sz w:val="18"/>
              </w:rPr>
              <w:t>Relationship</w:t>
            </w:r>
          </w:p>
        </w:tc>
      </w:tr>
      <w:tr>
        <w:tc>
          <w:tcPr>
            <w:tcW w:type="dxa" w:w="2379"/>
          </w:tcPr>
          <w:p>
            <w:pPr>
              <w:spacing w:before="60" w:after="60"/>
            </w:pPr>
            <w:r/>
            <w:r>
              <w:rPr>
                <w:rFonts w:ascii="Source Sans 3" w:hAnsi="Source Sans 3" w:cs="Source Sans 3"/>
                <w:color w:val="272421"/>
                <w:sz w:val="18"/>
              </w:rPr>
              <w:t>Projects</w:t>
            </w:r>
          </w:p>
        </w:tc>
        <w:tc>
          <w:tcPr>
            <w:tcW w:type="dxa" w:w="2379"/>
          </w:tcPr>
          <w:p>
            <w:pPr>
              <w:spacing w:before="60" w:after="60"/>
            </w:pPr>
            <w:r/>
            <w:r>
              <w:rPr>
                <w:rFonts w:ascii="Source Sans 3" w:hAnsi="Source Sans 3" w:cs="Source Sans 3"/>
                <w:color w:val="272421"/>
                <w:sz w:val="18"/>
              </w:rPr>
              <w:t>One row per project</w:t>
            </w:r>
          </w:p>
        </w:tc>
        <w:tc>
          <w:tcPr>
            <w:tcW w:type="dxa" w:w="2379"/>
          </w:tcPr>
          <w:p>
            <w:pPr>
              <w:spacing w:before="60" w:after="60"/>
            </w:pPr>
            <w:r/>
            <w:r>
              <w:rPr>
                <w:rFonts w:ascii="Source Sans 3" w:hAnsi="Source Sans 3" w:cs="Source Sans 3"/>
                <w:color w:val="272421"/>
                <w:sz w:val="18"/>
              </w:rPr>
              <w:t>Project_ID</w:t>
            </w:r>
          </w:p>
        </w:tc>
        <w:tc>
          <w:tcPr>
            <w:tcW w:type="dxa" w:w="2379"/>
          </w:tcPr>
          <w:p>
            <w:pPr>
              <w:spacing w:before="60" w:after="60"/>
            </w:pPr>
            <w:r/>
            <w:r>
              <w:rPr>
                <w:rFonts w:ascii="Source Sans 3" w:hAnsi="Source Sans 3" w:cs="Source Sans 3"/>
                <w:color w:val="272421"/>
                <w:sz w:val="18"/>
              </w:rPr>
              <w:t>Parent table</w:t>
            </w:r>
          </w:p>
        </w:tc>
      </w:tr>
      <w:tr>
        <w:tc>
          <w:tcPr>
            <w:tcW w:type="dxa" w:w="2379"/>
            <w:shd w:val="clear" w:color="auto" w:fill="F4F0E8"/>
          </w:tcPr>
          <w:p>
            <w:pPr>
              <w:spacing w:before="60" w:after="60"/>
            </w:pPr>
            <w:r/>
            <w:r>
              <w:rPr>
                <w:rFonts w:ascii="Source Sans 3" w:hAnsi="Source Sans 3" w:cs="Source Sans 3"/>
                <w:color w:val="272421"/>
                <w:sz w:val="18"/>
              </w:rPr>
              <w:t>Monthly Performance</w:t>
            </w:r>
          </w:p>
        </w:tc>
        <w:tc>
          <w:tcPr>
            <w:tcW w:type="dxa" w:w="2379"/>
            <w:shd w:val="clear" w:color="auto" w:fill="F4F0E8"/>
          </w:tcPr>
          <w:p>
            <w:pPr>
              <w:spacing w:before="60" w:after="60"/>
            </w:pPr>
            <w:r/>
            <w:r>
              <w:rPr>
                <w:rFonts w:ascii="Source Sans 3" w:hAnsi="Source Sans 3" w:cs="Source Sans 3"/>
                <w:color w:val="272421"/>
                <w:sz w:val="18"/>
              </w:rPr>
              <w:t>One row per project/reporting month</w:t>
            </w:r>
          </w:p>
        </w:tc>
        <w:tc>
          <w:tcPr>
            <w:tcW w:type="dxa" w:w="2379"/>
            <w:shd w:val="clear" w:color="auto" w:fill="F4F0E8"/>
          </w:tcPr>
          <w:p>
            <w:pPr>
              <w:spacing w:before="60" w:after="60"/>
            </w:pPr>
            <w:r/>
            <w:r>
              <w:rPr>
                <w:rFonts w:ascii="Source Sans 3" w:hAnsi="Source Sans 3" w:cs="Source Sans 3"/>
                <w:color w:val="272421"/>
                <w:sz w:val="18"/>
              </w:rPr>
              <w:t>Performance_Record_ID</w:t>
            </w:r>
          </w:p>
        </w:tc>
        <w:tc>
          <w:tcPr>
            <w:tcW w:type="dxa" w:w="2379"/>
            <w:shd w:val="clear" w:color="auto" w:fill="F4F0E8"/>
          </w:tcPr>
          <w:p>
            <w:pPr>
              <w:spacing w:before="60" w:after="60"/>
            </w:pPr>
            <w:r/>
            <w:r>
              <w:rPr>
                <w:rFonts w:ascii="Source Sans 3" w:hAnsi="Source Sans 3" w:cs="Source Sans 3"/>
                <w:color w:val="272421"/>
                <w:sz w:val="18"/>
              </w:rPr>
              <w:t>Many-to-one with Projects</w:t>
            </w:r>
          </w:p>
        </w:tc>
      </w:tr>
      <w:tr>
        <w:tc>
          <w:tcPr>
            <w:tcW w:type="dxa" w:w="2379"/>
          </w:tcPr>
          <w:p>
            <w:pPr>
              <w:spacing w:before="60" w:after="60"/>
            </w:pPr>
            <w:r/>
            <w:r>
              <w:rPr>
                <w:rFonts w:ascii="Source Sans 3" w:hAnsi="Source Sans 3" w:cs="Source Sans 3"/>
                <w:color w:val="272421"/>
                <w:sz w:val="18"/>
              </w:rPr>
              <w:t>Change Orders</w:t>
            </w:r>
          </w:p>
        </w:tc>
        <w:tc>
          <w:tcPr>
            <w:tcW w:type="dxa" w:w="2379"/>
          </w:tcPr>
          <w:p>
            <w:pPr>
              <w:spacing w:before="60" w:after="60"/>
            </w:pPr>
            <w:r/>
            <w:r>
              <w:rPr>
                <w:rFonts w:ascii="Source Sans 3" w:hAnsi="Source Sans 3" w:cs="Source Sans 3"/>
                <w:color w:val="272421"/>
                <w:sz w:val="18"/>
              </w:rPr>
              <w:t>One row per change order</w:t>
            </w:r>
          </w:p>
        </w:tc>
        <w:tc>
          <w:tcPr>
            <w:tcW w:type="dxa" w:w="2379"/>
          </w:tcPr>
          <w:p>
            <w:pPr>
              <w:spacing w:before="60" w:after="60"/>
            </w:pPr>
            <w:r/>
            <w:r>
              <w:rPr>
                <w:rFonts w:ascii="Source Sans 3" w:hAnsi="Source Sans 3" w:cs="Source Sans 3"/>
                <w:color w:val="272421"/>
                <w:sz w:val="18"/>
              </w:rPr>
              <w:t>Change_Order_ID</w:t>
            </w:r>
          </w:p>
        </w:tc>
        <w:tc>
          <w:tcPr>
            <w:tcW w:type="dxa" w:w="2379"/>
          </w:tcPr>
          <w:p>
            <w:pPr>
              <w:spacing w:before="60" w:after="60"/>
            </w:pPr>
            <w:r/>
            <w:r>
              <w:rPr>
                <w:rFonts w:ascii="Source Sans 3" w:hAnsi="Source Sans 3" w:cs="Source Sans 3"/>
                <w:color w:val="272421"/>
                <w:sz w:val="18"/>
              </w:rPr>
              <w:t>Many-to-one with Projects</w:t>
            </w:r>
          </w:p>
        </w:tc>
      </w:tr>
      <w:tr>
        <w:tc>
          <w:tcPr>
            <w:tcW w:type="dxa" w:w="2379"/>
            <w:shd w:val="clear" w:color="auto" w:fill="F4F0E8"/>
          </w:tcPr>
          <w:p>
            <w:pPr>
              <w:spacing w:before="60" w:after="60"/>
            </w:pPr>
            <w:r/>
            <w:r>
              <w:rPr>
                <w:rFonts w:ascii="Source Sans 3" w:hAnsi="Source Sans 3" w:cs="Source Sans 3"/>
                <w:color w:val="272421"/>
                <w:sz w:val="18"/>
              </w:rPr>
              <w:t>RFI Log</w:t>
            </w:r>
          </w:p>
        </w:tc>
        <w:tc>
          <w:tcPr>
            <w:tcW w:type="dxa" w:w="2379"/>
            <w:shd w:val="clear" w:color="auto" w:fill="F4F0E8"/>
          </w:tcPr>
          <w:p>
            <w:pPr>
              <w:spacing w:before="60" w:after="60"/>
            </w:pPr>
            <w:r/>
            <w:r>
              <w:rPr>
                <w:rFonts w:ascii="Source Sans 3" w:hAnsi="Source Sans 3" w:cs="Source Sans 3"/>
                <w:color w:val="272421"/>
                <w:sz w:val="18"/>
              </w:rPr>
              <w:t>One row per RFI</w:t>
            </w:r>
          </w:p>
        </w:tc>
        <w:tc>
          <w:tcPr>
            <w:tcW w:type="dxa" w:w="2379"/>
            <w:shd w:val="clear" w:color="auto" w:fill="F4F0E8"/>
          </w:tcPr>
          <w:p>
            <w:pPr>
              <w:spacing w:before="60" w:after="60"/>
            </w:pPr>
            <w:r/>
            <w:r>
              <w:rPr>
                <w:rFonts w:ascii="Source Sans 3" w:hAnsi="Source Sans 3" w:cs="Source Sans 3"/>
                <w:color w:val="272421"/>
                <w:sz w:val="18"/>
              </w:rPr>
              <w:t>RFI_ID</w:t>
            </w:r>
          </w:p>
        </w:tc>
        <w:tc>
          <w:tcPr>
            <w:tcW w:type="dxa" w:w="2379"/>
            <w:shd w:val="clear" w:color="auto" w:fill="F4F0E8"/>
          </w:tcPr>
          <w:p>
            <w:pPr>
              <w:spacing w:before="60" w:after="60"/>
            </w:pPr>
            <w:r/>
            <w:r>
              <w:rPr>
                <w:rFonts w:ascii="Source Sans 3" w:hAnsi="Source Sans 3" w:cs="Source Sans 3"/>
                <w:color w:val="272421"/>
                <w:sz w:val="18"/>
              </w:rPr>
              <w:t>Many-to-one with Projects</w:t>
            </w:r>
          </w:p>
        </w:tc>
      </w:tr>
    </w:tbl>
    <w:p/>
    <w:p>
      <w:pPr>
        <w:pStyle w:val="Heading2"/>
      </w:pPr>
      <w:r>
        <w:rPr>
          <w:b w:val="0"/>
          <w:i w:val="0"/>
        </w:rPr>
        <w:t>3.4 Integrity, Privacy, and Bias Controls</w:t>
      </w:r>
    </w:p>
    <w:p>
      <w:pPr>
        <w:pStyle w:val="ListBullet"/>
      </w:pPr>
      <w:r>
        <w:rPr>
          <w:b w:val="0"/>
          <w:i w:val="0"/>
        </w:rPr>
        <w:t>Unique parent and child identifiers</w:t>
      </w:r>
    </w:p>
    <w:p>
      <w:pPr>
        <w:pStyle w:val="ListBullet"/>
      </w:pPr>
      <w:r>
        <w:rPr>
          <w:b w:val="0"/>
          <w:i w:val="0"/>
        </w:rPr>
        <w:t>Valid foreign-key relationships</w:t>
      </w:r>
    </w:p>
    <w:p>
      <w:pPr>
        <w:pStyle w:val="ListBullet"/>
      </w:pPr>
      <w:r>
        <w:rPr>
          <w:b w:val="0"/>
          <w:i w:val="0"/>
        </w:rPr>
        <w:t>Logical date sequences</w:t>
      </w:r>
    </w:p>
    <w:p>
      <w:pPr>
        <w:pStyle w:val="ListBullet"/>
      </w:pPr>
      <w:r>
        <w:rPr>
          <w:b w:val="0"/>
          <w:i w:val="0"/>
        </w:rPr>
        <w:t>Valid missingness distinguished from data errors</w:t>
      </w:r>
    </w:p>
    <w:p>
      <w:pPr>
        <w:pStyle w:val="ListBullet"/>
      </w:pPr>
      <w:r>
        <w:rPr>
          <w:b w:val="0"/>
          <w:i w:val="0"/>
        </w:rPr>
        <w:t>No real client, employee, address, contract, or performance data</w:t>
      </w:r>
    </w:p>
    <w:p>
      <w:pPr>
        <w:pStyle w:val="ListBullet"/>
      </w:pPr>
      <w:r>
        <w:rPr>
          <w:b w:val="0"/>
          <w:i w:val="0"/>
        </w:rPr>
        <w:t>Variation within every project type and delivery method</w:t>
      </w:r>
    </w:p>
    <w:p>
      <w:pPr>
        <w:pStyle w:val="ListBullet"/>
      </w:pPr>
      <w:r>
        <w:rPr>
          <w:b w:val="0"/>
          <w:i w:val="0"/>
        </w:rPr>
        <w:t>No predetermined category automatically classified as successful or unsuccessful</w:t>
      </w:r>
    </w:p>
    <w:p>
      <w:pPr>
        <w:pStyle w:val="Heading1"/>
        <w:pBdr>
          <w:bottom w:val="single" w:sz="8" w:space="4" w:color="A04732"/>
        </w:pBdr>
      </w:pPr>
      <w:r>
        <w:rPr>
          <w:b w:val="0"/>
          <w:i w:val="0"/>
        </w:rPr>
        <w:t>4. Process Phase</w:t>
      </w:r>
    </w:p>
    <w:p>
      <w:pPr>
        <w:pStyle w:val="Heading2"/>
      </w:pPr>
      <w:r>
        <w:rPr>
          <w:b w:val="0"/>
          <w:i w:val="0"/>
        </w:rPr>
        <w:t>4.1 Raw-to-Clean Profile</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02000B"/>
          </w:tcPr>
          <w:p>
            <w:pPr>
              <w:spacing w:before="60" w:after="60"/>
            </w:pPr>
            <w:r/>
            <w:r>
              <w:rPr>
                <w:rFonts w:ascii="Roboto Slab" w:hAnsi="Roboto Slab" w:cs="Roboto Slab"/>
                <w:b/>
                <w:color w:val="FFFFFF"/>
                <w:sz w:val="18"/>
              </w:rPr>
              <w:t>Table</w:t>
            </w:r>
          </w:p>
        </w:tc>
        <w:tc>
          <w:tcPr>
            <w:tcW w:type="dxa" w:w="3173"/>
            <w:shd w:val="clear" w:color="auto" w:fill="02000B"/>
          </w:tcPr>
          <w:p>
            <w:pPr>
              <w:spacing w:before="60" w:after="60"/>
            </w:pPr>
            <w:r/>
            <w:r>
              <w:rPr>
                <w:rFonts w:ascii="Roboto Slab" w:hAnsi="Roboto Slab" w:cs="Roboto Slab"/>
                <w:b/>
                <w:color w:val="FFFFFF"/>
                <w:sz w:val="18"/>
              </w:rPr>
              <w:t>Raw Rows</w:t>
            </w:r>
          </w:p>
        </w:tc>
        <w:tc>
          <w:tcPr>
            <w:tcW w:type="dxa" w:w="3173"/>
            <w:shd w:val="clear" w:color="auto" w:fill="02000B"/>
          </w:tcPr>
          <w:p>
            <w:pPr>
              <w:spacing w:before="60" w:after="60"/>
            </w:pPr>
            <w:r/>
            <w:r>
              <w:rPr>
                <w:rFonts w:ascii="Roboto Slab" w:hAnsi="Roboto Slab" w:cs="Roboto Slab"/>
                <w:b/>
                <w:color w:val="FFFFFF"/>
                <w:sz w:val="18"/>
              </w:rPr>
              <w:t>Clean Rows</w:t>
            </w:r>
          </w:p>
        </w:tc>
      </w:tr>
      <w:tr>
        <w:tc>
          <w:tcPr>
            <w:tcW w:type="dxa" w:w="3173"/>
          </w:tcPr>
          <w:p>
            <w:pPr>
              <w:spacing w:before="60" w:after="60"/>
            </w:pPr>
            <w:r/>
            <w:r>
              <w:rPr>
                <w:rFonts w:ascii="Source Sans 3" w:hAnsi="Source Sans 3" w:cs="Source Sans 3"/>
                <w:color w:val="272421"/>
                <w:sz w:val="18"/>
              </w:rPr>
              <w:t>Projects</w:t>
            </w:r>
          </w:p>
        </w:tc>
        <w:tc>
          <w:tcPr>
            <w:tcW w:type="dxa" w:w="3173"/>
          </w:tcPr>
          <w:p>
            <w:pPr>
              <w:spacing w:before="60" w:after="60"/>
            </w:pPr>
            <w:r/>
            <w:r>
              <w:rPr>
                <w:rFonts w:ascii="Source Sans 3" w:hAnsi="Source Sans 3" w:cs="Source Sans 3"/>
                <w:color w:val="272421"/>
                <w:sz w:val="18"/>
              </w:rPr>
              <w:t>77</w:t>
            </w:r>
          </w:p>
        </w:tc>
        <w:tc>
          <w:tcPr>
            <w:tcW w:type="dxa" w:w="3173"/>
          </w:tcPr>
          <w:p>
            <w:pPr>
              <w:spacing w:before="60" w:after="60"/>
            </w:pPr>
            <w:r/>
            <w:r>
              <w:rPr>
                <w:rFonts w:ascii="Source Sans 3" w:hAnsi="Source Sans 3" w:cs="Source Sans 3"/>
                <w:color w:val="272421"/>
                <w:sz w:val="18"/>
              </w:rPr>
              <w:t>75</w:t>
            </w:r>
          </w:p>
        </w:tc>
      </w:tr>
      <w:tr>
        <w:tc>
          <w:tcPr>
            <w:tcW w:type="dxa" w:w="3173"/>
            <w:shd w:val="clear" w:color="auto" w:fill="F4F0E8"/>
          </w:tcPr>
          <w:p>
            <w:pPr>
              <w:spacing w:before="60" w:after="60"/>
            </w:pPr>
            <w:r/>
            <w:r>
              <w:rPr>
                <w:rFonts w:ascii="Source Sans 3" w:hAnsi="Source Sans 3" w:cs="Source Sans 3"/>
                <w:color w:val="272421"/>
                <w:sz w:val="18"/>
              </w:rPr>
              <w:t>Monthly Performance</w:t>
            </w:r>
          </w:p>
        </w:tc>
        <w:tc>
          <w:tcPr>
            <w:tcW w:type="dxa" w:w="3173"/>
            <w:shd w:val="clear" w:color="auto" w:fill="F4F0E8"/>
          </w:tcPr>
          <w:p>
            <w:pPr>
              <w:spacing w:before="60" w:after="60"/>
            </w:pPr>
            <w:r/>
            <w:r>
              <w:rPr>
                <w:rFonts w:ascii="Source Sans 3" w:hAnsi="Source Sans 3" w:cs="Source Sans 3"/>
                <w:color w:val="272421"/>
                <w:sz w:val="18"/>
              </w:rPr>
              <w:t>1,747</w:t>
            </w:r>
          </w:p>
        </w:tc>
        <w:tc>
          <w:tcPr>
            <w:tcW w:type="dxa" w:w="3173"/>
            <w:shd w:val="clear" w:color="auto" w:fill="F4F0E8"/>
          </w:tcPr>
          <w:p>
            <w:pPr>
              <w:spacing w:before="60" w:after="60"/>
            </w:pPr>
            <w:r/>
            <w:r>
              <w:rPr>
                <w:rFonts w:ascii="Source Sans 3" w:hAnsi="Source Sans 3" w:cs="Source Sans 3"/>
                <w:color w:val="272421"/>
                <w:sz w:val="18"/>
              </w:rPr>
              <w:t>1,743</w:t>
            </w:r>
          </w:p>
        </w:tc>
      </w:tr>
      <w:tr>
        <w:tc>
          <w:tcPr>
            <w:tcW w:type="dxa" w:w="3173"/>
          </w:tcPr>
          <w:p>
            <w:pPr>
              <w:spacing w:before="60" w:after="60"/>
            </w:pPr>
            <w:r/>
            <w:r>
              <w:rPr>
                <w:rFonts w:ascii="Source Sans 3" w:hAnsi="Source Sans 3" w:cs="Source Sans 3"/>
                <w:color w:val="272421"/>
                <w:sz w:val="18"/>
              </w:rPr>
              <w:t>Change Orders</w:t>
            </w:r>
          </w:p>
        </w:tc>
        <w:tc>
          <w:tcPr>
            <w:tcW w:type="dxa" w:w="3173"/>
          </w:tcPr>
          <w:p>
            <w:pPr>
              <w:spacing w:before="60" w:after="60"/>
            </w:pPr>
            <w:r/>
            <w:r>
              <w:rPr>
                <w:rFonts w:ascii="Source Sans 3" w:hAnsi="Source Sans 3" w:cs="Source Sans 3"/>
                <w:color w:val="272421"/>
                <w:sz w:val="18"/>
              </w:rPr>
              <w:t>557</w:t>
            </w:r>
          </w:p>
        </w:tc>
        <w:tc>
          <w:tcPr>
            <w:tcW w:type="dxa" w:w="3173"/>
          </w:tcPr>
          <w:p>
            <w:pPr>
              <w:spacing w:before="60" w:after="60"/>
            </w:pPr>
            <w:r/>
            <w:r>
              <w:rPr>
                <w:rFonts w:ascii="Source Sans 3" w:hAnsi="Source Sans 3" w:cs="Source Sans 3"/>
                <w:color w:val="272421"/>
                <w:sz w:val="18"/>
              </w:rPr>
              <w:t>553</w:t>
            </w:r>
          </w:p>
        </w:tc>
      </w:tr>
      <w:tr>
        <w:tc>
          <w:tcPr>
            <w:tcW w:type="dxa" w:w="3173"/>
            <w:shd w:val="clear" w:color="auto" w:fill="F4F0E8"/>
          </w:tcPr>
          <w:p>
            <w:pPr>
              <w:spacing w:before="60" w:after="60"/>
            </w:pPr>
            <w:r/>
            <w:r>
              <w:rPr>
                <w:rFonts w:ascii="Source Sans 3" w:hAnsi="Source Sans 3" w:cs="Source Sans 3"/>
                <w:color w:val="272421"/>
                <w:sz w:val="18"/>
              </w:rPr>
              <w:t>RFI Log</w:t>
            </w:r>
          </w:p>
        </w:tc>
        <w:tc>
          <w:tcPr>
            <w:tcW w:type="dxa" w:w="3173"/>
            <w:shd w:val="clear" w:color="auto" w:fill="F4F0E8"/>
          </w:tcPr>
          <w:p>
            <w:pPr>
              <w:spacing w:before="60" w:after="60"/>
            </w:pPr>
            <w:r/>
            <w:r>
              <w:rPr>
                <w:rFonts w:ascii="Source Sans 3" w:hAnsi="Source Sans 3" w:cs="Source Sans 3"/>
                <w:color w:val="272421"/>
                <w:sz w:val="18"/>
              </w:rPr>
              <w:t>1,518</w:t>
            </w:r>
          </w:p>
        </w:tc>
        <w:tc>
          <w:tcPr>
            <w:tcW w:type="dxa" w:w="3173"/>
            <w:shd w:val="clear" w:color="auto" w:fill="F4F0E8"/>
          </w:tcPr>
          <w:p>
            <w:pPr>
              <w:spacing w:before="60" w:after="60"/>
            </w:pPr>
            <w:r/>
            <w:r>
              <w:rPr>
                <w:rFonts w:ascii="Source Sans 3" w:hAnsi="Source Sans 3" w:cs="Source Sans 3"/>
                <w:color w:val="272421"/>
                <w:sz w:val="18"/>
              </w:rPr>
              <w:t>1,514</w:t>
            </w:r>
          </w:p>
        </w:tc>
      </w:tr>
      <w:tr>
        <w:tc>
          <w:tcPr>
            <w:tcW w:type="dxa" w:w="3173"/>
          </w:tcPr>
          <w:p>
            <w:pPr>
              <w:spacing w:before="60" w:after="60"/>
            </w:pPr>
            <w:r/>
            <w:r>
              <w:rPr>
                <w:rFonts w:ascii="Source Sans 3" w:hAnsi="Source Sans 3" w:cs="Source Sans 3"/>
                <w:color w:val="272421"/>
                <w:sz w:val="18"/>
              </w:rPr>
              <w:t>Total</w:t>
            </w:r>
          </w:p>
        </w:tc>
        <w:tc>
          <w:tcPr>
            <w:tcW w:type="dxa" w:w="3173"/>
          </w:tcPr>
          <w:p>
            <w:pPr>
              <w:spacing w:before="60" w:after="60"/>
            </w:pPr>
            <w:r/>
            <w:r>
              <w:rPr>
                <w:rFonts w:ascii="Source Sans 3" w:hAnsi="Source Sans 3" w:cs="Source Sans 3"/>
                <w:color w:val="272421"/>
                <w:sz w:val="18"/>
              </w:rPr>
              <w:t>3,899</w:t>
            </w:r>
          </w:p>
        </w:tc>
        <w:tc>
          <w:tcPr>
            <w:tcW w:type="dxa" w:w="3173"/>
          </w:tcPr>
          <w:p>
            <w:pPr>
              <w:spacing w:before="60" w:after="60"/>
            </w:pPr>
            <w:r/>
            <w:r>
              <w:rPr>
                <w:rFonts w:ascii="Source Sans 3" w:hAnsi="Source Sans 3" w:cs="Source Sans 3"/>
                <w:color w:val="272421"/>
                <w:sz w:val="18"/>
              </w:rPr>
              <w:t>3,885</w:t>
            </w:r>
          </w:p>
        </w:tc>
      </w:tr>
    </w:tbl>
    <w:p/>
    <w:p>
      <w:pPr>
        <w:pStyle w:val="Heading2"/>
      </w:pPr>
      <w:r>
        <w:rPr>
          <w:b w:val="0"/>
          <w:i w:val="0"/>
        </w:rPr>
        <w:t>4.2 Cleaning Results</w:t>
      </w:r>
    </w:p>
    <w:p>
      <w:pPr>
        <w:pStyle w:val="ListBullet"/>
      </w:pPr>
      <w:r>
        <w:rPr>
          <w:b w:val="0"/>
          <w:i w:val="0"/>
        </w:rPr>
        <w:t>Removed 12 duplicate records.</w:t>
      </w:r>
    </w:p>
    <w:p>
      <w:pPr>
        <w:pStyle w:val="ListBullet"/>
      </w:pPr>
      <w:r>
        <w:rPr>
          <w:b w:val="0"/>
          <w:i w:val="0"/>
        </w:rPr>
        <w:t>Quarantined 2 child records with unverifiable Project_ID values rather than guessing.</w:t>
      </w:r>
    </w:p>
    <w:p>
      <w:pPr>
        <w:pStyle w:val="ListBullet"/>
      </w:pPr>
      <w:r>
        <w:rPr>
          <w:b w:val="0"/>
          <w:i w:val="0"/>
        </w:rPr>
        <w:t>Repaired 16 critical values using documented evidence-based rules.</w:t>
      </w:r>
    </w:p>
    <w:p>
      <w:pPr>
        <w:pStyle w:val="ListBullet"/>
      </w:pPr>
      <w:r>
        <w:rPr>
          <w:b w:val="0"/>
          <w:i w:val="0"/>
        </w:rPr>
        <w:t>Standardized at least 111 categorical, date, identifier, currency, or percentage values.</w:t>
      </w:r>
    </w:p>
    <w:p>
      <w:pPr>
        <w:pStyle w:val="ListBullet"/>
      </w:pPr>
      <w:r>
        <w:rPr>
          <w:b w:val="0"/>
          <w:i w:val="0"/>
        </w:rPr>
        <w:t>Passed all 22 final validation checks.</w:t>
      </w:r>
    </w:p>
    <w:p>
      <w:pPr>
        <w:pStyle w:val="ListBullet"/>
      </w:pPr>
      <w:r>
        <w:rPr>
          <w:b w:val="0"/>
          <w:i w:val="0"/>
        </w:rPr>
        <w:t>Confirmed zero SQLite foreign-key violations.</w:t>
      </w:r>
    </w:p>
    <w:p>
      <w:pPr>
        <w:pStyle w:val="Heading2"/>
      </w:pPr>
      <w:r>
        <w:rPr>
          <w:b w:val="0"/>
          <w:i w:val="0"/>
        </w:rPr>
        <w:t>4.3 Principal Treatments</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Table</w:t>
            </w:r>
          </w:p>
        </w:tc>
        <w:tc>
          <w:tcPr>
            <w:tcW w:type="dxa" w:w="4759"/>
            <w:shd w:val="clear" w:color="auto" w:fill="02000B"/>
          </w:tcPr>
          <w:p>
            <w:pPr>
              <w:spacing w:before="60" w:after="60"/>
            </w:pPr>
            <w:r/>
            <w:r>
              <w:rPr>
                <w:rFonts w:ascii="Roboto Slab" w:hAnsi="Roboto Slab" w:cs="Roboto Slab"/>
                <w:b/>
                <w:color w:val="FFFFFF"/>
                <w:sz w:val="18"/>
              </w:rPr>
              <w:t>Treatment</w:t>
            </w:r>
          </w:p>
        </w:tc>
      </w:tr>
      <w:tr>
        <w:tc>
          <w:tcPr>
            <w:tcW w:type="dxa" w:w="4759"/>
          </w:tcPr>
          <w:p>
            <w:pPr>
              <w:spacing w:before="60" w:after="60"/>
            </w:pPr>
            <w:r/>
            <w:r>
              <w:rPr>
                <w:rFonts w:ascii="Source Sans 3" w:hAnsi="Source Sans 3" w:cs="Source Sans 3"/>
                <w:color w:val="272421"/>
                <w:sz w:val="18"/>
              </w:rPr>
              <w:t>Projects</w:t>
            </w:r>
          </w:p>
        </w:tc>
        <w:tc>
          <w:tcPr>
            <w:tcW w:type="dxa" w:w="4759"/>
          </w:tcPr>
          <w:p>
            <w:pPr>
              <w:spacing w:before="60" w:after="60"/>
            </w:pPr>
            <w:r/>
            <w:r>
              <w:rPr>
                <w:rFonts w:ascii="Source Sans 3" w:hAnsi="Source Sans 3" w:cs="Source Sans 3"/>
                <w:color w:val="272421"/>
                <w:sz w:val="18"/>
              </w:rPr>
              <w:t>Deduplicated Project_ID; standardized labels, dates, budgets, percentages; classified missing contract type as Unknown.</w:t>
            </w:r>
          </w:p>
        </w:tc>
      </w:tr>
      <w:tr>
        <w:tc>
          <w:tcPr>
            <w:tcW w:type="dxa" w:w="4759"/>
            <w:shd w:val="clear" w:color="auto" w:fill="F4F0E8"/>
          </w:tcPr>
          <w:p>
            <w:pPr>
              <w:spacing w:before="60" w:after="60"/>
            </w:pPr>
            <w:r/>
            <w:r>
              <w:rPr>
                <w:rFonts w:ascii="Source Sans 3" w:hAnsi="Source Sans 3" w:cs="Source Sans 3"/>
                <w:color w:val="272421"/>
                <w:sz w:val="18"/>
              </w:rPr>
              <w:t>Monthly Performance</w:t>
            </w:r>
          </w:p>
        </w:tc>
        <w:tc>
          <w:tcPr>
            <w:tcW w:type="dxa" w:w="4759"/>
            <w:shd w:val="clear" w:color="auto" w:fill="F4F0E8"/>
          </w:tcPr>
          <w:p>
            <w:pPr>
              <w:spacing w:before="60" w:after="60"/>
            </w:pPr>
            <w:r/>
            <w:r>
              <w:rPr>
                <w:rFonts w:ascii="Source Sans 3" w:hAnsi="Source Sans 3" w:cs="Source Sans 3"/>
                <w:color w:val="272421"/>
                <w:sz w:val="18"/>
              </w:rPr>
              <w:t>Removed duplicates; reconstructed six missing Actual_Cost values; corrected one impossible cumulative spike.</w:t>
            </w:r>
          </w:p>
        </w:tc>
      </w:tr>
      <w:tr>
        <w:tc>
          <w:tcPr>
            <w:tcW w:type="dxa" w:w="4759"/>
          </w:tcPr>
          <w:p>
            <w:pPr>
              <w:spacing w:before="60" w:after="60"/>
            </w:pPr>
            <w:r/>
            <w:r>
              <w:rPr>
                <w:rFonts w:ascii="Source Sans 3" w:hAnsi="Source Sans 3" w:cs="Source Sans 3"/>
                <w:color w:val="272421"/>
                <w:sz w:val="18"/>
              </w:rPr>
              <w:t>Change Orders</w:t>
            </w:r>
          </w:p>
        </w:tc>
        <w:tc>
          <w:tcPr>
            <w:tcW w:type="dxa" w:w="4759"/>
          </w:tcPr>
          <w:p>
            <w:pPr>
              <w:spacing w:before="60" w:after="60"/>
            </w:pPr>
            <w:r/>
            <w:r>
              <w:rPr>
                <w:rFonts w:ascii="Source Sans 3" w:hAnsi="Source Sans 3" w:cs="Source Sans 3"/>
                <w:color w:val="272421"/>
                <w:sz w:val="18"/>
              </w:rPr>
              <w:t>Standardized cause/status; repaired two approved values; corrected two impossible approval dates; quarantined one invalid project relationship.</w:t>
            </w:r>
          </w:p>
        </w:tc>
      </w:tr>
      <w:tr>
        <w:tc>
          <w:tcPr>
            <w:tcW w:type="dxa" w:w="4759"/>
            <w:shd w:val="clear" w:color="auto" w:fill="F4F0E8"/>
          </w:tcPr>
          <w:p>
            <w:pPr>
              <w:spacing w:before="60" w:after="60"/>
            </w:pPr>
            <w:r/>
            <w:r>
              <w:rPr>
                <w:rFonts w:ascii="Source Sans 3" w:hAnsi="Source Sans 3" w:cs="Source Sans 3"/>
                <w:color w:val="272421"/>
                <w:sz w:val="18"/>
              </w:rPr>
              <w:t>RFIs</w:t>
            </w:r>
          </w:p>
        </w:tc>
        <w:tc>
          <w:tcPr>
            <w:tcW w:type="dxa" w:w="4759"/>
            <w:shd w:val="clear" w:color="auto" w:fill="F4F0E8"/>
          </w:tcPr>
          <w:p>
            <w:pPr>
              <w:spacing w:before="60" w:after="60"/>
            </w:pPr>
            <w:r/>
            <w:r>
              <w:rPr>
                <w:rFonts w:ascii="Source Sans 3" w:hAnsi="Source Sans 3" w:cs="Source Sans 3"/>
                <w:color w:val="272421"/>
                <w:sz w:val="18"/>
              </w:rPr>
              <w:t>Standardized discipline/status; reconstructed three response dates; corrected two invalid dates; quarantined one invalid project relationship.</w:t>
            </w:r>
          </w:p>
        </w:tc>
      </w:tr>
    </w:tbl>
    <w:p/>
    <w:p>
      <w:pPr>
        <w:pStyle w:val="Heading2"/>
      </w:pPr>
      <w:r>
        <w:rPr>
          <w:b w:val="0"/>
          <w:i w:val="0"/>
        </w:rPr>
        <w:t>4.4 Reproducibility</w:t>
      </w:r>
    </w:p>
    <w:p>
      <w:pPr/>
      <w:r>
        <w:rPr>
          <w:b w:val="0"/>
          <w:i w:val="0"/>
        </w:rPr>
        <w:t>Raw files were preserved unchanged. Cleaned CSVs, a cleaning log, validation results, a populated SQLite database, SQL quality checks, and process documentation were retained in the project package.</w:t>
      </w:r>
    </w:p>
    <w:p>
      <w:pPr>
        <w:pStyle w:val="Heading1"/>
        <w:pBdr>
          <w:bottom w:val="single" w:sz="8" w:space="4" w:color="A04732"/>
        </w:pBdr>
      </w:pPr>
      <w:r>
        <w:rPr>
          <w:b w:val="0"/>
          <w:i w:val="0"/>
        </w:rPr>
        <w:t>5. Analyze Phase</w:t>
      </w:r>
    </w:p>
    <w:p>
      <w:pPr>
        <w:pStyle w:val="Heading2"/>
      </w:pPr>
      <w:r>
        <w:rPr>
          <w:b w:val="0"/>
          <w:i w:val="0"/>
        </w:rPr>
        <w:t>5.1 Metrics</w:t>
      </w:r>
    </w:p>
    <w:p>
      <w:pPr/>
      <w:r>
        <w:rPr>
          <w:b w:val="0"/>
          <w:i w:val="0"/>
        </w:rPr>
        <w:t>The latest monthly performance record for each project was joined with aggregated change-order and RFI information. The analysis calculated CPI, SPI, CV, SV, EAC, ETC, VAC, cost growth, forecast overrun, delay days, change exposure, contingency use, contingency burn, RFI response performance, and health status.</w:t>
      </w:r>
    </w:p>
    <w:p>
      <w:pPr>
        <w:pStyle w:val="Heading2"/>
      </w:pPr>
      <w:r>
        <w:rPr>
          <w:b w:val="0"/>
          <w:i w:val="0"/>
        </w:rPr>
        <w:t>5.2 Portfolio Results</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Metric</w:t>
            </w:r>
          </w:p>
        </w:tc>
        <w:tc>
          <w:tcPr>
            <w:tcW w:type="dxa" w:w="4759"/>
            <w:shd w:val="clear" w:color="auto" w:fill="02000B"/>
          </w:tcPr>
          <w:p>
            <w:pPr>
              <w:spacing w:before="60" w:after="60"/>
            </w:pPr>
            <w:r/>
            <w:r>
              <w:rPr>
                <w:rFonts w:ascii="Roboto Slab" w:hAnsi="Roboto Slab" w:cs="Roboto Slab"/>
                <w:b/>
                <w:color w:val="FFFFFF"/>
                <w:sz w:val="18"/>
              </w:rPr>
              <w:t>Result</w:t>
            </w:r>
          </w:p>
        </w:tc>
      </w:tr>
      <w:tr>
        <w:tc>
          <w:tcPr>
            <w:tcW w:type="dxa" w:w="4759"/>
          </w:tcPr>
          <w:p>
            <w:pPr>
              <w:spacing w:before="60" w:after="60"/>
            </w:pPr>
            <w:r/>
            <w:r>
              <w:rPr>
                <w:rFonts w:ascii="Source Sans 3" w:hAnsi="Source Sans 3" w:cs="Source Sans 3"/>
                <w:color w:val="272421"/>
                <w:sz w:val="18"/>
              </w:rPr>
              <w:t>Projects</w:t>
            </w:r>
          </w:p>
        </w:tc>
        <w:tc>
          <w:tcPr>
            <w:tcW w:type="dxa" w:w="4759"/>
          </w:tcPr>
          <w:p>
            <w:pPr>
              <w:spacing w:before="60" w:after="60"/>
            </w:pPr>
            <w:r/>
            <w:r>
              <w:rPr>
                <w:rFonts w:ascii="Source Sans 3" w:hAnsi="Source Sans 3" w:cs="Source Sans 3"/>
                <w:color w:val="272421"/>
                <w:sz w:val="18"/>
              </w:rPr>
              <w:t>75</w:t>
            </w:r>
          </w:p>
        </w:tc>
      </w:tr>
      <w:tr>
        <w:tc>
          <w:tcPr>
            <w:tcW w:type="dxa" w:w="4759"/>
            <w:shd w:val="clear" w:color="auto" w:fill="F4F0E8"/>
          </w:tcPr>
          <w:p>
            <w:pPr>
              <w:spacing w:before="60" w:after="60"/>
            </w:pPr>
            <w:r/>
            <w:r>
              <w:rPr>
                <w:rFonts w:ascii="Source Sans 3" w:hAnsi="Source Sans 3" w:cs="Source Sans 3"/>
                <w:color w:val="272421"/>
                <w:sz w:val="18"/>
              </w:rPr>
              <w:t>Portfolio BAC</w:t>
            </w:r>
          </w:p>
        </w:tc>
        <w:tc>
          <w:tcPr>
            <w:tcW w:type="dxa" w:w="4759"/>
            <w:shd w:val="clear" w:color="auto" w:fill="F4F0E8"/>
          </w:tcPr>
          <w:p>
            <w:pPr>
              <w:spacing w:before="60" w:after="60"/>
            </w:pPr>
            <w:r/>
            <w:r>
              <w:rPr>
                <w:rFonts w:ascii="Source Sans 3" w:hAnsi="Source Sans 3" w:cs="Source Sans 3"/>
                <w:color w:val="272421"/>
                <w:sz w:val="18"/>
              </w:rPr>
              <w:t>$5,831,436,600</w:t>
            </w:r>
          </w:p>
        </w:tc>
      </w:tr>
      <w:tr>
        <w:tc>
          <w:tcPr>
            <w:tcW w:type="dxa" w:w="4759"/>
          </w:tcPr>
          <w:p>
            <w:pPr>
              <w:spacing w:before="60" w:after="60"/>
            </w:pPr>
            <w:r/>
            <w:r>
              <w:rPr>
                <w:rFonts w:ascii="Source Sans 3" w:hAnsi="Source Sans 3" w:cs="Source Sans 3"/>
                <w:color w:val="272421"/>
                <w:sz w:val="18"/>
              </w:rPr>
              <w:t>Forecast EAC</w:t>
            </w:r>
          </w:p>
        </w:tc>
        <w:tc>
          <w:tcPr>
            <w:tcW w:type="dxa" w:w="4759"/>
          </w:tcPr>
          <w:p>
            <w:pPr>
              <w:spacing w:before="60" w:after="60"/>
            </w:pPr>
            <w:r/>
            <w:r>
              <w:rPr>
                <w:rFonts w:ascii="Source Sans 3" w:hAnsi="Source Sans 3" w:cs="Source Sans 3"/>
                <w:color w:val="272421"/>
                <w:sz w:val="18"/>
              </w:rPr>
              <w:t>$6,586,989,966</w:t>
            </w:r>
          </w:p>
        </w:tc>
      </w:tr>
      <w:tr>
        <w:tc>
          <w:tcPr>
            <w:tcW w:type="dxa" w:w="4759"/>
            <w:shd w:val="clear" w:color="auto" w:fill="F4F0E8"/>
          </w:tcPr>
          <w:p>
            <w:pPr>
              <w:spacing w:before="60" w:after="60"/>
            </w:pPr>
            <w:r/>
            <w:r>
              <w:rPr>
                <w:rFonts w:ascii="Source Sans 3" w:hAnsi="Source Sans 3" w:cs="Source Sans 3"/>
                <w:color w:val="272421"/>
                <w:sz w:val="18"/>
              </w:rPr>
              <w:t>Forecast variance</w:t>
            </w:r>
          </w:p>
        </w:tc>
        <w:tc>
          <w:tcPr>
            <w:tcW w:type="dxa" w:w="4759"/>
            <w:shd w:val="clear" w:color="auto" w:fill="F4F0E8"/>
          </w:tcPr>
          <w:p>
            <w:pPr>
              <w:spacing w:before="60" w:after="60"/>
            </w:pPr>
            <w:r/>
            <w:r>
              <w:rPr>
                <w:rFonts w:ascii="Source Sans 3" w:hAnsi="Source Sans 3" w:cs="Source Sans 3"/>
                <w:color w:val="272421"/>
                <w:sz w:val="18"/>
              </w:rPr>
              <w:t>$755,553,366 unfavorable</w:t>
            </w:r>
          </w:p>
        </w:tc>
      </w:tr>
      <w:tr>
        <w:tc>
          <w:tcPr>
            <w:tcW w:type="dxa" w:w="4759"/>
          </w:tcPr>
          <w:p>
            <w:pPr>
              <w:spacing w:before="60" w:after="60"/>
            </w:pPr>
            <w:r/>
            <w:r>
              <w:rPr>
                <w:rFonts w:ascii="Source Sans 3" w:hAnsi="Source Sans 3" w:cs="Source Sans 3"/>
                <w:color w:val="272421"/>
                <w:sz w:val="18"/>
              </w:rPr>
              <w:t>Forecast overrun</w:t>
            </w:r>
          </w:p>
        </w:tc>
        <w:tc>
          <w:tcPr>
            <w:tcW w:type="dxa" w:w="4759"/>
          </w:tcPr>
          <w:p>
            <w:pPr>
              <w:spacing w:before="60" w:after="60"/>
            </w:pPr>
            <w:r/>
            <w:r>
              <w:rPr>
                <w:rFonts w:ascii="Source Sans 3" w:hAnsi="Source Sans 3" w:cs="Source Sans 3"/>
                <w:color w:val="272421"/>
                <w:sz w:val="18"/>
              </w:rPr>
              <w:t>13.0%</w:t>
            </w:r>
          </w:p>
        </w:tc>
      </w:tr>
      <w:tr>
        <w:tc>
          <w:tcPr>
            <w:tcW w:type="dxa" w:w="4759"/>
            <w:shd w:val="clear" w:color="auto" w:fill="F4F0E8"/>
          </w:tcPr>
          <w:p>
            <w:pPr>
              <w:spacing w:before="60" w:after="60"/>
            </w:pPr>
            <w:r/>
            <w:r>
              <w:rPr>
                <w:rFonts w:ascii="Source Sans 3" w:hAnsi="Source Sans 3" w:cs="Source Sans 3"/>
                <w:color w:val="272421"/>
                <w:sz w:val="18"/>
              </w:rPr>
              <w:t>Weighted CPI</w:t>
            </w:r>
          </w:p>
        </w:tc>
        <w:tc>
          <w:tcPr>
            <w:tcW w:type="dxa" w:w="4759"/>
            <w:shd w:val="clear" w:color="auto" w:fill="F4F0E8"/>
          </w:tcPr>
          <w:p>
            <w:pPr>
              <w:spacing w:before="60" w:after="60"/>
            </w:pPr>
            <w:r/>
            <w:r>
              <w:rPr>
                <w:rFonts w:ascii="Source Sans 3" w:hAnsi="Source Sans 3" w:cs="Source Sans 3"/>
                <w:color w:val="272421"/>
                <w:sz w:val="18"/>
              </w:rPr>
              <w:t>0.884</w:t>
            </w:r>
          </w:p>
        </w:tc>
      </w:tr>
      <w:tr>
        <w:tc>
          <w:tcPr>
            <w:tcW w:type="dxa" w:w="4759"/>
          </w:tcPr>
          <w:p>
            <w:pPr>
              <w:spacing w:before="60" w:after="60"/>
            </w:pPr>
            <w:r/>
            <w:r>
              <w:rPr>
                <w:rFonts w:ascii="Source Sans 3" w:hAnsi="Source Sans 3" w:cs="Source Sans 3"/>
                <w:color w:val="272421"/>
                <w:sz w:val="18"/>
              </w:rPr>
              <w:t>Weighted SPI</w:t>
            </w:r>
          </w:p>
        </w:tc>
        <w:tc>
          <w:tcPr>
            <w:tcW w:type="dxa" w:w="4759"/>
          </w:tcPr>
          <w:p>
            <w:pPr>
              <w:spacing w:before="60" w:after="60"/>
            </w:pPr>
            <w:r/>
            <w:r>
              <w:rPr>
                <w:rFonts w:ascii="Source Sans 3" w:hAnsi="Source Sans 3" w:cs="Source Sans 3"/>
                <w:color w:val="272421"/>
                <w:sz w:val="18"/>
              </w:rPr>
              <w:t>0.987</w:t>
            </w:r>
          </w:p>
        </w:tc>
      </w:tr>
      <w:tr>
        <w:tc>
          <w:tcPr>
            <w:tcW w:type="dxa" w:w="4759"/>
            <w:shd w:val="clear" w:color="auto" w:fill="F4F0E8"/>
          </w:tcPr>
          <w:p>
            <w:pPr>
              <w:spacing w:before="60" w:after="60"/>
            </w:pPr>
            <w:r/>
            <w:r>
              <w:rPr>
                <w:rFonts w:ascii="Source Sans 3" w:hAnsi="Source Sans 3" w:cs="Source Sans 3"/>
                <w:color w:val="272421"/>
                <w:sz w:val="18"/>
              </w:rPr>
              <w:t>Average forecast delay</w:t>
            </w:r>
          </w:p>
        </w:tc>
        <w:tc>
          <w:tcPr>
            <w:tcW w:type="dxa" w:w="4759"/>
            <w:shd w:val="clear" w:color="auto" w:fill="F4F0E8"/>
          </w:tcPr>
          <w:p>
            <w:pPr>
              <w:spacing w:before="60" w:after="60"/>
            </w:pPr>
            <w:r/>
            <w:r>
              <w:rPr>
                <w:rFonts w:ascii="Source Sans 3" w:hAnsi="Source Sans 3" w:cs="Source Sans 3"/>
                <w:color w:val="272421"/>
                <w:sz w:val="18"/>
              </w:rPr>
              <w:t>33.7 days</w:t>
            </w:r>
          </w:p>
        </w:tc>
      </w:tr>
      <w:tr>
        <w:tc>
          <w:tcPr>
            <w:tcW w:type="dxa" w:w="4759"/>
          </w:tcPr>
          <w:p>
            <w:pPr>
              <w:spacing w:before="60" w:after="60"/>
            </w:pPr>
            <w:r/>
            <w:r>
              <w:rPr>
                <w:rFonts w:ascii="Source Sans 3" w:hAnsi="Source Sans 3" w:cs="Source Sans 3"/>
                <w:color w:val="272421"/>
                <w:sz w:val="18"/>
              </w:rPr>
              <w:t>Health distribution</w:t>
            </w:r>
          </w:p>
        </w:tc>
        <w:tc>
          <w:tcPr>
            <w:tcW w:type="dxa" w:w="4759"/>
          </w:tcPr>
          <w:p>
            <w:pPr>
              <w:spacing w:before="60" w:after="60"/>
            </w:pPr>
            <w:r/>
            <w:r>
              <w:rPr>
                <w:rFonts w:ascii="Source Sans 3" w:hAnsi="Source Sans 3" w:cs="Source Sans 3"/>
                <w:color w:val="272421"/>
                <w:sz w:val="18"/>
              </w:rPr>
              <w:t>50 Red / 13 Yellow / 12 Green</w:t>
            </w:r>
          </w:p>
        </w:tc>
      </w:tr>
    </w:tbl>
    <w:p/>
    <w:p>
      <w:pPr>
        <w:spacing w:before="200" w:after="0"/>
        <w:jc w:val="center"/>
      </w:pPr>
      <w:r>
        <w:drawing>
          <wp:inline xmlns:a="http://schemas.openxmlformats.org/drawingml/2006/main" xmlns:pic="http://schemas.openxmlformats.org/drawingml/2006/picture">
            <wp:extent cx="5760000" cy="3184696"/>
            <wp:docPr id="2" name="Picture 2"/>
            <wp:cNvGraphicFramePr>
              <a:graphicFrameLocks noChangeAspect="1"/>
            </wp:cNvGraphicFramePr>
            <a:graphic>
              <a:graphicData uri="http://schemas.openxmlformats.org/drawingml/2006/picture">
                <pic:pic>
                  <pic:nvPicPr>
                    <pic:cNvPr id="0" name="portfolio_health_overview.png"/>
                    <pic:cNvPicPr/>
                  </pic:nvPicPr>
                  <pic:blipFill>
                    <a:blip r:embed="rId11"/>
                    <a:stretch>
                      <a:fillRect/>
                    </a:stretch>
                  </pic:blipFill>
                  <pic:spPr>
                    <a:xfrm>
                      <a:off x="0" y="0"/>
                      <a:ext cx="5760000" cy="3184696"/>
                    </a:xfrm>
                    <a:prstGeom prst="rect"/>
                  </pic:spPr>
                </pic:pic>
              </a:graphicData>
            </a:graphic>
          </wp:inline>
        </w:drawing>
      </w:r>
    </w:p>
    <w:p>
      <w:pPr>
        <w:pStyle w:val="FigCaption"/>
      </w:pPr>
      <w:r>
        <w:rPr>
          <w:b/>
          <w:color w:val="A04732"/>
        </w:rPr>
        <w:t xml:space="preserve">Figure 1. </w:t>
      </w:r>
      <w:r>
        <w:t>Portfolio health distribution and headline position across the 75-project portfolio.</w:t>
      </w:r>
    </w:p>
    <w:p>
      <w:pPr>
        <w:pStyle w:val="Heading2"/>
      </w:pPr>
      <w:r>
        <w:rPr>
          <w:b w:val="0"/>
          <w:i w:val="0"/>
        </w:rPr>
        <w:t>5.3 Findings</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Finding</w:t>
            </w:r>
          </w:p>
        </w:tc>
        <w:tc>
          <w:tcPr>
            <w:tcW w:type="dxa" w:w="4759"/>
            <w:shd w:val="clear" w:color="auto" w:fill="02000B"/>
          </w:tcPr>
          <w:p>
            <w:pPr>
              <w:spacing w:before="60" w:after="60"/>
            </w:pPr>
            <w:r/>
            <w:r>
              <w:rPr>
                <w:rFonts w:ascii="Roboto Slab" w:hAnsi="Roboto Slab" w:cs="Roboto Slab"/>
                <w:b/>
                <w:color w:val="FFFFFF"/>
                <w:sz w:val="18"/>
              </w:rPr>
              <w:t>Result</w:t>
            </w:r>
          </w:p>
        </w:tc>
      </w:tr>
      <w:tr>
        <w:tc>
          <w:tcPr>
            <w:tcW w:type="dxa" w:w="4759"/>
          </w:tcPr>
          <w:p>
            <w:pPr>
              <w:spacing w:before="60" w:after="60"/>
            </w:pPr>
            <w:r/>
            <w:r>
              <w:rPr>
                <w:rFonts w:ascii="Source Sans 3" w:hAnsi="Source Sans 3" w:cs="Source Sans 3"/>
                <w:color w:val="272421"/>
                <w:sz w:val="18"/>
              </w:rPr>
              <w:t>Cost efficiency</w:t>
            </w:r>
          </w:p>
        </w:tc>
        <w:tc>
          <w:tcPr>
            <w:tcW w:type="dxa" w:w="4759"/>
          </w:tcPr>
          <w:p>
            <w:pPr>
              <w:spacing w:before="60" w:after="60"/>
            </w:pPr>
            <w:r/>
            <w:r>
              <w:rPr>
                <w:rFonts w:ascii="Source Sans 3" w:hAnsi="Source Sans 3" w:cs="Source Sans 3"/>
                <w:color w:val="272421"/>
                <w:sz w:val="18"/>
              </w:rPr>
              <w:t>Weighted CPI 0.884; forecast variance $755.6M unfavorable.</w:t>
            </w:r>
          </w:p>
        </w:tc>
      </w:tr>
      <w:tr>
        <w:tc>
          <w:tcPr>
            <w:tcW w:type="dxa" w:w="4759"/>
            <w:shd w:val="clear" w:color="auto" w:fill="F4F0E8"/>
          </w:tcPr>
          <w:p>
            <w:pPr>
              <w:spacing w:before="60" w:after="60"/>
            </w:pPr>
            <w:r/>
            <w:r>
              <w:rPr>
                <w:rFonts w:ascii="Source Sans 3" w:hAnsi="Source Sans 3" w:cs="Source Sans 3"/>
                <w:color w:val="272421"/>
                <w:sz w:val="18"/>
              </w:rPr>
              <w:t>Schedule</w:t>
            </w:r>
          </w:p>
        </w:tc>
        <w:tc>
          <w:tcPr>
            <w:tcW w:type="dxa" w:w="4759"/>
            <w:shd w:val="clear" w:color="auto" w:fill="F4F0E8"/>
          </w:tcPr>
          <w:p>
            <w:pPr>
              <w:spacing w:before="60" w:after="60"/>
            </w:pPr>
            <w:r/>
            <w:r>
              <w:rPr>
                <w:rFonts w:ascii="Source Sans 3" w:hAnsi="Source Sans 3" w:cs="Source Sans 3"/>
                <w:color w:val="272421"/>
                <w:sz w:val="18"/>
              </w:rPr>
              <w:t>Weighted SPI 0.987; average delay 33.7 days.</w:t>
            </w:r>
          </w:p>
        </w:tc>
      </w:tr>
      <w:tr>
        <w:tc>
          <w:tcPr>
            <w:tcW w:type="dxa" w:w="4759"/>
          </w:tcPr>
          <w:p>
            <w:pPr>
              <w:spacing w:before="60" w:after="60"/>
            </w:pPr>
            <w:r/>
            <w:r>
              <w:rPr>
                <w:rFonts w:ascii="Source Sans 3" w:hAnsi="Source Sans 3" w:cs="Source Sans 3"/>
                <w:color w:val="272421"/>
                <w:sz w:val="18"/>
              </w:rPr>
              <w:t>Health</w:t>
            </w:r>
          </w:p>
        </w:tc>
        <w:tc>
          <w:tcPr>
            <w:tcW w:type="dxa" w:w="4759"/>
          </w:tcPr>
          <w:p>
            <w:pPr>
              <w:spacing w:before="60" w:after="60"/>
            </w:pPr>
            <w:r/>
            <w:r>
              <w:rPr>
                <w:rFonts w:ascii="Source Sans 3" w:hAnsi="Source Sans 3" w:cs="Source Sans 3"/>
                <w:color w:val="272421"/>
                <w:sz w:val="18"/>
              </w:rPr>
              <w:t>50 Red, 13 Yellow, 12 Green.</w:t>
            </w:r>
          </w:p>
        </w:tc>
      </w:tr>
      <w:tr>
        <w:tc>
          <w:tcPr>
            <w:tcW w:type="dxa" w:w="4759"/>
            <w:shd w:val="clear" w:color="auto" w:fill="F4F0E8"/>
          </w:tcPr>
          <w:p>
            <w:pPr>
              <w:spacing w:before="60" w:after="60"/>
            </w:pPr>
            <w:r/>
            <w:r>
              <w:rPr>
                <w:rFonts w:ascii="Source Sans 3" w:hAnsi="Source Sans 3" w:cs="Source Sans 3"/>
                <w:color w:val="272421"/>
                <w:sz w:val="18"/>
              </w:rPr>
              <w:t>Contingency</w:t>
            </w:r>
          </w:p>
        </w:tc>
        <w:tc>
          <w:tcPr>
            <w:tcW w:type="dxa" w:w="4759"/>
            <w:shd w:val="clear" w:color="auto" w:fill="F4F0E8"/>
          </w:tcPr>
          <w:p>
            <w:pPr>
              <w:spacing w:before="60" w:after="60"/>
            </w:pPr>
            <w:r/>
            <w:r>
              <w:rPr>
                <w:rFonts w:ascii="Source Sans 3" w:hAnsi="Source Sans 3" w:cs="Source Sans 3"/>
                <w:color w:val="272421"/>
                <w:sz w:val="18"/>
              </w:rPr>
              <w:t>Burn ratio vs forecast overrun: r = 0.901, the strongest tested early-warning relationship.</w:t>
            </w:r>
          </w:p>
        </w:tc>
      </w:tr>
      <w:tr>
        <w:tc>
          <w:tcPr>
            <w:tcW w:type="dxa" w:w="4759"/>
          </w:tcPr>
          <w:p>
            <w:pPr>
              <w:spacing w:before="60" w:after="60"/>
            </w:pPr>
            <w:r/>
            <w:r>
              <w:rPr>
                <w:rFonts w:ascii="Source Sans 3" w:hAnsi="Source Sans 3" w:cs="Source Sans 3"/>
                <w:color w:val="272421"/>
                <w:sz w:val="18"/>
              </w:rPr>
              <w:t>RFI</w:t>
            </w:r>
          </w:p>
        </w:tc>
        <w:tc>
          <w:tcPr>
            <w:tcW w:type="dxa" w:w="4759"/>
          </w:tcPr>
          <w:p>
            <w:pPr>
              <w:spacing w:before="60" w:after="60"/>
            </w:pPr>
            <w:r/>
            <w:r>
              <w:rPr>
                <w:rFonts w:ascii="Source Sans 3" w:hAnsi="Source Sans 3" w:cs="Source Sans 3"/>
                <w:color w:val="272421"/>
                <w:sz w:val="18"/>
              </w:rPr>
              <w:t>Average response days vs delay: r = 0.517; response timeliness was more useful than raw RFI density.</w:t>
            </w:r>
          </w:p>
        </w:tc>
      </w:tr>
      <w:tr>
        <w:tc>
          <w:tcPr>
            <w:tcW w:type="dxa" w:w="4759"/>
            <w:shd w:val="clear" w:color="auto" w:fill="F4F0E8"/>
          </w:tcPr>
          <w:p>
            <w:pPr>
              <w:spacing w:before="60" w:after="60"/>
            </w:pPr>
            <w:r/>
            <w:r>
              <w:rPr>
                <w:rFonts w:ascii="Source Sans 3" w:hAnsi="Source Sans 3" w:cs="Source Sans 3"/>
                <w:color w:val="272421"/>
                <w:sz w:val="18"/>
              </w:rPr>
              <w:t>Changes</w:t>
            </w:r>
          </w:p>
        </w:tc>
        <w:tc>
          <w:tcPr>
            <w:tcW w:type="dxa" w:w="4759"/>
            <w:shd w:val="clear" w:color="auto" w:fill="F4F0E8"/>
          </w:tcPr>
          <w:p>
            <w:pPr>
              <w:spacing w:before="60" w:after="60"/>
            </w:pPr>
            <w:r/>
            <w:r>
              <w:rPr>
                <w:rFonts w:ascii="Source Sans 3" w:hAnsi="Source Sans 3" w:cs="Source Sans 3"/>
                <w:color w:val="272421"/>
                <w:sz w:val="18"/>
              </w:rPr>
              <w:t>Approved change value $151.6M; pending exposure $30.9M.</w:t>
            </w:r>
          </w:p>
        </w:tc>
      </w:tr>
    </w:tbl>
    <w:p/>
    <w:p>
      <w:pPr>
        <w:spacing w:before="200" w:after="0"/>
        <w:jc w:val="center"/>
      </w:pPr>
      <w:r>
        <w:drawing>
          <wp:inline xmlns:a="http://schemas.openxmlformats.org/drawingml/2006/main" xmlns:pic="http://schemas.openxmlformats.org/drawingml/2006/picture">
            <wp:extent cx="5760000" cy="2799360"/>
            <wp:docPr id="3" name="Picture 3"/>
            <wp:cNvGraphicFramePr>
              <a:graphicFrameLocks noChangeAspect="1"/>
            </wp:cNvGraphicFramePr>
            <a:graphic>
              <a:graphicData uri="http://schemas.openxmlformats.org/drawingml/2006/picture">
                <pic:pic>
                  <pic:nvPicPr>
                    <pic:cNvPr id="0" name="cpi_spi_trend.png"/>
                    <pic:cNvPicPr/>
                  </pic:nvPicPr>
                  <pic:blipFill>
                    <a:blip r:embed="rId12"/>
                    <a:stretch>
                      <a:fillRect/>
                    </a:stretch>
                  </pic:blipFill>
                  <pic:spPr>
                    <a:xfrm>
                      <a:off x="0" y="0"/>
                      <a:ext cx="5760000" cy="2799360"/>
                    </a:xfrm>
                    <a:prstGeom prst="rect"/>
                  </pic:spPr>
                </pic:pic>
              </a:graphicData>
            </a:graphic>
          </wp:inline>
        </w:drawing>
      </w:r>
    </w:p>
    <w:p>
      <w:pPr>
        <w:pStyle w:val="FigCaption"/>
      </w:pPr>
      <w:r>
        <w:rPr>
          <w:b/>
          <w:color w:val="A04732"/>
        </w:rPr>
        <w:t xml:space="preserve">Figure 2. </w:t>
      </w:r>
      <w:r>
        <w:t>Weighted CPI and SPI by reporting month, January 2022 to December 2025.</w:t>
      </w:r>
    </w:p>
    <w:p>
      <w:pPr>
        <w:spacing w:before="200" w:after="0"/>
        <w:jc w:val="center"/>
      </w:pPr>
      <w:r>
        <w:drawing>
          <wp:inline xmlns:a="http://schemas.openxmlformats.org/drawingml/2006/main" xmlns:pic="http://schemas.openxmlformats.org/drawingml/2006/picture">
            <wp:extent cx="5760000" cy="2737895"/>
            <wp:docPr id="4" name="Picture 4"/>
            <wp:cNvGraphicFramePr>
              <a:graphicFrameLocks noChangeAspect="1"/>
            </wp:cNvGraphicFramePr>
            <a:graphic>
              <a:graphicData uri="http://schemas.openxmlformats.org/drawingml/2006/picture">
                <pic:pic>
                  <pic:nvPicPr>
                    <pic:cNvPr id="0" name="early_warning_correlations.png"/>
                    <pic:cNvPicPr/>
                  </pic:nvPicPr>
                  <pic:blipFill>
                    <a:blip r:embed="rId13"/>
                    <a:stretch>
                      <a:fillRect/>
                    </a:stretch>
                  </pic:blipFill>
                  <pic:spPr>
                    <a:xfrm>
                      <a:off x="0" y="0"/>
                      <a:ext cx="5760000" cy="2737895"/>
                    </a:xfrm>
                    <a:prstGeom prst="rect"/>
                  </pic:spPr>
                </pic:pic>
              </a:graphicData>
            </a:graphic>
          </wp:inline>
        </w:drawing>
      </w:r>
    </w:p>
    <w:p>
      <w:pPr>
        <w:pStyle w:val="FigCaption"/>
      </w:pPr>
      <w:r>
        <w:rPr>
          <w:b/>
          <w:color w:val="A04732"/>
        </w:rPr>
        <w:t xml:space="preserve">Figure 3. </w:t>
      </w:r>
      <w:r>
        <w:t>Tested early-warning relationships: contingency burn ratio against forecast overrun, and average RFI response time against schedule delay.</w:t>
      </w:r>
    </w:p>
    <w:p>
      <w:pPr>
        <w:pStyle w:val="Heading2"/>
      </w:pPr>
      <w:r>
        <w:rPr>
          <w:b w:val="0"/>
          <w:i w:val="0"/>
        </w:rPr>
        <w:t>5.4 Important Interpretation Controls</w:t>
      </w:r>
    </w:p>
    <w:p>
      <w:pPr>
        <w:pStyle w:val="ListBullet"/>
      </w:pPr>
      <w:r>
        <w:rPr>
          <w:b w:val="0"/>
          <w:i w:val="0"/>
        </w:rPr>
        <w:t>Correlation measures association and does not establish causation.</w:t>
      </w:r>
    </w:p>
    <w:p>
      <w:pPr>
        <w:pStyle w:val="ListBullet"/>
      </w:pPr>
      <w:r>
        <w:rPr>
          <w:b w:val="0"/>
          <w:i w:val="0"/>
        </w:rPr>
        <w:t>Cost Growth % is definitionally linked to approved changes because Current Budget was constructed from Original Budget plus approved changes.</w:t>
      </w:r>
    </w:p>
    <w:p>
      <w:pPr>
        <w:pStyle w:val="ListBullet"/>
      </w:pPr>
      <w:r>
        <w:rPr>
          <w:b w:val="0"/>
          <w:i w:val="0"/>
        </w:rPr>
        <w:t>SPI may converge near completion, so calendar delay must also be monitored.</w:t>
      </w:r>
    </w:p>
    <w:p>
      <w:pPr>
        <w:pStyle w:val="ListBullet"/>
      </w:pPr>
      <w:r>
        <w:rPr>
          <w:b w:val="0"/>
          <w:i w:val="0"/>
        </w:rPr>
        <w:t>Group comparisons are portfolio observations, not industry benchmarks.</w:t>
      </w:r>
    </w:p>
    <w:p>
      <w:pPr>
        <w:pStyle w:val="Heading1"/>
        <w:pBdr>
          <w:bottom w:val="single" w:sz="8" w:space="4" w:color="A04732"/>
        </w:pBdr>
      </w:pPr>
      <w:r>
        <w:rPr>
          <w:b w:val="0"/>
          <w:i w:val="0"/>
        </w:rPr>
        <w:t>6. Share Phase</w:t>
      </w:r>
    </w:p>
    <w:p>
      <w:pPr>
        <w:pStyle w:val="Heading2"/>
      </w:pPr>
      <w:r>
        <w:rPr>
          <w:b w:val="0"/>
          <w:i w:val="0"/>
        </w:rPr>
        <w:t>6.1 Executive Communication</w:t>
      </w:r>
    </w:p>
    <w:p>
      <w:pPr/>
      <w:r>
        <w:rPr>
          <w:b w:val="0"/>
          <w:i w:val="0"/>
        </w:rPr>
        <w:t>The Share phase translated the analysis into an executive dashboard, operational diagnostic view, personal portfolio page, In Project LLC case-study page, GitHub-ready summary, and Tableau/Power BI build specification.</w:t>
      </w:r>
    </w:p>
    <w:p>
      <w:pPr>
        <w:spacing w:before="200" w:after="0"/>
        <w:jc w:val="center"/>
      </w:pPr>
      <w:r>
        <w:drawing>
          <wp:inline xmlns:a="http://schemas.openxmlformats.org/drawingml/2006/main" xmlns:pic="http://schemas.openxmlformats.org/drawingml/2006/picture">
            <wp:extent cx="5760000" cy="2837015"/>
            <wp:docPr id="5" name="Picture 5"/>
            <wp:cNvGraphicFramePr>
              <a:graphicFrameLocks noChangeAspect="1"/>
            </wp:cNvGraphicFramePr>
            <a:graphic>
              <a:graphicData uri="http://schemas.openxmlformats.org/drawingml/2006/picture">
                <pic:pic>
                  <pic:nvPicPr>
                    <pic:cNvPr id="0" name="forecast_overrun_by_project_type.png"/>
                    <pic:cNvPicPr/>
                  </pic:nvPicPr>
                  <pic:blipFill>
                    <a:blip r:embed="rId14"/>
                    <a:stretch>
                      <a:fillRect/>
                    </a:stretch>
                  </pic:blipFill>
                  <pic:spPr>
                    <a:xfrm>
                      <a:off x="0" y="0"/>
                      <a:ext cx="5760000" cy="2837015"/>
                    </a:xfrm>
                    <a:prstGeom prst="rect"/>
                  </pic:spPr>
                </pic:pic>
              </a:graphicData>
            </a:graphic>
          </wp:inline>
        </w:drawing>
      </w:r>
    </w:p>
    <w:p>
      <w:pPr>
        <w:pStyle w:val="FigCaption"/>
      </w:pPr>
      <w:r>
        <w:rPr>
          <w:b/>
          <w:color w:val="A04732"/>
        </w:rPr>
        <w:t xml:space="preserve">Figure 4. </w:t>
      </w:r>
      <w:r>
        <w:t>Forecast overrun by project type, with project counts.</w:t>
      </w:r>
    </w:p>
    <w:p>
      <w:pPr>
        <w:pStyle w:val="Heading2"/>
      </w:pPr>
      <w:r>
        <w:rPr>
          <w:b w:val="0"/>
          <w:i w:val="0"/>
        </w:rPr>
        <w:t>6.2 Visual Narrative</w:t>
      </w:r>
    </w:p>
    <w:p>
      <w:pPr/>
      <w:r>
        <w:rPr>
          <w:b w:val="0"/>
          <w:i w:val="0"/>
        </w:rPr>
        <w:t>1. Portfolio exposure and status</w:t>
      </w:r>
    </w:p>
    <w:p>
      <w:pPr/>
      <w:r>
        <w:rPr>
          <w:b w:val="0"/>
          <w:i w:val="0"/>
        </w:rPr>
        <w:t>2. Projects requiring management attention</w:t>
      </w:r>
    </w:p>
    <w:p>
      <w:pPr/>
      <w:r>
        <w:rPr>
          <w:b w:val="0"/>
          <w:i w:val="0"/>
        </w:rPr>
        <w:t>3. Performance by project type</w:t>
      </w:r>
    </w:p>
    <w:p>
      <w:pPr/>
      <w:r>
        <w:rPr>
          <w:b w:val="0"/>
          <w:i w:val="0"/>
        </w:rPr>
        <w:t>4. Monthly cost and schedule trends</w:t>
      </w:r>
    </w:p>
    <w:p>
      <w:pPr/>
      <w:r>
        <w:rPr>
          <w:b w:val="0"/>
          <w:i w:val="0"/>
        </w:rPr>
        <w:t>5. Operational causes and response performance</w:t>
      </w:r>
    </w:p>
    <w:p>
      <w:pPr/>
      <w:r>
        <w:rPr>
          <w:b w:val="0"/>
          <w:i w:val="0"/>
        </w:rPr>
        <w:t>6. Limitations and ethical disclosure</w:t>
      </w:r>
    </w:p>
    <w:p>
      <w:pPr>
        <w:spacing w:before="200" w:after="0"/>
        <w:jc w:val="center"/>
      </w:pPr>
      <w:r>
        <w:drawing>
          <wp:inline xmlns:a="http://schemas.openxmlformats.org/drawingml/2006/main" xmlns:pic="http://schemas.openxmlformats.org/drawingml/2006/picture">
            <wp:extent cx="5760000" cy="2629006"/>
            <wp:docPr id="6" name="Picture 6"/>
            <wp:cNvGraphicFramePr>
              <a:graphicFrameLocks noChangeAspect="1"/>
            </wp:cNvGraphicFramePr>
            <a:graphic>
              <a:graphicData uri="http://schemas.openxmlformats.org/drawingml/2006/picture">
                <pic:pic>
                  <pic:nvPicPr>
                    <pic:cNvPr id="0" name="top_10_risk_projects.png"/>
                    <pic:cNvPicPr/>
                  </pic:nvPicPr>
                  <pic:blipFill>
                    <a:blip r:embed="rId15"/>
                    <a:stretch>
                      <a:fillRect/>
                    </a:stretch>
                  </pic:blipFill>
                  <pic:spPr>
                    <a:xfrm>
                      <a:off x="0" y="0"/>
                      <a:ext cx="5760000" cy="2629006"/>
                    </a:xfrm>
                    <a:prstGeom prst="rect"/>
                  </pic:spPr>
                </pic:pic>
              </a:graphicData>
            </a:graphic>
          </wp:inline>
        </w:drawing>
      </w:r>
    </w:p>
    <w:p>
      <w:pPr>
        <w:pStyle w:val="FigCaption"/>
      </w:pPr>
      <w:r>
        <w:rPr>
          <w:b/>
          <w:color w:val="A04732"/>
        </w:rPr>
        <w:t xml:space="preserve">Figure 5. </w:t>
      </w:r>
      <w:r>
        <w:t>The ten projects carrying the largest forecast overrun, with CPI and schedule delay.</w:t>
      </w:r>
    </w:p>
    <w:p>
      <w:pPr>
        <w:pStyle w:val="Heading2"/>
      </w:pPr>
      <w:r>
        <w:rPr>
          <w:b w:val="0"/>
          <w:i w:val="0"/>
        </w:rPr>
        <w:t>6.3 Operational Insights</w:t>
      </w:r>
    </w:p>
    <w:p>
      <w:pPr>
        <w:spacing w:before="200" w:after="0"/>
        <w:jc w:val="center"/>
      </w:pPr>
      <w:r>
        <w:drawing>
          <wp:inline xmlns:a="http://schemas.openxmlformats.org/drawingml/2006/main" xmlns:pic="http://schemas.openxmlformats.org/drawingml/2006/picture">
            <wp:extent cx="5760000" cy="2559328"/>
            <wp:docPr id="7" name="Picture 7"/>
            <wp:cNvGraphicFramePr>
              <a:graphicFrameLocks noChangeAspect="1"/>
            </wp:cNvGraphicFramePr>
            <a:graphic>
              <a:graphicData uri="http://schemas.openxmlformats.org/drawingml/2006/picture">
                <pic:pic>
                  <pic:nvPicPr>
                    <pic:cNvPr id="0" name="change_orders_by_category.png"/>
                    <pic:cNvPicPr/>
                  </pic:nvPicPr>
                  <pic:blipFill>
                    <a:blip r:embed="rId16"/>
                    <a:stretch>
                      <a:fillRect/>
                    </a:stretch>
                  </pic:blipFill>
                  <pic:spPr>
                    <a:xfrm>
                      <a:off x="0" y="0"/>
                      <a:ext cx="5760000" cy="2559328"/>
                    </a:xfrm>
                    <a:prstGeom prst="rect"/>
                  </pic:spPr>
                </pic:pic>
              </a:graphicData>
            </a:graphic>
          </wp:inline>
        </w:drawing>
      </w:r>
    </w:p>
    <w:p>
      <w:pPr>
        <w:pStyle w:val="FigCaption"/>
      </w:pPr>
      <w:r>
        <w:rPr>
          <w:b/>
          <w:color w:val="A04732"/>
        </w:rPr>
        <w:t xml:space="preserve">Figure 6. </w:t>
      </w:r>
      <w:r>
        <w:t>Approved change-order value and approved schedule impact by change category.</w:t>
      </w:r>
    </w:p>
    <w:p>
      <w:pPr>
        <w:spacing w:before="200" w:after="0"/>
        <w:jc w:val="center"/>
      </w:pPr>
      <w:r>
        <w:drawing>
          <wp:inline xmlns:a="http://schemas.openxmlformats.org/drawingml/2006/main" xmlns:pic="http://schemas.openxmlformats.org/drawingml/2006/picture">
            <wp:extent cx="5760000" cy="2456842"/>
            <wp:docPr id="8" name="Picture 8"/>
            <wp:cNvGraphicFramePr>
              <a:graphicFrameLocks noChangeAspect="1"/>
            </wp:cNvGraphicFramePr>
            <a:graphic>
              <a:graphicData uri="http://schemas.openxmlformats.org/drawingml/2006/picture">
                <pic:pic>
                  <pic:nvPicPr>
                    <pic:cNvPr id="0" name="rfi_performance_by_discipline.png"/>
                    <pic:cNvPicPr/>
                  </pic:nvPicPr>
                  <pic:blipFill>
                    <a:blip r:embed="rId17"/>
                    <a:stretch>
                      <a:fillRect/>
                    </a:stretch>
                  </pic:blipFill>
                  <pic:spPr>
                    <a:xfrm>
                      <a:off x="0" y="0"/>
                      <a:ext cx="5760000" cy="2456842"/>
                    </a:xfrm>
                    <a:prstGeom prst="rect"/>
                  </pic:spPr>
                </pic:pic>
              </a:graphicData>
            </a:graphic>
          </wp:inline>
        </w:drawing>
      </w:r>
    </w:p>
    <w:p>
      <w:pPr>
        <w:pStyle w:val="FigCaption"/>
      </w:pPr>
      <w:r>
        <w:rPr>
          <w:b/>
          <w:color w:val="A04732"/>
        </w:rPr>
        <w:t xml:space="preserve">Figure 7. </w:t>
      </w:r>
      <w:r>
        <w:t>Average RFI response time and late-RFI rate by discipline.</w:t>
      </w:r>
    </w:p>
    <w:p>
      <w:pPr>
        <w:pStyle w:val="Heading2"/>
      </w:pPr>
      <w:r>
        <w:rPr>
          <w:b w:val="0"/>
          <w:i w:val="0"/>
        </w:rPr>
        <w:t>6.4 Accessibility and Ethics</w:t>
      </w:r>
    </w:p>
    <w:p>
      <w:pPr>
        <w:pStyle w:val="ListBullet"/>
      </w:pPr>
      <w:r>
        <w:rPr>
          <w:b w:val="0"/>
          <w:i w:val="0"/>
        </w:rPr>
        <w:t>Status labels accompany color coding.</w:t>
      </w:r>
    </w:p>
    <w:p>
      <w:pPr>
        <w:pStyle w:val="ListBullet"/>
      </w:pPr>
      <w:r>
        <w:rPr>
          <w:b w:val="0"/>
          <w:i w:val="0"/>
        </w:rPr>
        <w:t>High-contrast headings and readable number formats are used.</w:t>
      </w:r>
    </w:p>
    <w:p>
      <w:pPr>
        <w:pStyle w:val="ListBullet"/>
      </w:pPr>
      <w:r>
        <w:rPr>
          <w:b w:val="0"/>
          <w:i w:val="0"/>
        </w:rPr>
        <w:t>Synthetic-data disclosure appears in every public-facing version.</w:t>
      </w:r>
    </w:p>
    <w:p>
      <w:pPr>
        <w:pStyle w:val="ListBullet"/>
      </w:pPr>
      <w:r>
        <w:rPr>
          <w:b w:val="0"/>
          <w:i w:val="0"/>
        </w:rPr>
        <w:t>Correlation cautions are included next to relationship findings.</w:t>
      </w:r>
    </w:p>
    <w:p>
      <w:pPr>
        <w:pStyle w:val="ListBullet"/>
      </w:pPr>
      <w:r>
        <w:rPr>
          <w:b w:val="0"/>
          <w:i w:val="0"/>
        </w:rPr>
        <w:t>The company-facing page demonstrates capability without claiming actual client results.</w:t>
      </w:r>
    </w:p>
    <w:p>
      <w:pPr>
        <w:pStyle w:val="Heading1"/>
        <w:pBdr>
          <w:bottom w:val="single" w:sz="8" w:space="4" w:color="A04732"/>
        </w:pBdr>
      </w:pPr>
      <w:r>
        <w:rPr>
          <w:b w:val="0"/>
          <w:i w:val="0"/>
        </w:rPr>
        <w:t>7. Act Phase</w:t>
      </w:r>
    </w:p>
    <w:p>
      <w:pPr>
        <w:pStyle w:val="Heading2"/>
      </w:pPr>
      <w:r>
        <w:rPr>
          <w:b w:val="0"/>
          <w:i w:val="0"/>
        </w:rPr>
        <w:t>7.1 Recommended Program</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Approve a 90-day Project Controls Recovery and Automation Program.</w:t>
            </w:r>
          </w:p>
        </w:tc>
      </w:tr>
    </w:tbl>
    <w:p/>
    <w:p>
      <w:pPr>
        <w:pStyle w:val="Heading2"/>
      </w:pPr>
      <w:r>
        <w:rPr>
          <w:b w:val="0"/>
          <w:i w:val="0"/>
        </w:rPr>
        <w:t>7.2 Immediate Management Actions</w:t>
      </w:r>
    </w:p>
    <w:p>
      <w:pPr/>
      <w:r>
        <w:rPr>
          <w:b w:val="0"/>
          <w:i w:val="0"/>
        </w:rPr>
        <w:t>1. Assign accountable owners and recovery plans to the top 10 projects within 3 business days.</w:t>
      </w:r>
    </w:p>
    <w:p>
      <w:pPr/>
      <w:r>
        <w:rPr>
          <w:b w:val="0"/>
          <w:i w:val="0"/>
        </w:rPr>
        <w:t>2. Independently review ETC and EAC assumptions for cost recovery.</w:t>
      </w:r>
    </w:p>
    <w:p>
      <w:pPr/>
      <w:r>
        <w:rPr>
          <w:b w:val="0"/>
          <w:i w:val="0"/>
        </w:rPr>
        <w:t>3. Complete critical-path, constraint, procurement, and look-ahead schedule reviews.</w:t>
      </w:r>
    </w:p>
    <w:p>
      <w:pPr/>
      <w:r>
        <w:rPr>
          <w:b w:val="0"/>
          <w:i w:val="0"/>
        </w:rPr>
        <w:t>4. Require approved risk/change linkage for every contingency drawdown.</w:t>
      </w:r>
    </w:p>
    <w:p>
      <w:pPr/>
      <w:r>
        <w:rPr>
          <w:b w:val="0"/>
          <w:i w:val="0"/>
        </w:rPr>
        <w:t>5. Run an RFI closure sprint, prioritizing overdue High and Critical RFIs.</w:t>
      </w:r>
    </w:p>
    <w:p>
      <w:pPr/>
      <w:r>
        <w:rPr>
          <w:b w:val="0"/>
          <w:i w:val="0"/>
        </w:rPr>
        <w:t>6. Establish weekly change triage and incorporate approved changes into forecasts within 5 business days.</w:t>
      </w:r>
    </w:p>
    <w:p>
      <w:pPr>
        <w:pStyle w:val="Heading2"/>
      </w:pPr>
      <w:r>
        <w:rPr>
          <w:b w:val="0"/>
          <w:i w:val="0"/>
        </w:rPr>
        <w:t>7.3 30/60/90-Day Roadmap</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02000B"/>
          </w:tcPr>
          <w:p>
            <w:pPr>
              <w:spacing w:before="60" w:after="60"/>
            </w:pPr>
            <w:r/>
            <w:r>
              <w:rPr>
                <w:rFonts w:ascii="Roboto Slab" w:hAnsi="Roboto Slab" w:cs="Roboto Slab"/>
                <w:b/>
                <w:color w:val="FFFFFF"/>
                <w:sz w:val="18"/>
              </w:rPr>
              <w:t>Period</w:t>
            </w:r>
          </w:p>
        </w:tc>
        <w:tc>
          <w:tcPr>
            <w:tcW w:type="dxa" w:w="3173"/>
            <w:shd w:val="clear" w:color="auto" w:fill="02000B"/>
          </w:tcPr>
          <w:p>
            <w:pPr>
              <w:spacing w:before="60" w:after="60"/>
            </w:pPr>
            <w:r/>
            <w:r>
              <w:rPr>
                <w:rFonts w:ascii="Roboto Slab" w:hAnsi="Roboto Slab" w:cs="Roboto Slab"/>
                <w:b/>
                <w:color w:val="FFFFFF"/>
                <w:sz w:val="18"/>
              </w:rPr>
              <w:t>Focus</w:t>
            </w:r>
          </w:p>
        </w:tc>
        <w:tc>
          <w:tcPr>
            <w:tcW w:type="dxa" w:w="3173"/>
            <w:shd w:val="clear" w:color="auto" w:fill="02000B"/>
          </w:tcPr>
          <w:p>
            <w:pPr>
              <w:spacing w:before="60" w:after="60"/>
            </w:pPr>
            <w:r/>
            <w:r>
              <w:rPr>
                <w:rFonts w:ascii="Roboto Slab" w:hAnsi="Roboto Slab" w:cs="Roboto Slab"/>
                <w:b/>
                <w:color w:val="FFFFFF"/>
                <w:sz w:val="18"/>
              </w:rPr>
              <w:t>Deliverables</w:t>
            </w:r>
          </w:p>
        </w:tc>
      </w:tr>
      <w:tr>
        <w:tc>
          <w:tcPr>
            <w:tcW w:type="dxa" w:w="3173"/>
          </w:tcPr>
          <w:p>
            <w:pPr>
              <w:spacing w:before="60" w:after="60"/>
            </w:pPr>
            <w:r/>
            <w:r>
              <w:rPr>
                <w:rFonts w:ascii="Source Sans 3" w:hAnsi="Source Sans 3" w:cs="Source Sans 3"/>
                <w:color w:val="272421"/>
                <w:sz w:val="18"/>
              </w:rPr>
              <w:t>First 30 days</w:t>
            </w:r>
          </w:p>
        </w:tc>
        <w:tc>
          <w:tcPr>
            <w:tcW w:type="dxa" w:w="3173"/>
          </w:tcPr>
          <w:p>
            <w:pPr>
              <w:spacing w:before="60" w:after="60"/>
            </w:pPr>
            <w:r/>
            <w:r>
              <w:rPr>
                <w:rFonts w:ascii="Source Sans 3" w:hAnsi="Source Sans 3" w:cs="Source Sans 3"/>
                <w:color w:val="272421"/>
                <w:sz w:val="18"/>
              </w:rPr>
              <w:t>Control and recover</w:t>
            </w:r>
          </w:p>
        </w:tc>
        <w:tc>
          <w:tcPr>
            <w:tcW w:type="dxa" w:w="3173"/>
          </w:tcPr>
          <w:p>
            <w:pPr>
              <w:spacing w:before="60" w:after="60"/>
            </w:pPr>
            <w:r/>
            <w:r>
              <w:rPr>
                <w:rFonts w:ascii="Source Sans 3" w:hAnsi="Source Sans 3" w:cs="Source Sans 3"/>
                <w:color w:val="272421"/>
                <w:sz w:val="18"/>
              </w:rPr>
              <w:t>Top-10 interventions; EAC and schedule recovery; contingency controls; RFI sprint; change board; forecast certification.</w:t>
            </w:r>
          </w:p>
        </w:tc>
      </w:tr>
      <w:tr>
        <w:tc>
          <w:tcPr>
            <w:tcW w:type="dxa" w:w="3173"/>
            <w:shd w:val="clear" w:color="auto" w:fill="F4F0E8"/>
          </w:tcPr>
          <w:p>
            <w:pPr>
              <w:spacing w:before="60" w:after="60"/>
            </w:pPr>
            <w:r/>
            <w:r>
              <w:rPr>
                <w:rFonts w:ascii="Source Sans 3" w:hAnsi="Source Sans 3" w:cs="Source Sans 3"/>
                <w:color w:val="272421"/>
                <w:sz w:val="18"/>
              </w:rPr>
              <w:t>Days 31-60</w:t>
            </w:r>
          </w:p>
        </w:tc>
        <w:tc>
          <w:tcPr>
            <w:tcW w:type="dxa" w:w="3173"/>
            <w:shd w:val="clear" w:color="auto" w:fill="F4F0E8"/>
          </w:tcPr>
          <w:p>
            <w:pPr>
              <w:spacing w:before="60" w:after="60"/>
            </w:pPr>
            <w:r/>
            <w:r>
              <w:rPr>
                <w:rFonts w:ascii="Source Sans 3" w:hAnsi="Source Sans 3" w:cs="Source Sans 3"/>
                <w:color w:val="272421"/>
                <w:sz w:val="18"/>
              </w:rPr>
              <w:t>Automate and govern</w:t>
            </w:r>
          </w:p>
        </w:tc>
        <w:tc>
          <w:tcPr>
            <w:tcW w:type="dxa" w:w="3173"/>
            <w:shd w:val="clear" w:color="auto" w:fill="F4F0E8"/>
          </w:tcPr>
          <w:p>
            <w:pPr>
              <w:spacing w:before="60" w:after="60"/>
            </w:pPr>
            <w:r/>
            <w:r>
              <w:rPr>
                <w:rFonts w:ascii="Source Sans 3" w:hAnsi="Source Sans 3" w:cs="Source Sans 3"/>
                <w:color w:val="272421"/>
                <w:sz w:val="18"/>
              </w:rPr>
              <w:t>Publish Power BI; scheduled refresh; failure and threshold alerts; reporting views; refresh runbook.</w:t>
            </w:r>
          </w:p>
        </w:tc>
      </w:tr>
      <w:tr>
        <w:tc>
          <w:tcPr>
            <w:tcW w:type="dxa" w:w="3173"/>
          </w:tcPr>
          <w:p>
            <w:pPr>
              <w:spacing w:before="60" w:after="60"/>
            </w:pPr>
            <w:r/>
            <w:r>
              <w:rPr>
                <w:rFonts w:ascii="Source Sans 3" w:hAnsi="Source Sans 3" w:cs="Source Sans 3"/>
                <w:color w:val="272421"/>
                <w:sz w:val="18"/>
              </w:rPr>
              <w:t>Days 61-90</w:t>
            </w:r>
          </w:p>
        </w:tc>
        <w:tc>
          <w:tcPr>
            <w:tcW w:type="dxa" w:w="3173"/>
          </w:tcPr>
          <w:p>
            <w:pPr>
              <w:spacing w:before="60" w:after="60"/>
            </w:pPr>
            <w:r/>
            <w:r>
              <w:rPr>
                <w:rFonts w:ascii="Source Sans 3" w:hAnsi="Source Sans 3" w:cs="Source Sans 3"/>
                <w:color w:val="272421"/>
                <w:sz w:val="18"/>
              </w:rPr>
              <w:t>Predict and integrate</w:t>
            </w:r>
          </w:p>
        </w:tc>
        <w:tc>
          <w:tcPr>
            <w:tcW w:type="dxa" w:w="3173"/>
          </w:tcPr>
          <w:p>
            <w:pPr>
              <w:spacing w:before="60" w:after="60"/>
            </w:pPr>
            <w:r/>
            <w:r>
              <w:rPr>
                <w:rFonts w:ascii="Source Sans 3" w:hAnsi="Source Sans 3" w:cs="Source Sans 3"/>
                <w:color w:val="272421"/>
                <w:sz w:val="18"/>
              </w:rPr>
              <w:t>Python risk pilot; prediction table; In Project AI read-only tools; security testing; pilot decision.</w:t>
            </w:r>
          </w:p>
        </w:tc>
      </w:tr>
    </w:tbl>
    <w:p/>
    <w:p>
      <w:pPr>
        <w:pStyle w:val="Heading2"/>
      </w:pPr>
      <w:r>
        <w:rPr>
          <w:b w:val="0"/>
          <w:i w:val="0"/>
        </w:rPr>
        <w:t>7.4 Proposed Targets</w:t>
      </w:r>
    </w:p>
    <w:p>
      <w:pPr>
        <w:pStyle w:val="ListBullet"/>
      </w:pPr>
      <w:r>
        <w:rPr>
          <w:b w:val="0"/>
          <w:i w:val="0"/>
        </w:rPr>
        <w:t>100% top-10 intervention ownership within 3 business days</w:t>
      </w:r>
    </w:p>
    <w:p>
      <w:pPr>
        <w:pStyle w:val="ListBullet"/>
      </w:pPr>
      <w:r>
        <w:rPr>
          <w:b w:val="0"/>
          <w:i w:val="0"/>
        </w:rPr>
        <w:t>100% weekly review coverage for Red projects</w:t>
      </w:r>
    </w:p>
    <w:p>
      <w:pPr>
        <w:pStyle w:val="ListBullet"/>
      </w:pPr>
      <w:r>
        <w:rPr>
          <w:b w:val="0"/>
          <w:i w:val="0"/>
        </w:rPr>
        <w:t>CPI improvement of at least 0.02 over 90 days</w:t>
      </w:r>
    </w:p>
    <w:p>
      <w:pPr>
        <w:pStyle w:val="ListBullet"/>
      </w:pPr>
      <w:r>
        <w:rPr>
          <w:b w:val="0"/>
          <w:i w:val="0"/>
        </w:rPr>
        <w:t>Average forecast-delay reduction of at least 10 days over 90 days</w:t>
      </w:r>
    </w:p>
    <w:p>
      <w:pPr>
        <w:pStyle w:val="ListBullet"/>
      </w:pPr>
      <w:r>
        <w:rPr>
          <w:b w:val="0"/>
          <w:i w:val="0"/>
        </w:rPr>
        <w:t>At least 90% on-time response for High/Critical RFIs</w:t>
      </w:r>
    </w:p>
    <w:p>
      <w:pPr>
        <w:pStyle w:val="ListBullet"/>
      </w:pPr>
      <w:r>
        <w:rPr>
          <w:b w:val="0"/>
          <w:i w:val="0"/>
        </w:rPr>
        <w:t>At least 98% Power BI scheduled-refresh success</w:t>
      </w:r>
    </w:p>
    <w:p>
      <w:pPr>
        <w:pStyle w:val="ListBullet"/>
      </w:pPr>
      <w:r>
        <w:rPr>
          <w:b w:val="0"/>
          <w:i w:val="0"/>
        </w:rPr>
        <w:t>100% source and reporting-date traceability for AI numerical answers</w:t>
      </w:r>
    </w:p>
    <w:p>
      <w:pPr>
        <w:pStyle w:val="ListBullet"/>
      </w:pPr>
      <w:r>
        <w:rPr>
          <w:b w:val="0"/>
          <w:i w:val="0"/>
        </w:rPr>
        <w:t>Zero cross-client data leakage</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These are proposed operating targets. They are not achieved results and must be tailored to actual client requirements.</w:t>
            </w:r>
          </w:p>
        </w:tc>
      </w:tr>
    </w:tbl>
    <w:p/>
    <w:p>
      <w:pPr>
        <w:pStyle w:val="Heading1"/>
        <w:pBdr>
          <w:bottom w:val="single" w:sz="8" w:space="4" w:color="A04732"/>
        </w:pBdr>
      </w:pPr>
      <w:r>
        <w:rPr>
          <w:b w:val="0"/>
          <w:i w:val="0"/>
        </w:rPr>
        <w:t>8. Automation Strategy</w:t>
      </w:r>
    </w:p>
    <w:p>
      <w:pPr>
        <w:pStyle w:val="Heading2"/>
      </w:pPr>
      <w:r>
        <w:rPr>
          <w:b w:val="0"/>
          <w:i w:val="0"/>
        </w:rPr>
        <w:t>8.1 Can the Work Be Automated?</w:t>
      </w:r>
    </w:p>
    <w:p>
      <w:pPr/>
      <w:r>
        <w:rPr>
          <w:b w:val="0"/>
          <w:i w:val="0"/>
        </w:rPr>
        <w:t>Yes. Data preparation, alert generation, model execution, refresh, distribution, and selected actions can be automated. Dashboard design, governance decisions, investigation of exceptions, and approval of management actions remain human responsibilities.</w:t>
      </w:r>
    </w:p>
    <w:p>
      <w:pPr>
        <w:pStyle w:val="Heading2"/>
      </w:pPr>
      <w:r>
        <w:rPr>
          <w:b w:val="0"/>
          <w:i w:val="0"/>
        </w:rPr>
        <w:t>8.2 Recommended Architecture</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02000B"/>
          </w:tcPr>
          <w:p>
            <w:pPr>
              <w:spacing w:before="60" w:after="60"/>
            </w:pPr>
            <w:r/>
            <w:r>
              <w:rPr>
                <w:rFonts w:ascii="Roboto Slab" w:hAnsi="Roboto Slab" w:cs="Roboto Slab"/>
                <w:b/>
                <w:color w:val="FFFFFF"/>
                <w:sz w:val="18"/>
              </w:rPr>
              <w:t>Level</w:t>
            </w:r>
          </w:p>
        </w:tc>
        <w:tc>
          <w:tcPr>
            <w:tcW w:type="dxa" w:w="3173"/>
            <w:shd w:val="clear" w:color="auto" w:fill="02000B"/>
          </w:tcPr>
          <w:p>
            <w:pPr>
              <w:spacing w:before="60" w:after="60"/>
            </w:pPr>
            <w:r/>
            <w:r>
              <w:rPr>
                <w:rFonts w:ascii="Roboto Slab" w:hAnsi="Roboto Slab" w:cs="Roboto Slab"/>
                <w:b/>
                <w:color w:val="FFFFFF"/>
                <w:sz w:val="18"/>
              </w:rPr>
              <w:t>Components</w:t>
            </w:r>
          </w:p>
        </w:tc>
        <w:tc>
          <w:tcPr>
            <w:tcW w:type="dxa" w:w="3173"/>
            <w:shd w:val="clear" w:color="auto" w:fill="02000B"/>
          </w:tcPr>
          <w:p>
            <w:pPr>
              <w:spacing w:before="60" w:after="60"/>
            </w:pPr>
            <w:r/>
            <w:r>
              <w:rPr>
                <w:rFonts w:ascii="Roboto Slab" w:hAnsi="Roboto Slab" w:cs="Roboto Slab"/>
                <w:b/>
                <w:color w:val="FFFFFF"/>
                <w:sz w:val="18"/>
              </w:rPr>
              <w:t>Outcome</w:t>
            </w:r>
          </w:p>
        </w:tc>
      </w:tr>
      <w:tr>
        <w:tc>
          <w:tcPr>
            <w:tcW w:type="dxa" w:w="3173"/>
          </w:tcPr>
          <w:p>
            <w:pPr>
              <w:spacing w:before="60" w:after="60"/>
            </w:pPr>
            <w:r/>
            <w:r>
              <w:rPr>
                <w:rFonts w:ascii="Source Sans 3" w:hAnsi="Source Sans 3" w:cs="Source Sans 3"/>
                <w:color w:val="272421"/>
                <w:sz w:val="18"/>
              </w:rPr>
              <w:t>Current local</w:t>
            </w:r>
          </w:p>
        </w:tc>
        <w:tc>
          <w:tcPr>
            <w:tcW w:type="dxa" w:w="3173"/>
          </w:tcPr>
          <w:p>
            <w:pPr>
              <w:spacing w:before="60" w:after="60"/>
            </w:pPr>
            <w:r/>
            <w:r>
              <w:rPr>
                <w:rFonts w:ascii="Source Sans 3" w:hAnsi="Source Sans 3" w:cs="Source Sans 3"/>
                <w:color w:val="272421"/>
                <w:sz w:val="18"/>
              </w:rPr>
              <w:t>Windows Task Scheduler + Python + CSV</w:t>
            </w:r>
          </w:p>
        </w:tc>
        <w:tc>
          <w:tcPr>
            <w:tcW w:type="dxa" w:w="3173"/>
          </w:tcPr>
          <w:p>
            <w:pPr>
              <w:spacing w:before="60" w:after="60"/>
            </w:pPr>
            <w:r/>
            <w:r>
              <w:rPr>
                <w:rFonts w:ascii="Source Sans 3" w:hAnsi="Source Sans 3" w:cs="Source Sans 3"/>
                <w:color w:val="272421"/>
                <w:sz w:val="18"/>
              </w:rPr>
              <w:t>Automates validation, scoring, alerts, and logs; Power BI Desktop refresh remains manual.</w:t>
            </w:r>
          </w:p>
        </w:tc>
      </w:tr>
      <w:tr>
        <w:tc>
          <w:tcPr>
            <w:tcW w:type="dxa" w:w="3173"/>
            <w:shd w:val="clear" w:color="auto" w:fill="F4F0E8"/>
          </w:tcPr>
          <w:p>
            <w:pPr>
              <w:spacing w:before="60" w:after="60"/>
            </w:pPr>
            <w:r/>
            <w:r>
              <w:rPr>
                <w:rFonts w:ascii="Source Sans 3" w:hAnsi="Source Sans 3" w:cs="Source Sans 3"/>
                <w:color w:val="272421"/>
                <w:sz w:val="18"/>
              </w:rPr>
              <w:t>Power BI cloud</w:t>
            </w:r>
          </w:p>
        </w:tc>
        <w:tc>
          <w:tcPr>
            <w:tcW w:type="dxa" w:w="3173"/>
            <w:shd w:val="clear" w:color="auto" w:fill="F4F0E8"/>
          </w:tcPr>
          <w:p>
            <w:pPr>
              <w:spacing w:before="60" w:after="60"/>
            </w:pPr>
            <w:r/>
            <w:r>
              <w:rPr>
                <w:rFonts w:ascii="Source Sans 3" w:hAnsi="Source Sans 3" w:cs="Source Sans 3"/>
                <w:color w:val="272421"/>
                <w:sz w:val="18"/>
              </w:rPr>
              <w:t>OneDrive/SharePoint + Power BI Service + Power Automate</w:t>
            </w:r>
          </w:p>
        </w:tc>
        <w:tc>
          <w:tcPr>
            <w:tcW w:type="dxa" w:w="3173"/>
            <w:shd w:val="clear" w:color="auto" w:fill="F4F0E8"/>
          </w:tcPr>
          <w:p>
            <w:pPr>
              <w:spacing w:before="60" w:after="60"/>
            </w:pPr>
            <w:r/>
            <w:r>
              <w:rPr>
                <w:rFonts w:ascii="Source Sans 3" w:hAnsi="Source Sans 3" w:cs="Source Sans 3"/>
                <w:color w:val="272421"/>
                <w:sz w:val="18"/>
              </w:rPr>
              <w:t>Automates scheduled refresh, failure notifications, and contextual action flows.</w:t>
            </w:r>
          </w:p>
        </w:tc>
      </w:tr>
      <w:tr>
        <w:tc>
          <w:tcPr>
            <w:tcW w:type="dxa" w:w="3173"/>
          </w:tcPr>
          <w:p>
            <w:pPr>
              <w:spacing w:before="60" w:after="60"/>
            </w:pPr>
            <w:r/>
            <w:r>
              <w:rPr>
                <w:rFonts w:ascii="Source Sans 3" w:hAnsi="Source Sans 3" w:cs="Source Sans 3"/>
                <w:color w:val="272421"/>
                <w:sz w:val="18"/>
              </w:rPr>
              <w:t>Live data and AI</w:t>
            </w:r>
          </w:p>
        </w:tc>
        <w:tc>
          <w:tcPr>
            <w:tcW w:type="dxa" w:w="3173"/>
          </w:tcPr>
          <w:p>
            <w:pPr>
              <w:spacing w:before="60" w:after="60"/>
            </w:pPr>
            <w:r/>
            <w:r>
              <w:rPr>
                <w:rFonts w:ascii="Source Sans 3" w:hAnsi="Source Sans 3" w:cs="Source Sans 3"/>
                <w:color w:val="272421"/>
                <w:sz w:val="18"/>
              </w:rPr>
              <w:t>Supabase/PostgreSQL + scheduled Python/Azure Function + Power BI + In Project AI</w:t>
            </w:r>
          </w:p>
        </w:tc>
        <w:tc>
          <w:tcPr>
            <w:tcW w:type="dxa" w:w="3173"/>
          </w:tcPr>
          <w:p>
            <w:pPr>
              <w:spacing w:before="60" w:after="60"/>
            </w:pPr>
            <w:r/>
            <w:r>
              <w:rPr>
                <w:rFonts w:ascii="Source Sans 3" w:hAnsi="Source Sans 3" w:cs="Source Sans 3"/>
                <w:color w:val="272421"/>
                <w:sz w:val="18"/>
              </w:rPr>
              <w:t>Automates data updates, predictions, dashboard refresh, and governed agent retrieval.</w:t>
            </w:r>
          </w:p>
        </w:tc>
      </w:tr>
      <w:tr>
        <w:tc>
          <w:tcPr>
            <w:tcW w:type="dxa" w:w="3173"/>
            <w:shd w:val="clear" w:color="auto" w:fill="F4F0E8"/>
          </w:tcPr>
          <w:p>
            <w:pPr>
              <w:spacing w:before="60" w:after="60"/>
            </w:pPr>
            <w:r/>
            <w:r>
              <w:rPr>
                <w:rFonts w:ascii="Source Sans 3" w:hAnsi="Source Sans 3" w:cs="Source Sans 3"/>
                <w:color w:val="272421"/>
                <w:sz w:val="18"/>
              </w:rPr>
              <w:t>Enterprise</w:t>
            </w:r>
          </w:p>
        </w:tc>
        <w:tc>
          <w:tcPr>
            <w:tcW w:type="dxa" w:w="3173"/>
            <w:shd w:val="clear" w:color="auto" w:fill="F4F0E8"/>
          </w:tcPr>
          <w:p>
            <w:pPr>
              <w:spacing w:before="60" w:after="60"/>
            </w:pPr>
            <w:r/>
            <w:r>
              <w:rPr>
                <w:rFonts w:ascii="Source Sans 3" w:hAnsi="Source Sans 3" w:cs="Source Sans 3"/>
                <w:color w:val="272421"/>
                <w:sz w:val="18"/>
              </w:rPr>
              <w:t>Microsoft Fabric pipelines, notebooks, semantic models, and alerts</w:t>
            </w:r>
          </w:p>
        </w:tc>
        <w:tc>
          <w:tcPr>
            <w:tcW w:type="dxa" w:w="3173"/>
            <w:shd w:val="clear" w:color="auto" w:fill="F4F0E8"/>
          </w:tcPr>
          <w:p>
            <w:pPr>
              <w:spacing w:before="60" w:after="60"/>
            </w:pPr>
            <w:r/>
            <w:r>
              <w:rPr>
                <w:rFonts w:ascii="Source Sans 3" w:hAnsi="Source Sans 3" w:cs="Source Sans 3"/>
                <w:color w:val="272421"/>
                <w:sz w:val="18"/>
              </w:rPr>
              <w:t>Adds coordinated scheduling, event triggers, enterprise governance, and scale.</w:t>
            </w:r>
          </w:p>
        </w:tc>
      </w:tr>
      <w:tr>
        <w:tc>
          <w:tcPr>
            <w:tcW w:type="dxa" w:w="3173"/>
          </w:tcPr>
          <w:p>
            <w:pPr>
              <w:spacing w:before="60" w:after="60"/>
            </w:pPr>
            <w:r/>
            <w:r>
              <w:rPr>
                <w:rFonts w:ascii="Source Sans 3" w:hAnsi="Source Sans 3" w:cs="Source Sans 3"/>
                <w:color w:val="272421"/>
                <w:sz w:val="18"/>
              </w:rPr>
              <w:t>Tableau</w:t>
            </w:r>
          </w:p>
        </w:tc>
        <w:tc>
          <w:tcPr>
            <w:tcW w:type="dxa" w:w="3173"/>
          </w:tcPr>
          <w:p>
            <w:pPr>
              <w:spacing w:before="60" w:after="60"/>
            </w:pPr>
            <w:r/>
            <w:r>
              <w:rPr>
                <w:rFonts w:ascii="Source Sans 3" w:hAnsi="Source Sans 3" w:cs="Source Sans 3"/>
                <w:color w:val="272421"/>
                <w:sz w:val="18"/>
              </w:rPr>
              <w:t>Tableau Cloud/Server + extracts or Bridge</w:t>
            </w:r>
          </w:p>
        </w:tc>
        <w:tc>
          <w:tcPr>
            <w:tcW w:type="dxa" w:w="3173"/>
          </w:tcPr>
          <w:p>
            <w:pPr>
              <w:spacing w:before="60" w:after="60"/>
            </w:pPr>
            <w:r/>
            <w:r>
              <w:rPr>
                <w:rFonts w:ascii="Source Sans 3" w:hAnsi="Source Sans 3" w:cs="Source Sans 3"/>
                <w:color w:val="272421"/>
                <w:sz w:val="18"/>
              </w:rPr>
              <w:t>Supports scheduled extract refresh and private-network connectivity.</w:t>
            </w:r>
          </w:p>
        </w:tc>
      </w:tr>
    </w:tbl>
    <w:p/>
    <w:p>
      <w:pPr>
        <w:pStyle w:val="Heading2"/>
      </w:pPr>
      <w:r>
        <w:rPr>
          <w:b w:val="0"/>
          <w:i w:val="0"/>
        </w:rPr>
        <w:t>8.3 Immediate Power BI Automation Path</w:t>
      </w:r>
    </w:p>
    <w:p>
      <w:pPr/>
      <w:r>
        <w:rPr>
          <w:b w:val="0"/>
          <w:i w:val="0"/>
        </w:rPr>
        <w:t>1. Move the analytical CSV files from the local project folder to a controlled OneDrive for work or school or SharePoint folder, or connect Power BI to a governed database.</w:t>
      </w:r>
    </w:p>
    <w:p>
      <w:pPr/>
      <w:r>
        <w:rPr>
          <w:b w:val="0"/>
          <w:i w:val="0"/>
        </w:rPr>
        <w:t>2. Publish the PBIX report to a Power BI workspace.</w:t>
      </w:r>
    </w:p>
    <w:p>
      <w:pPr/>
      <w:r>
        <w:rPr>
          <w:b w:val="0"/>
          <w:i w:val="0"/>
        </w:rPr>
        <w:t>3. Configure data-source credentials and scheduled refresh.</w:t>
      </w:r>
    </w:p>
    <w:p>
      <w:pPr/>
      <w:r>
        <w:rPr>
          <w:b w:val="0"/>
          <w:i w:val="0"/>
        </w:rPr>
        <w:t>4. Review refresh history and create failure escalation.</w:t>
      </w:r>
    </w:p>
    <w:p>
      <w:pPr/>
      <w:r>
        <w:rPr>
          <w:b w:val="0"/>
          <w:i w:val="0"/>
        </w:rPr>
        <w:t>5. Create a Power Automate workflow for Red projects or overdue High/Critical RFIs.</w:t>
      </w:r>
    </w:p>
    <w:p>
      <w:pPr/>
      <w:r>
        <w:rPr>
          <w:b w:val="0"/>
          <w:i w:val="0"/>
        </w:rPr>
        <w:t>6. Later, schedule the Python risk model and write its outputs to a prediction table.</w:t>
      </w:r>
    </w:p>
    <w:p>
      <w:pPr>
        <w:pStyle w:val="Heading2"/>
      </w:pPr>
      <w:r>
        <w:rPr>
          <w:b w:val="0"/>
          <w:i w:val="0"/>
        </w:rPr>
        <w:t>8.4 What Remains Manual</w:t>
      </w:r>
    </w:p>
    <w:p>
      <w:pPr>
        <w:pStyle w:val="ListBullet"/>
      </w:pPr>
      <w:r>
        <w:rPr>
          <w:b w:val="0"/>
          <w:i w:val="0"/>
        </w:rPr>
        <w:t>Validating new source-system schemas</w:t>
      </w:r>
    </w:p>
    <w:p>
      <w:pPr>
        <w:pStyle w:val="ListBullet"/>
      </w:pPr>
      <w:r>
        <w:rPr>
          <w:b w:val="0"/>
          <w:i w:val="0"/>
        </w:rPr>
        <w:t>Approving business rules and thresholds</w:t>
      </w:r>
    </w:p>
    <w:p>
      <w:pPr>
        <w:pStyle w:val="ListBullet"/>
      </w:pPr>
      <w:r>
        <w:rPr>
          <w:b w:val="0"/>
          <w:i w:val="0"/>
        </w:rPr>
        <w:t>Reviewing project exceptions</w:t>
      </w:r>
    </w:p>
    <w:p>
      <w:pPr>
        <w:pStyle w:val="ListBullet"/>
      </w:pPr>
      <w:r>
        <w:rPr>
          <w:b w:val="0"/>
          <w:i w:val="0"/>
        </w:rPr>
        <w:t>Authorizing contingency, change, and recovery decisions</w:t>
      </w:r>
    </w:p>
    <w:p>
      <w:pPr>
        <w:pStyle w:val="ListBullet"/>
      </w:pPr>
      <w:r>
        <w:rPr>
          <w:b w:val="0"/>
          <w:i w:val="0"/>
        </w:rPr>
        <w:t>Validating model performance and drift</w:t>
      </w:r>
    </w:p>
    <w:p>
      <w:pPr>
        <w:pStyle w:val="ListBullet"/>
      </w:pPr>
      <w:r>
        <w:rPr>
          <w:b w:val="0"/>
          <w:i w:val="0"/>
        </w:rPr>
        <w:t>Managing client access and security</w:t>
      </w:r>
    </w:p>
    <w:p>
      <w:pPr>
        <w:pStyle w:val="Heading2"/>
      </w:pPr>
      <w:r>
        <w:rPr>
          <w:b w:val="0"/>
          <w:i w:val="0"/>
        </w:rPr>
        <w:t>8.5 Current Cost Position</w:t>
      </w:r>
    </w:p>
    <w:p>
      <w:pPr/>
      <w:r>
        <w:rPr>
          <w:b w:val="0"/>
          <w:i w:val="0"/>
        </w:rPr>
        <w:t>Power BI Desktop report authoring is available through the free Power BI offering. Publishing and sharing generally requires Power BI Pro, currently listed at $14 per user per month when paid yearly. Local Python and Windows Task Scheduler automation can be implemented without an additional cloud platform charge. Tableau Cloud and Fabric should be adopted only when their collaboration, governance, connectivity, or scale benefits justify licensing and implementation costs.</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Recommended now: finish the PBIX locally, publish with Power BI Pro when sharing is required, automate refresh and alerts, and delay Fabric until a pilot demonstrates value.</w:t>
            </w:r>
          </w:p>
        </w:tc>
      </w:tr>
    </w:tbl>
    <w:p/>
    <w:p>
      <w:pPr>
        <w:pStyle w:val="Heading1"/>
        <w:pBdr>
          <w:bottom w:val="single" w:sz="8" w:space="4" w:color="A04732"/>
        </w:pBdr>
      </w:pPr>
      <w:r>
        <w:rPr>
          <w:b w:val="0"/>
          <w:i w:val="0"/>
        </w:rPr>
        <w:t>9. Limitations, Ethics, and Use Controls</w:t>
      </w:r>
    </w:p>
    <w:p>
      <w:pPr>
        <w:pStyle w:val="Heading2"/>
      </w:pPr>
      <w:r>
        <w:rPr>
          <w:b w:val="0"/>
          <w:i w:val="0"/>
        </w:rPr>
        <w:t>9.1 Analytical Limitations</w:t>
      </w:r>
    </w:p>
    <w:p>
      <w:pPr/>
      <w:r>
        <w:rPr>
          <w:b w:val="0"/>
          <w:i w:val="0"/>
        </w:rPr>
        <w:t>1. The dataset is synthetic and cannot establish actual industry benchmarks.</w:t>
      </w:r>
    </w:p>
    <w:p>
      <w:pPr/>
      <w:r>
        <w:rPr>
          <w:b w:val="0"/>
          <w:i w:val="0"/>
        </w:rPr>
        <w:t>2. EAC uses the simplified BAC/CPI formula.</w:t>
      </w:r>
    </w:p>
    <w:p>
      <w:pPr/>
      <w:r>
        <w:rPr>
          <w:b w:val="0"/>
          <w:i w:val="0"/>
        </w:rPr>
        <w:t>3. Correlation does not prove causation.</w:t>
      </w:r>
    </w:p>
    <w:p>
      <w:pPr/>
      <w:r>
        <w:rPr>
          <w:b w:val="0"/>
          <w:i w:val="0"/>
        </w:rPr>
        <w:t>4. Project complexity is incompletely observed.</w:t>
      </w:r>
    </w:p>
    <w:p>
      <w:pPr/>
      <w:r>
        <w:rPr>
          <w:b w:val="0"/>
          <w:i w:val="0"/>
        </w:rPr>
        <w:t>5. Some delivery-method and contract groups have small sample sizes.</w:t>
      </w:r>
    </w:p>
    <w:p>
      <w:pPr/>
      <w:r>
        <w:rPr>
          <w:b w:val="0"/>
          <w:i w:val="0"/>
        </w:rPr>
        <w:t>6. Health thresholds are portfolio assumptions.</w:t>
      </w:r>
    </w:p>
    <w:p>
      <w:pPr/>
      <w:r>
        <w:rPr>
          <w:b w:val="0"/>
          <w:i w:val="0"/>
        </w:rPr>
        <w:t>7. The analysis uses latest-record cross-sectional comparison for priority ranking.</w:t>
      </w:r>
    </w:p>
    <w:p>
      <w:pPr>
        <w:pStyle w:val="Heading2"/>
      </w:pPr>
      <w:r>
        <w:rPr>
          <w:b w:val="0"/>
          <w:i w:val="0"/>
        </w:rPr>
        <w:t>9.2 AI and Automation Controls</w:t>
      </w:r>
    </w:p>
    <w:p>
      <w:pPr>
        <w:pStyle w:val="ListBullet"/>
      </w:pPr>
      <w:r>
        <w:rPr>
          <w:b w:val="0"/>
          <w:i w:val="0"/>
        </w:rPr>
        <w:t>Use read-only, authorized data tools for agent access.</w:t>
      </w:r>
    </w:p>
    <w:p>
      <w:pPr>
        <w:pStyle w:val="ListBullet"/>
      </w:pPr>
      <w:r>
        <w:rPr>
          <w:b w:val="0"/>
          <w:i w:val="0"/>
        </w:rPr>
        <w:t>Include Project_ID, reporting date, and source in numerical responses.</w:t>
      </w:r>
    </w:p>
    <w:p>
      <w:pPr>
        <w:pStyle w:val="ListBullet"/>
      </w:pPr>
      <w:r>
        <w:rPr>
          <w:b w:val="0"/>
          <w:i w:val="0"/>
        </w:rPr>
        <w:t>Separate observed metrics, forecasts, predictions, and recommendations.</w:t>
      </w:r>
    </w:p>
    <w:p>
      <w:pPr>
        <w:pStyle w:val="ListBullet"/>
      </w:pPr>
      <w:r>
        <w:rPr>
          <w:b w:val="0"/>
          <w:i w:val="0"/>
        </w:rPr>
        <w:t>Do not allow unrestricted SQL or cross-client retrieval.</w:t>
      </w:r>
    </w:p>
    <w:p>
      <w:pPr>
        <w:pStyle w:val="ListBullet"/>
      </w:pPr>
      <w:r>
        <w:rPr>
          <w:b w:val="0"/>
          <w:i w:val="0"/>
        </w:rPr>
        <w:t>Version models and store prediction dates.</w:t>
      </w:r>
    </w:p>
    <w:p>
      <w:pPr>
        <w:pStyle w:val="ListBullet"/>
      </w:pPr>
      <w:r>
        <w:rPr>
          <w:b w:val="0"/>
          <w:i w:val="0"/>
        </w:rPr>
        <w:t>Monitor refresh failures, schema changes, model drift, and user access.</w:t>
      </w:r>
    </w:p>
    <w:p>
      <w:pPr>
        <w:pStyle w:val="Heading2"/>
      </w:pPr>
      <w:r>
        <w:rPr>
          <w:b w:val="0"/>
          <w:i w:val="0"/>
        </w:rPr>
        <w:t>9.3 Appropriate Use</w:t>
      </w:r>
    </w:p>
    <w:p>
      <w:pPr/>
      <w:r>
        <w:rPr>
          <w:b w:val="0"/>
          <w:i w:val="0"/>
        </w:rPr>
        <w:t>The case study is suitable for education, portfolio demonstration, interviews, methodology discussion, and proof-of-concept development. It is not a substitute for contractual review, professional cost or schedule certification, legal advice, or decisions on an actual construction project.</w:t>
      </w:r>
    </w:p>
    <w:p>
      <w:pPr>
        <w:pStyle w:val="Heading1"/>
        <w:pBdr>
          <w:bottom w:val="single" w:sz="8" w:space="4" w:color="A04732"/>
        </w:pBdr>
      </w:pPr>
      <w:r>
        <w:rPr>
          <w:b w:val="0"/>
          <w:i w:val="0"/>
        </w:rPr>
        <w:t>10. Conclusion</w:t>
      </w:r>
    </w:p>
    <w:p>
      <w:pPr/>
      <w:r>
        <w:rPr>
          <w:b w:val="0"/>
          <w:i w:val="0"/>
        </w:rPr>
        <w:t>The project demonstrates an end-to-end construction analytics workflow: business framing, relational data design, data-quality control, earned-value and project-controls analysis, executive visualization, management action planning, and automation architecture.</w:t>
      </w:r>
    </w:p>
    <w:p>
      <w:pPr/>
      <w:r>
        <w:rPr>
          <w:b w:val="0"/>
          <w:i w:val="0"/>
        </w:rPr>
        <w:t>The analysis identified cost efficiency, contingency burn, completion-date variance, RFI response time, and change exposure as important management signals within the synthetic portfolio. The final 90-day program provides a credible path from a portfolio case study to a Power BI demonstration, a predictive analytics pilot, and a governed In Project AI service.</w:t>
      </w:r>
    </w:p>
    <w:tbl>
      <w:tblPr>
        <w:tblStyle w:val="TableGrid"/>
        <w:tblW w:type="auto" w:w="0"/>
        <w:jc w:val="center"/>
        <w:tblLook w:firstColumn="1" w:firstRow="1" w:lastColumn="0" w:lastRow="0" w:noHBand="0" w:noVBand="1" w:val="04A0"/>
      </w:tblPr>
      <w:tblGrid>
        <w:gridCol w:w="9518"/>
      </w:tblGrid>
      <w:tr>
        <w:tc>
          <w:tcPr>
            <w:tcW w:type="dxa" w:w="9518"/>
            <w:shd w:val="clear" w:color="auto" w:fill="02000B"/>
          </w:tcPr>
          <w:p>
            <w:pPr>
              <w:spacing w:before="60" w:after="60"/>
            </w:pPr>
            <w:r/>
            <w:r>
              <w:rPr>
                <w:rFonts w:ascii="Roboto Slab" w:hAnsi="Roboto Slab" w:cs="Roboto Slab"/>
                <w:b/>
                <w:color w:val="FFFFFF"/>
                <w:sz w:val="18"/>
              </w:rPr>
              <w:t>The project is complete. The next operational milestone is to finish the Power BI report, publish the portfolio case study, and run the first automated refresh-and-alert pilot.</w:t>
            </w:r>
          </w:p>
        </w:tc>
      </w:tr>
    </w:tbl>
    <w:p/>
    <w:p>
      <w:pPr>
        <w:pStyle w:val="Heading1"/>
        <w:pBdr>
          <w:bottom w:val="single" w:sz="8" w:space="4" w:color="A04732"/>
        </w:pBdr>
      </w:pPr>
      <w:r>
        <w:rPr>
          <w:b w:val="0"/>
          <w:i w:val="0"/>
        </w:rPr>
        <w:t>Appendix A - Metric Definitions and Thresholds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02000B"/>
          </w:tcPr>
          <w:p>
            <w:pPr>
              <w:spacing w:before="60" w:after="60"/>
            </w:pPr>
            <w:r/>
            <w:r>
              <w:rPr>
                <w:rFonts w:ascii="Roboto Slab" w:hAnsi="Roboto Slab" w:cs="Roboto Slab"/>
                <w:b/>
                <w:color w:val="FFFFFF"/>
                <w:sz w:val="18"/>
              </w:rPr>
              <w:t>Metric</w:t>
            </w:r>
          </w:p>
        </w:tc>
        <w:tc>
          <w:tcPr>
            <w:tcW w:type="dxa" w:w="3173"/>
            <w:shd w:val="clear" w:color="auto" w:fill="02000B"/>
          </w:tcPr>
          <w:p>
            <w:pPr>
              <w:spacing w:before="60" w:after="60"/>
            </w:pPr>
            <w:r/>
            <w:r>
              <w:rPr>
                <w:rFonts w:ascii="Roboto Slab" w:hAnsi="Roboto Slab" w:cs="Roboto Slab"/>
                <w:b/>
                <w:color w:val="FFFFFF"/>
                <w:sz w:val="18"/>
              </w:rPr>
              <w:t>Formula</w:t>
            </w:r>
          </w:p>
        </w:tc>
        <w:tc>
          <w:tcPr>
            <w:tcW w:type="dxa" w:w="3173"/>
            <w:shd w:val="clear" w:color="auto" w:fill="02000B"/>
          </w:tcPr>
          <w:p>
            <w:pPr>
              <w:spacing w:before="60" w:after="60"/>
            </w:pPr>
            <w:r/>
            <w:r>
              <w:rPr>
                <w:rFonts w:ascii="Roboto Slab" w:hAnsi="Roboto Slab" w:cs="Roboto Slab"/>
                <w:b/>
                <w:color w:val="FFFFFF"/>
                <w:sz w:val="18"/>
              </w:rPr>
              <w:t>Interpretation</w:t>
            </w:r>
          </w:p>
        </w:tc>
      </w:tr>
      <w:tr>
        <w:tc>
          <w:tcPr>
            <w:tcW w:type="dxa" w:w="3173"/>
          </w:tcPr>
          <w:p>
            <w:pPr>
              <w:spacing w:before="60" w:after="60"/>
            </w:pPr>
            <w:r/>
            <w:r>
              <w:rPr>
                <w:rFonts w:ascii="Source Sans 3" w:hAnsi="Source Sans 3" w:cs="Source Sans 3"/>
                <w:color w:val="272421"/>
                <w:sz w:val="18"/>
              </w:rPr>
              <w:t>CPI</w:t>
            </w:r>
          </w:p>
        </w:tc>
        <w:tc>
          <w:tcPr>
            <w:tcW w:type="dxa" w:w="3173"/>
          </w:tcPr>
          <w:p>
            <w:pPr>
              <w:spacing w:before="60" w:after="60"/>
            </w:pPr>
            <w:r/>
            <w:r>
              <w:rPr>
                <w:rFonts w:ascii="Source Sans 3" w:hAnsi="Source Sans 3" w:cs="Source Sans 3"/>
                <w:color w:val="272421"/>
                <w:sz w:val="18"/>
              </w:rPr>
              <w:t>EV / AC</w:t>
            </w:r>
          </w:p>
        </w:tc>
        <w:tc>
          <w:tcPr>
            <w:tcW w:type="dxa" w:w="3173"/>
          </w:tcPr>
          <w:p>
            <w:pPr>
              <w:spacing w:before="60" w:after="60"/>
            </w:pPr>
            <w:r/>
            <w:r>
              <w:rPr>
                <w:rFonts w:ascii="Source Sans 3" w:hAnsi="Source Sans 3" w:cs="Source Sans 3"/>
                <w:color w:val="272421"/>
                <w:sz w:val="18"/>
              </w:rPr>
              <w:t>Cost efficiency; below 1.00 is unfavorable.</w:t>
            </w:r>
          </w:p>
        </w:tc>
      </w:tr>
      <w:tr>
        <w:tc>
          <w:tcPr>
            <w:tcW w:type="dxa" w:w="3173"/>
            <w:shd w:val="clear" w:color="auto" w:fill="F4F0E8"/>
          </w:tcPr>
          <w:p>
            <w:pPr>
              <w:spacing w:before="60" w:after="60"/>
            </w:pPr>
            <w:r/>
            <w:r>
              <w:rPr>
                <w:rFonts w:ascii="Source Sans 3" w:hAnsi="Source Sans 3" w:cs="Source Sans 3"/>
                <w:color w:val="272421"/>
                <w:sz w:val="18"/>
              </w:rPr>
              <w:t>SPI</w:t>
            </w:r>
          </w:p>
        </w:tc>
        <w:tc>
          <w:tcPr>
            <w:tcW w:type="dxa" w:w="3173"/>
            <w:shd w:val="clear" w:color="auto" w:fill="F4F0E8"/>
          </w:tcPr>
          <w:p>
            <w:pPr>
              <w:spacing w:before="60" w:after="60"/>
            </w:pPr>
            <w:r/>
            <w:r>
              <w:rPr>
                <w:rFonts w:ascii="Source Sans 3" w:hAnsi="Source Sans 3" w:cs="Source Sans 3"/>
                <w:color w:val="272421"/>
                <w:sz w:val="18"/>
              </w:rPr>
              <w:t>EV / PV</w:t>
            </w:r>
          </w:p>
        </w:tc>
        <w:tc>
          <w:tcPr>
            <w:tcW w:type="dxa" w:w="3173"/>
            <w:shd w:val="clear" w:color="auto" w:fill="F4F0E8"/>
          </w:tcPr>
          <w:p>
            <w:pPr>
              <w:spacing w:before="60" w:after="60"/>
            </w:pPr>
            <w:r/>
            <w:r>
              <w:rPr>
                <w:rFonts w:ascii="Source Sans 3" w:hAnsi="Source Sans 3" w:cs="Source Sans 3"/>
                <w:color w:val="272421"/>
                <w:sz w:val="18"/>
              </w:rPr>
              <w:t>Schedule efficiency; interpretation weakens at completion.</w:t>
            </w:r>
          </w:p>
        </w:tc>
      </w:tr>
      <w:tr>
        <w:tc>
          <w:tcPr>
            <w:tcW w:type="dxa" w:w="3173"/>
          </w:tcPr>
          <w:p>
            <w:pPr>
              <w:spacing w:before="60" w:after="60"/>
            </w:pPr>
            <w:r/>
            <w:r>
              <w:rPr>
                <w:rFonts w:ascii="Source Sans 3" w:hAnsi="Source Sans 3" w:cs="Source Sans 3"/>
                <w:color w:val="272421"/>
                <w:sz w:val="18"/>
              </w:rPr>
              <w:t>CV</w:t>
            </w:r>
          </w:p>
        </w:tc>
        <w:tc>
          <w:tcPr>
            <w:tcW w:type="dxa" w:w="3173"/>
          </w:tcPr>
          <w:p>
            <w:pPr>
              <w:spacing w:before="60" w:after="60"/>
            </w:pPr>
            <w:r/>
            <w:r>
              <w:rPr>
                <w:rFonts w:ascii="Source Sans 3" w:hAnsi="Source Sans 3" w:cs="Source Sans 3"/>
                <w:color w:val="272421"/>
                <w:sz w:val="18"/>
              </w:rPr>
              <w:t>EV - AC</w:t>
            </w:r>
          </w:p>
        </w:tc>
        <w:tc>
          <w:tcPr>
            <w:tcW w:type="dxa" w:w="3173"/>
          </w:tcPr>
          <w:p>
            <w:pPr>
              <w:spacing w:before="60" w:after="60"/>
            </w:pPr>
            <w:r/>
            <w:r>
              <w:rPr>
                <w:rFonts w:ascii="Source Sans 3" w:hAnsi="Source Sans 3" w:cs="Source Sans 3"/>
                <w:color w:val="272421"/>
                <w:sz w:val="18"/>
              </w:rPr>
              <w:t>Negative is unfavorable.</w:t>
            </w:r>
          </w:p>
        </w:tc>
      </w:tr>
      <w:tr>
        <w:tc>
          <w:tcPr>
            <w:tcW w:type="dxa" w:w="3173"/>
            <w:shd w:val="clear" w:color="auto" w:fill="F4F0E8"/>
          </w:tcPr>
          <w:p>
            <w:pPr>
              <w:spacing w:before="60" w:after="60"/>
            </w:pPr>
            <w:r/>
            <w:r>
              <w:rPr>
                <w:rFonts w:ascii="Source Sans 3" w:hAnsi="Source Sans 3" w:cs="Source Sans 3"/>
                <w:color w:val="272421"/>
                <w:sz w:val="18"/>
              </w:rPr>
              <w:t>SV</w:t>
            </w:r>
          </w:p>
        </w:tc>
        <w:tc>
          <w:tcPr>
            <w:tcW w:type="dxa" w:w="3173"/>
            <w:shd w:val="clear" w:color="auto" w:fill="F4F0E8"/>
          </w:tcPr>
          <w:p>
            <w:pPr>
              <w:spacing w:before="60" w:after="60"/>
            </w:pPr>
            <w:r/>
            <w:r>
              <w:rPr>
                <w:rFonts w:ascii="Source Sans 3" w:hAnsi="Source Sans 3" w:cs="Source Sans 3"/>
                <w:color w:val="272421"/>
                <w:sz w:val="18"/>
              </w:rPr>
              <w:t>EV - PV</w:t>
            </w:r>
          </w:p>
        </w:tc>
        <w:tc>
          <w:tcPr>
            <w:tcW w:type="dxa" w:w="3173"/>
            <w:shd w:val="clear" w:color="auto" w:fill="F4F0E8"/>
          </w:tcPr>
          <w:p>
            <w:pPr>
              <w:spacing w:before="60" w:after="60"/>
            </w:pPr>
            <w:r/>
            <w:r>
              <w:rPr>
                <w:rFonts w:ascii="Source Sans 3" w:hAnsi="Source Sans 3" w:cs="Source Sans 3"/>
                <w:color w:val="272421"/>
                <w:sz w:val="18"/>
              </w:rPr>
              <w:t>Negative is unfavorable.</w:t>
            </w:r>
          </w:p>
        </w:tc>
      </w:tr>
      <w:tr>
        <w:tc>
          <w:tcPr>
            <w:tcW w:type="dxa" w:w="3173"/>
          </w:tcPr>
          <w:p>
            <w:pPr>
              <w:spacing w:before="60" w:after="60"/>
            </w:pPr>
            <w:r/>
            <w:r>
              <w:rPr>
                <w:rFonts w:ascii="Source Sans 3" w:hAnsi="Source Sans 3" w:cs="Source Sans 3"/>
                <w:color w:val="272421"/>
                <w:sz w:val="18"/>
              </w:rPr>
              <w:t>EAC</w:t>
            </w:r>
          </w:p>
        </w:tc>
        <w:tc>
          <w:tcPr>
            <w:tcW w:type="dxa" w:w="3173"/>
          </w:tcPr>
          <w:p>
            <w:pPr>
              <w:spacing w:before="60" w:after="60"/>
            </w:pPr>
            <w:r/>
            <w:r>
              <w:rPr>
                <w:rFonts w:ascii="Source Sans 3" w:hAnsi="Source Sans 3" w:cs="Source Sans 3"/>
                <w:color w:val="272421"/>
                <w:sz w:val="18"/>
              </w:rPr>
              <w:t>BAC / CPI</w:t>
            </w:r>
          </w:p>
        </w:tc>
        <w:tc>
          <w:tcPr>
            <w:tcW w:type="dxa" w:w="3173"/>
          </w:tcPr>
          <w:p>
            <w:pPr>
              <w:spacing w:before="60" w:after="60"/>
            </w:pPr>
            <w:r/>
            <w:r>
              <w:rPr>
                <w:rFonts w:ascii="Source Sans 3" w:hAnsi="Source Sans 3" w:cs="Source Sans 3"/>
                <w:color w:val="272421"/>
                <w:sz w:val="18"/>
              </w:rPr>
              <w:t>Simplified forecast final cost.</w:t>
            </w:r>
          </w:p>
        </w:tc>
      </w:tr>
      <w:tr>
        <w:tc>
          <w:tcPr>
            <w:tcW w:type="dxa" w:w="3173"/>
            <w:shd w:val="clear" w:color="auto" w:fill="F4F0E8"/>
          </w:tcPr>
          <w:p>
            <w:pPr>
              <w:spacing w:before="60" w:after="60"/>
            </w:pPr>
            <w:r/>
            <w:r>
              <w:rPr>
                <w:rFonts w:ascii="Source Sans 3" w:hAnsi="Source Sans 3" w:cs="Source Sans 3"/>
                <w:color w:val="272421"/>
                <w:sz w:val="18"/>
              </w:rPr>
              <w:t>ETC</w:t>
            </w:r>
          </w:p>
        </w:tc>
        <w:tc>
          <w:tcPr>
            <w:tcW w:type="dxa" w:w="3173"/>
            <w:shd w:val="clear" w:color="auto" w:fill="F4F0E8"/>
          </w:tcPr>
          <w:p>
            <w:pPr>
              <w:spacing w:before="60" w:after="60"/>
            </w:pPr>
            <w:r/>
            <w:r>
              <w:rPr>
                <w:rFonts w:ascii="Source Sans 3" w:hAnsi="Source Sans 3" w:cs="Source Sans 3"/>
                <w:color w:val="272421"/>
                <w:sz w:val="18"/>
              </w:rPr>
              <w:t>EAC - AC</w:t>
            </w:r>
          </w:p>
        </w:tc>
        <w:tc>
          <w:tcPr>
            <w:tcW w:type="dxa" w:w="3173"/>
            <w:shd w:val="clear" w:color="auto" w:fill="F4F0E8"/>
          </w:tcPr>
          <w:p>
            <w:pPr>
              <w:spacing w:before="60" w:after="60"/>
            </w:pPr>
            <w:r/>
            <w:r>
              <w:rPr>
                <w:rFonts w:ascii="Source Sans 3" w:hAnsi="Source Sans 3" w:cs="Source Sans 3"/>
                <w:color w:val="272421"/>
                <w:sz w:val="18"/>
              </w:rPr>
              <w:t>Forecast cost remaining.</w:t>
            </w:r>
          </w:p>
        </w:tc>
      </w:tr>
      <w:tr>
        <w:tc>
          <w:tcPr>
            <w:tcW w:type="dxa" w:w="3173"/>
          </w:tcPr>
          <w:p>
            <w:pPr>
              <w:spacing w:before="60" w:after="60"/>
            </w:pPr>
            <w:r/>
            <w:r>
              <w:rPr>
                <w:rFonts w:ascii="Source Sans 3" w:hAnsi="Source Sans 3" w:cs="Source Sans 3"/>
                <w:color w:val="272421"/>
                <w:sz w:val="18"/>
              </w:rPr>
              <w:t>VAC</w:t>
            </w:r>
          </w:p>
        </w:tc>
        <w:tc>
          <w:tcPr>
            <w:tcW w:type="dxa" w:w="3173"/>
          </w:tcPr>
          <w:p>
            <w:pPr>
              <w:spacing w:before="60" w:after="60"/>
            </w:pPr>
            <w:r/>
            <w:r>
              <w:rPr>
                <w:rFonts w:ascii="Source Sans 3" w:hAnsi="Source Sans 3" w:cs="Source Sans 3"/>
                <w:color w:val="272421"/>
                <w:sz w:val="18"/>
              </w:rPr>
              <w:t>BAC - EAC</w:t>
            </w:r>
          </w:p>
        </w:tc>
        <w:tc>
          <w:tcPr>
            <w:tcW w:type="dxa" w:w="3173"/>
          </w:tcPr>
          <w:p>
            <w:pPr>
              <w:spacing w:before="60" w:after="60"/>
            </w:pPr>
            <w:r/>
            <w:r>
              <w:rPr>
                <w:rFonts w:ascii="Source Sans 3" w:hAnsi="Source Sans 3" w:cs="Source Sans 3"/>
                <w:color w:val="272421"/>
                <w:sz w:val="18"/>
              </w:rPr>
              <w:t>Negative indicates forecast overrun.</w:t>
            </w:r>
          </w:p>
        </w:tc>
      </w:tr>
      <w:tr>
        <w:tc>
          <w:tcPr>
            <w:tcW w:type="dxa" w:w="3173"/>
            <w:shd w:val="clear" w:color="auto" w:fill="F4F0E8"/>
          </w:tcPr>
          <w:p>
            <w:pPr>
              <w:spacing w:before="60" w:after="60"/>
            </w:pPr>
            <w:r/>
            <w:r>
              <w:rPr>
                <w:rFonts w:ascii="Source Sans 3" w:hAnsi="Source Sans 3" w:cs="Source Sans 3"/>
                <w:color w:val="272421"/>
                <w:sz w:val="18"/>
              </w:rPr>
              <w:t>Forecast delay</w:t>
            </w:r>
          </w:p>
        </w:tc>
        <w:tc>
          <w:tcPr>
            <w:tcW w:type="dxa" w:w="3173"/>
            <w:shd w:val="clear" w:color="auto" w:fill="F4F0E8"/>
          </w:tcPr>
          <w:p>
            <w:pPr>
              <w:spacing w:before="60" w:after="60"/>
            </w:pPr>
            <w:r/>
            <w:r>
              <w:rPr>
                <w:rFonts w:ascii="Source Sans 3" w:hAnsi="Source Sans 3" w:cs="Source Sans 3"/>
                <w:color w:val="272421"/>
                <w:sz w:val="18"/>
              </w:rPr>
              <w:t>Forecast end - planned end</w:t>
            </w:r>
          </w:p>
        </w:tc>
        <w:tc>
          <w:tcPr>
            <w:tcW w:type="dxa" w:w="3173"/>
            <w:shd w:val="clear" w:color="auto" w:fill="F4F0E8"/>
          </w:tcPr>
          <w:p>
            <w:pPr>
              <w:spacing w:before="60" w:after="60"/>
            </w:pPr>
            <w:r/>
            <w:r>
              <w:rPr>
                <w:rFonts w:ascii="Source Sans 3" w:hAnsi="Source Sans 3" w:cs="Source Sans 3"/>
                <w:color w:val="272421"/>
                <w:sz w:val="18"/>
              </w:rPr>
              <w:t>Positive days indicate delay.</w:t>
            </w:r>
          </w:p>
        </w:tc>
      </w:tr>
      <w:tr>
        <w:tc>
          <w:tcPr>
            <w:tcW w:type="dxa" w:w="3173"/>
          </w:tcPr>
          <w:p>
            <w:pPr>
              <w:spacing w:before="60" w:after="60"/>
            </w:pPr>
            <w:r/>
            <w:r>
              <w:rPr>
                <w:rFonts w:ascii="Source Sans 3" w:hAnsi="Source Sans 3" w:cs="Source Sans 3"/>
                <w:color w:val="272421"/>
                <w:sz w:val="18"/>
              </w:rPr>
              <w:t>Contingency utilization</w:t>
            </w:r>
          </w:p>
        </w:tc>
        <w:tc>
          <w:tcPr>
            <w:tcW w:type="dxa" w:w="3173"/>
          </w:tcPr>
          <w:p>
            <w:pPr>
              <w:spacing w:before="60" w:after="60"/>
            </w:pPr>
            <w:r/>
            <w:r>
              <w:rPr>
                <w:rFonts w:ascii="Source Sans 3" w:hAnsi="Source Sans 3" w:cs="Source Sans 3"/>
                <w:color w:val="272421"/>
                <w:sz w:val="18"/>
              </w:rPr>
              <w:t>Used / original contingency</w:t>
            </w:r>
          </w:p>
        </w:tc>
        <w:tc>
          <w:tcPr>
            <w:tcW w:type="dxa" w:w="3173"/>
          </w:tcPr>
          <w:p>
            <w:pPr>
              <w:spacing w:before="60" w:after="60"/>
            </w:pPr>
            <w:r/>
            <w:r>
              <w:rPr>
                <w:rFonts w:ascii="Source Sans 3" w:hAnsi="Source Sans 3" w:cs="Source Sans 3"/>
                <w:color w:val="272421"/>
                <w:sz w:val="18"/>
              </w:rPr>
              <w:t>Share of original contingency consumed.</w:t>
            </w:r>
          </w:p>
        </w:tc>
      </w:tr>
      <w:tr>
        <w:tc>
          <w:tcPr>
            <w:tcW w:type="dxa" w:w="3173"/>
            <w:shd w:val="clear" w:color="auto" w:fill="F4F0E8"/>
          </w:tcPr>
          <w:p>
            <w:pPr>
              <w:spacing w:before="60" w:after="60"/>
            </w:pPr>
            <w:r/>
            <w:r>
              <w:rPr>
                <w:rFonts w:ascii="Source Sans 3" w:hAnsi="Source Sans 3" w:cs="Source Sans 3"/>
                <w:color w:val="272421"/>
                <w:sz w:val="18"/>
              </w:rPr>
              <w:t>Contingency burn</w:t>
            </w:r>
          </w:p>
        </w:tc>
        <w:tc>
          <w:tcPr>
            <w:tcW w:type="dxa" w:w="3173"/>
            <w:shd w:val="clear" w:color="auto" w:fill="F4F0E8"/>
          </w:tcPr>
          <w:p>
            <w:pPr>
              <w:spacing w:before="60" w:after="60"/>
            </w:pPr>
            <w:r/>
            <w:r>
              <w:rPr>
                <w:rFonts w:ascii="Source Sans 3" w:hAnsi="Source Sans 3" w:cs="Source Sans 3"/>
                <w:color w:val="272421"/>
                <w:sz w:val="18"/>
              </w:rPr>
              <w:t>Utilization / physical progress</w:t>
            </w:r>
          </w:p>
        </w:tc>
        <w:tc>
          <w:tcPr>
            <w:tcW w:type="dxa" w:w="3173"/>
            <w:shd w:val="clear" w:color="auto" w:fill="F4F0E8"/>
          </w:tcPr>
          <w:p>
            <w:pPr>
              <w:spacing w:before="60" w:after="60"/>
            </w:pPr>
            <w:r/>
            <w:r>
              <w:rPr>
                <w:rFonts w:ascii="Source Sans 3" w:hAnsi="Source Sans 3" w:cs="Source Sans 3"/>
                <w:color w:val="272421"/>
                <w:sz w:val="18"/>
              </w:rPr>
              <w:t>Above 1.00 means contingency use is ahead of progress.</w:t>
            </w:r>
          </w:p>
        </w:tc>
      </w:tr>
    </w:tbl>
    <w:p/>
    <w:p>
      <w:pPr>
        <w:pStyle w:val="FigCaption"/>
      </w:pPr>
      <w:r>
        <w:rPr>
          <w:b w:val="0"/>
          <w:i w:val="0"/>
        </w:rPr>
        <w:t>Health rule: a project is Red if any Red threshold is breached. If no Red threshold is breached, it is Yellow if any Yellow threshold is breached; otherwise Green.</w:t>
      </w:r>
    </w:p>
    <w:p>
      <w:pPr>
        <w:pStyle w:val="Heading1"/>
        <w:pBdr>
          <w:bottom w:val="single" w:sz="8" w:space="4" w:color="A04732"/>
        </w:pBdr>
      </w:pPr>
      <w:r>
        <w:rPr>
          <w:b w:val="0"/>
          <w:i w:val="0"/>
        </w:rPr>
        <w:t>Appendix B - Top 10 Priority Projects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02000B"/>
          </w:tcPr>
          <w:p>
            <w:pPr>
              <w:spacing w:before="60" w:after="60"/>
            </w:pPr>
            <w:r/>
            <w:r>
              <w:rPr>
                <w:rFonts w:ascii="Roboto Slab" w:hAnsi="Roboto Slab" w:cs="Roboto Slab"/>
                <w:b/>
                <w:color w:val="FFFFFF"/>
                <w:sz w:val="18"/>
              </w:rPr>
              <w:t>Rank</w:t>
            </w:r>
          </w:p>
        </w:tc>
        <w:tc>
          <w:tcPr>
            <w:tcW w:type="dxa" w:w="1586"/>
            <w:shd w:val="clear" w:color="auto" w:fill="02000B"/>
          </w:tcPr>
          <w:p>
            <w:pPr>
              <w:spacing w:before="60" w:after="60"/>
            </w:pPr>
            <w:r/>
            <w:r>
              <w:rPr>
                <w:rFonts w:ascii="Roboto Slab" w:hAnsi="Roboto Slab" w:cs="Roboto Slab"/>
                <w:b/>
                <w:color w:val="FFFFFF"/>
                <w:sz w:val="18"/>
              </w:rPr>
              <w:t>Project</w:t>
            </w:r>
          </w:p>
        </w:tc>
        <w:tc>
          <w:tcPr>
            <w:tcW w:type="dxa" w:w="1586"/>
            <w:shd w:val="clear" w:color="auto" w:fill="02000B"/>
          </w:tcPr>
          <w:p>
            <w:pPr>
              <w:spacing w:before="60" w:after="60"/>
            </w:pPr>
            <w:r/>
            <w:r>
              <w:rPr>
                <w:rFonts w:ascii="Roboto Slab" w:hAnsi="Roboto Slab" w:cs="Roboto Slab"/>
                <w:b/>
                <w:color w:val="FFFFFF"/>
                <w:sz w:val="18"/>
              </w:rPr>
              <w:t>CPI</w:t>
            </w:r>
          </w:p>
        </w:tc>
        <w:tc>
          <w:tcPr>
            <w:tcW w:type="dxa" w:w="1586"/>
            <w:shd w:val="clear" w:color="auto" w:fill="02000B"/>
          </w:tcPr>
          <w:p>
            <w:pPr>
              <w:spacing w:before="60" w:after="60"/>
            </w:pPr>
            <w:r/>
            <w:r>
              <w:rPr>
                <w:rFonts w:ascii="Roboto Slab" w:hAnsi="Roboto Slab" w:cs="Roboto Slab"/>
                <w:b/>
                <w:color w:val="FFFFFF"/>
                <w:sz w:val="18"/>
              </w:rPr>
              <w:t>Overrun</w:t>
            </w:r>
          </w:p>
        </w:tc>
        <w:tc>
          <w:tcPr>
            <w:tcW w:type="dxa" w:w="1586"/>
            <w:shd w:val="clear" w:color="auto" w:fill="02000B"/>
          </w:tcPr>
          <w:p>
            <w:pPr>
              <w:spacing w:before="60" w:after="60"/>
            </w:pPr>
            <w:r/>
            <w:r>
              <w:rPr>
                <w:rFonts w:ascii="Roboto Slab" w:hAnsi="Roboto Slab" w:cs="Roboto Slab"/>
                <w:b/>
                <w:color w:val="FFFFFF"/>
                <w:sz w:val="18"/>
              </w:rPr>
              <w:t>Delay</w:t>
            </w:r>
          </w:p>
        </w:tc>
        <w:tc>
          <w:tcPr>
            <w:tcW w:type="dxa" w:w="1586"/>
            <w:shd w:val="clear" w:color="auto" w:fill="02000B"/>
          </w:tcPr>
          <w:p>
            <w:pPr>
              <w:spacing w:before="60" w:after="60"/>
            </w:pPr>
            <w:r/>
            <w:r>
              <w:rPr>
                <w:rFonts w:ascii="Roboto Slab" w:hAnsi="Roboto Slab" w:cs="Roboto Slab"/>
                <w:b/>
                <w:color w:val="FFFFFF"/>
                <w:sz w:val="18"/>
              </w:rPr>
              <w:t>Primary Driver</w:t>
            </w:r>
          </w:p>
        </w:tc>
      </w:tr>
      <w:tr>
        <w:tc>
          <w:tcPr>
            <w:tcW w:type="dxa" w:w="1586"/>
          </w:tcPr>
          <w:p>
            <w:pPr>
              <w:spacing w:before="60" w:after="60"/>
            </w:pPr>
            <w:r/>
            <w:r>
              <w:rPr>
                <w:rFonts w:ascii="Source Sans 3" w:hAnsi="Source Sans 3" w:cs="Source Sans 3"/>
                <w:color w:val="272421"/>
                <w:sz w:val="18"/>
              </w:rPr>
              <w:t>1</w:t>
            </w:r>
          </w:p>
        </w:tc>
        <w:tc>
          <w:tcPr>
            <w:tcW w:type="dxa" w:w="1586"/>
          </w:tcPr>
          <w:p>
            <w:pPr>
              <w:spacing w:before="60" w:after="60"/>
            </w:pPr>
            <w:r/>
            <w:r>
              <w:rPr>
                <w:rFonts w:ascii="Source Sans 3" w:hAnsi="Source Sans 3" w:cs="Source Sans 3"/>
                <w:color w:val="272421"/>
                <w:sz w:val="18"/>
              </w:rPr>
              <w:t>PRJ-075 - Canyon Ridge Transit-Oriented Development</w:t>
            </w:r>
          </w:p>
        </w:tc>
        <w:tc>
          <w:tcPr>
            <w:tcW w:type="dxa" w:w="1586"/>
          </w:tcPr>
          <w:p>
            <w:pPr>
              <w:spacing w:before="60" w:after="60"/>
            </w:pPr>
            <w:r/>
            <w:r>
              <w:rPr>
                <w:rFonts w:ascii="Source Sans 3" w:hAnsi="Source Sans 3" w:cs="Source Sans 3"/>
                <w:color w:val="272421"/>
                <w:sz w:val="18"/>
              </w:rPr>
              <w:t>0.753</w:t>
            </w:r>
          </w:p>
        </w:tc>
        <w:tc>
          <w:tcPr>
            <w:tcW w:type="dxa" w:w="1586"/>
          </w:tcPr>
          <w:p>
            <w:pPr>
              <w:spacing w:before="60" w:after="60"/>
            </w:pPr>
            <w:r/>
            <w:r>
              <w:rPr>
                <w:rFonts w:ascii="Source Sans 3" w:hAnsi="Source Sans 3" w:cs="Source Sans 3"/>
                <w:color w:val="272421"/>
                <w:sz w:val="18"/>
              </w:rPr>
              <w:t>32.9%</w:t>
            </w:r>
          </w:p>
        </w:tc>
        <w:tc>
          <w:tcPr>
            <w:tcW w:type="dxa" w:w="1586"/>
          </w:tcPr>
          <w:p>
            <w:pPr>
              <w:spacing w:before="60" w:after="60"/>
            </w:pPr>
            <w:r/>
            <w:r>
              <w:rPr>
                <w:rFonts w:ascii="Source Sans 3" w:hAnsi="Source Sans 3" w:cs="Source Sans 3"/>
                <w:color w:val="272421"/>
                <w:sz w:val="18"/>
              </w:rPr>
              <w:t>73 days</w:t>
            </w:r>
          </w:p>
        </w:tc>
        <w:tc>
          <w:tcPr>
            <w:tcW w:type="dxa" w:w="1586"/>
          </w:tcPr>
          <w:p>
            <w:pPr>
              <w:spacing w:before="60" w:after="60"/>
            </w:pPr>
            <w:r/>
            <w:r>
              <w:rPr>
                <w:rFonts w:ascii="Source Sans 3" w:hAnsi="Source Sans 3" w:cs="Source Sans 3"/>
                <w:color w:val="272421"/>
                <w:sz w:val="18"/>
              </w:rPr>
              <w:t>CPI &lt; 0.90</w:t>
            </w:r>
          </w:p>
        </w:tc>
      </w:tr>
      <w:tr>
        <w:tc>
          <w:tcPr>
            <w:tcW w:type="dxa" w:w="1586"/>
            <w:shd w:val="clear" w:color="auto" w:fill="F4F0E8"/>
          </w:tcPr>
          <w:p>
            <w:pPr>
              <w:spacing w:before="60" w:after="60"/>
            </w:pPr>
            <w:r/>
            <w:r>
              <w:rPr>
                <w:rFonts w:ascii="Source Sans 3" w:hAnsi="Source Sans 3" w:cs="Source Sans 3"/>
                <w:color w:val="272421"/>
                <w:sz w:val="18"/>
              </w:rPr>
              <w:t>2</w:t>
            </w:r>
          </w:p>
        </w:tc>
        <w:tc>
          <w:tcPr>
            <w:tcW w:type="dxa" w:w="1586"/>
            <w:shd w:val="clear" w:color="auto" w:fill="F4F0E8"/>
          </w:tcPr>
          <w:p>
            <w:pPr>
              <w:spacing w:before="60" w:after="60"/>
            </w:pPr>
            <w:r/>
            <w:r>
              <w:rPr>
                <w:rFonts w:ascii="Source Sans 3" w:hAnsi="Source Sans 3" w:cs="Source Sans 3"/>
                <w:color w:val="272421"/>
                <w:sz w:val="18"/>
              </w:rPr>
              <w:t>PRJ-009 - Northstar Housing</w:t>
            </w:r>
          </w:p>
        </w:tc>
        <w:tc>
          <w:tcPr>
            <w:tcW w:type="dxa" w:w="1586"/>
            <w:shd w:val="clear" w:color="auto" w:fill="F4F0E8"/>
          </w:tcPr>
          <w:p>
            <w:pPr>
              <w:spacing w:before="60" w:after="60"/>
            </w:pPr>
            <w:r/>
            <w:r>
              <w:rPr>
                <w:rFonts w:ascii="Source Sans 3" w:hAnsi="Source Sans 3" w:cs="Source Sans 3"/>
                <w:color w:val="272421"/>
                <w:sz w:val="18"/>
              </w:rPr>
              <w:t>0.755</w:t>
            </w:r>
          </w:p>
        </w:tc>
        <w:tc>
          <w:tcPr>
            <w:tcW w:type="dxa" w:w="1586"/>
            <w:shd w:val="clear" w:color="auto" w:fill="F4F0E8"/>
          </w:tcPr>
          <w:p>
            <w:pPr>
              <w:spacing w:before="60" w:after="60"/>
            </w:pPr>
            <w:r/>
            <w:r>
              <w:rPr>
                <w:rFonts w:ascii="Source Sans 3" w:hAnsi="Source Sans 3" w:cs="Source Sans 3"/>
                <w:color w:val="272421"/>
                <w:sz w:val="18"/>
              </w:rPr>
              <w:t>32.5%</w:t>
            </w:r>
          </w:p>
        </w:tc>
        <w:tc>
          <w:tcPr>
            <w:tcW w:type="dxa" w:w="1586"/>
            <w:shd w:val="clear" w:color="auto" w:fill="F4F0E8"/>
          </w:tcPr>
          <w:p>
            <w:pPr>
              <w:spacing w:before="60" w:after="60"/>
            </w:pPr>
            <w:r/>
            <w:r>
              <w:rPr>
                <w:rFonts w:ascii="Source Sans 3" w:hAnsi="Source Sans 3" w:cs="Source Sans 3"/>
                <w:color w:val="272421"/>
                <w:sz w:val="18"/>
              </w:rPr>
              <w:t>63 days</w:t>
            </w:r>
          </w:p>
        </w:tc>
        <w:tc>
          <w:tcPr>
            <w:tcW w:type="dxa" w:w="1586"/>
            <w:shd w:val="clear" w:color="auto" w:fill="F4F0E8"/>
          </w:tcPr>
          <w:p>
            <w:pPr>
              <w:spacing w:before="60" w:after="60"/>
            </w:pPr>
            <w:r/>
            <w:r>
              <w:rPr>
                <w:rFonts w:ascii="Source Sans 3" w:hAnsi="Source Sans 3" w:cs="Source Sans 3"/>
                <w:color w:val="272421"/>
                <w:sz w:val="18"/>
              </w:rPr>
              <w:t>CPI &lt; 0.90</w:t>
            </w:r>
          </w:p>
        </w:tc>
      </w:tr>
      <w:tr>
        <w:tc>
          <w:tcPr>
            <w:tcW w:type="dxa" w:w="1586"/>
          </w:tcPr>
          <w:p>
            <w:pPr>
              <w:spacing w:before="60" w:after="60"/>
            </w:pPr>
            <w:r/>
            <w:r>
              <w:rPr>
                <w:rFonts w:ascii="Source Sans 3" w:hAnsi="Source Sans 3" w:cs="Source Sans 3"/>
                <w:color w:val="272421"/>
                <w:sz w:val="18"/>
              </w:rPr>
              <w:t>3</w:t>
            </w:r>
          </w:p>
        </w:tc>
        <w:tc>
          <w:tcPr>
            <w:tcW w:type="dxa" w:w="1586"/>
          </w:tcPr>
          <w:p>
            <w:pPr>
              <w:spacing w:before="60" w:after="60"/>
            </w:pPr>
            <w:r/>
            <w:r>
              <w:rPr>
                <w:rFonts w:ascii="Source Sans 3" w:hAnsi="Source Sans 3" w:cs="Source Sans 3"/>
                <w:color w:val="272421"/>
                <w:sz w:val="18"/>
              </w:rPr>
              <w:t>PRJ-046 - Red Rock Residences</w:t>
            </w:r>
          </w:p>
        </w:tc>
        <w:tc>
          <w:tcPr>
            <w:tcW w:type="dxa" w:w="1586"/>
          </w:tcPr>
          <w:p>
            <w:pPr>
              <w:spacing w:before="60" w:after="60"/>
            </w:pPr>
            <w:r/>
            <w:r>
              <w:rPr>
                <w:rFonts w:ascii="Source Sans 3" w:hAnsi="Source Sans 3" w:cs="Source Sans 3"/>
                <w:color w:val="272421"/>
                <w:sz w:val="18"/>
              </w:rPr>
              <w:t>0.779</w:t>
            </w:r>
          </w:p>
        </w:tc>
        <w:tc>
          <w:tcPr>
            <w:tcW w:type="dxa" w:w="1586"/>
          </w:tcPr>
          <w:p>
            <w:pPr>
              <w:spacing w:before="60" w:after="60"/>
            </w:pPr>
            <w:r/>
            <w:r>
              <w:rPr>
                <w:rFonts w:ascii="Source Sans 3" w:hAnsi="Source Sans 3" w:cs="Source Sans 3"/>
                <w:color w:val="272421"/>
                <w:sz w:val="18"/>
              </w:rPr>
              <w:t>28.4%</w:t>
            </w:r>
          </w:p>
        </w:tc>
        <w:tc>
          <w:tcPr>
            <w:tcW w:type="dxa" w:w="1586"/>
          </w:tcPr>
          <w:p>
            <w:pPr>
              <w:spacing w:before="60" w:after="60"/>
            </w:pPr>
            <w:r/>
            <w:r>
              <w:rPr>
                <w:rFonts w:ascii="Source Sans 3" w:hAnsi="Source Sans 3" w:cs="Source Sans 3"/>
                <w:color w:val="272421"/>
                <w:sz w:val="18"/>
              </w:rPr>
              <w:t>84 days</w:t>
            </w:r>
          </w:p>
        </w:tc>
        <w:tc>
          <w:tcPr>
            <w:tcW w:type="dxa" w:w="1586"/>
          </w:tcPr>
          <w:p>
            <w:pPr>
              <w:spacing w:before="60" w:after="60"/>
            </w:pPr>
            <w:r/>
            <w:r>
              <w:rPr>
                <w:rFonts w:ascii="Source Sans 3" w:hAnsi="Source Sans 3" w:cs="Source Sans 3"/>
                <w:color w:val="272421"/>
                <w:sz w:val="18"/>
              </w:rPr>
              <w:t>CPI &lt; 0.90</w:t>
            </w:r>
          </w:p>
        </w:tc>
      </w:tr>
      <w:tr>
        <w:tc>
          <w:tcPr>
            <w:tcW w:type="dxa" w:w="1586"/>
            <w:shd w:val="clear" w:color="auto" w:fill="F4F0E8"/>
          </w:tcPr>
          <w:p>
            <w:pPr>
              <w:spacing w:before="60" w:after="60"/>
            </w:pPr>
            <w:r/>
            <w:r>
              <w:rPr>
                <w:rFonts w:ascii="Source Sans 3" w:hAnsi="Source Sans 3" w:cs="Source Sans 3"/>
                <w:color w:val="272421"/>
                <w:sz w:val="18"/>
              </w:rPr>
              <w:t>4</w:t>
            </w:r>
          </w:p>
        </w:tc>
        <w:tc>
          <w:tcPr>
            <w:tcW w:type="dxa" w:w="1586"/>
            <w:shd w:val="clear" w:color="auto" w:fill="F4F0E8"/>
          </w:tcPr>
          <w:p>
            <w:pPr>
              <w:spacing w:before="60" w:after="60"/>
            </w:pPr>
            <w:r/>
            <w:r>
              <w:rPr>
                <w:rFonts w:ascii="Source Sans 3" w:hAnsi="Source Sans 3" w:cs="Source Sans 3"/>
                <w:color w:val="272421"/>
                <w:sz w:val="18"/>
              </w:rPr>
              <w:t>PRJ-068 - Canyon Ridge Bridge Rehabilitation</w:t>
            </w:r>
          </w:p>
        </w:tc>
        <w:tc>
          <w:tcPr>
            <w:tcW w:type="dxa" w:w="1586"/>
            <w:shd w:val="clear" w:color="auto" w:fill="F4F0E8"/>
          </w:tcPr>
          <w:p>
            <w:pPr>
              <w:spacing w:before="60" w:after="60"/>
            </w:pPr>
            <w:r/>
            <w:r>
              <w:rPr>
                <w:rFonts w:ascii="Source Sans 3" w:hAnsi="Source Sans 3" w:cs="Source Sans 3"/>
                <w:color w:val="272421"/>
                <w:sz w:val="18"/>
              </w:rPr>
              <w:t>0.794</w:t>
            </w:r>
          </w:p>
        </w:tc>
        <w:tc>
          <w:tcPr>
            <w:tcW w:type="dxa" w:w="1586"/>
            <w:shd w:val="clear" w:color="auto" w:fill="F4F0E8"/>
          </w:tcPr>
          <w:p>
            <w:pPr>
              <w:spacing w:before="60" w:after="60"/>
            </w:pPr>
            <w:r/>
            <w:r>
              <w:rPr>
                <w:rFonts w:ascii="Source Sans 3" w:hAnsi="Source Sans 3" w:cs="Source Sans 3"/>
                <w:color w:val="272421"/>
                <w:sz w:val="18"/>
              </w:rPr>
              <w:t>25.9%</w:t>
            </w:r>
          </w:p>
        </w:tc>
        <w:tc>
          <w:tcPr>
            <w:tcW w:type="dxa" w:w="1586"/>
            <w:shd w:val="clear" w:color="auto" w:fill="F4F0E8"/>
          </w:tcPr>
          <w:p>
            <w:pPr>
              <w:spacing w:before="60" w:after="60"/>
            </w:pPr>
            <w:r/>
            <w:r>
              <w:rPr>
                <w:rFonts w:ascii="Source Sans 3" w:hAnsi="Source Sans 3" w:cs="Source Sans 3"/>
                <w:color w:val="272421"/>
                <w:sz w:val="18"/>
              </w:rPr>
              <w:t>55 days</w:t>
            </w:r>
          </w:p>
        </w:tc>
        <w:tc>
          <w:tcPr>
            <w:tcW w:type="dxa" w:w="1586"/>
            <w:shd w:val="clear" w:color="auto" w:fill="F4F0E8"/>
          </w:tcPr>
          <w:p>
            <w:pPr>
              <w:spacing w:before="60" w:after="60"/>
            </w:pPr>
            <w:r/>
            <w:r>
              <w:rPr>
                <w:rFonts w:ascii="Source Sans 3" w:hAnsi="Source Sans 3" w:cs="Source Sans 3"/>
                <w:color w:val="272421"/>
                <w:sz w:val="18"/>
              </w:rPr>
              <w:t>CPI &lt; 0.90</w:t>
            </w:r>
          </w:p>
        </w:tc>
      </w:tr>
      <w:tr>
        <w:tc>
          <w:tcPr>
            <w:tcW w:type="dxa" w:w="1586"/>
          </w:tcPr>
          <w:p>
            <w:pPr>
              <w:spacing w:before="60" w:after="60"/>
            </w:pPr>
            <w:r/>
            <w:r>
              <w:rPr>
                <w:rFonts w:ascii="Source Sans 3" w:hAnsi="Source Sans 3" w:cs="Source Sans 3"/>
                <w:color w:val="272421"/>
                <w:sz w:val="18"/>
              </w:rPr>
              <w:t>5</w:t>
            </w:r>
          </w:p>
        </w:tc>
        <w:tc>
          <w:tcPr>
            <w:tcW w:type="dxa" w:w="1586"/>
          </w:tcPr>
          <w:p>
            <w:pPr>
              <w:spacing w:before="60" w:after="60"/>
            </w:pPr>
            <w:r/>
            <w:r>
              <w:rPr>
                <w:rFonts w:ascii="Source Sans 3" w:hAnsi="Source Sans 3" w:cs="Source Sans 3"/>
                <w:color w:val="272421"/>
                <w:sz w:val="18"/>
              </w:rPr>
              <w:t>PRJ-034 - Mountain Gate Community College</w:t>
            </w:r>
          </w:p>
        </w:tc>
        <w:tc>
          <w:tcPr>
            <w:tcW w:type="dxa" w:w="1586"/>
          </w:tcPr>
          <w:p>
            <w:pPr>
              <w:spacing w:before="60" w:after="60"/>
            </w:pPr>
            <w:r/>
            <w:r>
              <w:rPr>
                <w:rFonts w:ascii="Source Sans 3" w:hAnsi="Source Sans 3" w:cs="Source Sans 3"/>
                <w:color w:val="272421"/>
                <w:sz w:val="18"/>
              </w:rPr>
              <w:t>0.805</w:t>
            </w:r>
          </w:p>
        </w:tc>
        <w:tc>
          <w:tcPr>
            <w:tcW w:type="dxa" w:w="1586"/>
          </w:tcPr>
          <w:p>
            <w:pPr>
              <w:spacing w:before="60" w:after="60"/>
            </w:pPr>
            <w:r/>
            <w:r>
              <w:rPr>
                <w:rFonts w:ascii="Source Sans 3" w:hAnsi="Source Sans 3" w:cs="Source Sans 3"/>
                <w:color w:val="272421"/>
                <w:sz w:val="18"/>
              </w:rPr>
              <w:t>24.2%</w:t>
            </w:r>
          </w:p>
        </w:tc>
        <w:tc>
          <w:tcPr>
            <w:tcW w:type="dxa" w:w="1586"/>
          </w:tcPr>
          <w:p>
            <w:pPr>
              <w:spacing w:before="60" w:after="60"/>
            </w:pPr>
            <w:r/>
            <w:r>
              <w:rPr>
                <w:rFonts w:ascii="Source Sans 3" w:hAnsi="Source Sans 3" w:cs="Source Sans 3"/>
                <w:color w:val="272421"/>
                <w:sz w:val="18"/>
              </w:rPr>
              <w:t>38 days</w:t>
            </w:r>
          </w:p>
        </w:tc>
        <w:tc>
          <w:tcPr>
            <w:tcW w:type="dxa" w:w="1586"/>
          </w:tcPr>
          <w:p>
            <w:pPr>
              <w:spacing w:before="60" w:after="60"/>
            </w:pPr>
            <w:r/>
            <w:r>
              <w:rPr>
                <w:rFonts w:ascii="Source Sans 3" w:hAnsi="Source Sans 3" w:cs="Source Sans 3"/>
                <w:color w:val="272421"/>
                <w:sz w:val="18"/>
              </w:rPr>
              <w:t>CPI &lt; 0.90</w:t>
            </w:r>
          </w:p>
        </w:tc>
      </w:tr>
      <w:tr>
        <w:tc>
          <w:tcPr>
            <w:tcW w:type="dxa" w:w="1586"/>
            <w:shd w:val="clear" w:color="auto" w:fill="F4F0E8"/>
          </w:tcPr>
          <w:p>
            <w:pPr>
              <w:spacing w:before="60" w:after="60"/>
            </w:pPr>
            <w:r/>
            <w:r>
              <w:rPr>
                <w:rFonts w:ascii="Source Sans 3" w:hAnsi="Source Sans 3" w:cs="Source Sans 3"/>
                <w:color w:val="272421"/>
                <w:sz w:val="18"/>
              </w:rPr>
              <w:t>6</w:t>
            </w:r>
          </w:p>
        </w:tc>
        <w:tc>
          <w:tcPr>
            <w:tcW w:type="dxa" w:w="1586"/>
            <w:shd w:val="clear" w:color="auto" w:fill="F4F0E8"/>
          </w:tcPr>
          <w:p>
            <w:pPr>
              <w:spacing w:before="60" w:after="60"/>
            </w:pPr>
            <w:r/>
            <w:r>
              <w:rPr>
                <w:rFonts w:ascii="Source Sans 3" w:hAnsi="Source Sans 3" w:cs="Source Sans 3"/>
                <w:color w:val="272421"/>
                <w:sz w:val="18"/>
              </w:rPr>
              <w:t>PRJ-017 - Westfield Retail Center</w:t>
            </w:r>
          </w:p>
        </w:tc>
        <w:tc>
          <w:tcPr>
            <w:tcW w:type="dxa" w:w="1586"/>
            <w:shd w:val="clear" w:color="auto" w:fill="F4F0E8"/>
          </w:tcPr>
          <w:p>
            <w:pPr>
              <w:spacing w:before="60" w:after="60"/>
            </w:pPr>
            <w:r/>
            <w:r>
              <w:rPr>
                <w:rFonts w:ascii="Source Sans 3" w:hAnsi="Source Sans 3" w:cs="Source Sans 3"/>
                <w:color w:val="272421"/>
                <w:sz w:val="18"/>
              </w:rPr>
              <w:t>0.814</w:t>
            </w:r>
          </w:p>
        </w:tc>
        <w:tc>
          <w:tcPr>
            <w:tcW w:type="dxa" w:w="1586"/>
            <w:shd w:val="clear" w:color="auto" w:fill="F4F0E8"/>
          </w:tcPr>
          <w:p>
            <w:pPr>
              <w:spacing w:before="60" w:after="60"/>
            </w:pPr>
            <w:r/>
            <w:r>
              <w:rPr>
                <w:rFonts w:ascii="Source Sans 3" w:hAnsi="Source Sans 3" w:cs="Source Sans 3"/>
                <w:color w:val="272421"/>
                <w:sz w:val="18"/>
              </w:rPr>
              <w:t>22.9%</w:t>
            </w:r>
          </w:p>
        </w:tc>
        <w:tc>
          <w:tcPr>
            <w:tcW w:type="dxa" w:w="1586"/>
            <w:shd w:val="clear" w:color="auto" w:fill="F4F0E8"/>
          </w:tcPr>
          <w:p>
            <w:pPr>
              <w:spacing w:before="60" w:after="60"/>
            </w:pPr>
            <w:r/>
            <w:r>
              <w:rPr>
                <w:rFonts w:ascii="Source Sans 3" w:hAnsi="Source Sans 3" w:cs="Source Sans 3"/>
                <w:color w:val="272421"/>
                <w:sz w:val="18"/>
              </w:rPr>
              <w:t>48 days</w:t>
            </w:r>
          </w:p>
        </w:tc>
        <w:tc>
          <w:tcPr>
            <w:tcW w:type="dxa" w:w="1586"/>
            <w:shd w:val="clear" w:color="auto" w:fill="F4F0E8"/>
          </w:tcPr>
          <w:p>
            <w:pPr>
              <w:spacing w:before="60" w:after="60"/>
            </w:pPr>
            <w:r/>
            <w:r>
              <w:rPr>
                <w:rFonts w:ascii="Source Sans 3" w:hAnsi="Source Sans 3" w:cs="Source Sans 3"/>
                <w:color w:val="272421"/>
                <w:sz w:val="18"/>
              </w:rPr>
              <w:t>CPI &lt; 0.90</w:t>
            </w:r>
          </w:p>
        </w:tc>
      </w:tr>
      <w:tr>
        <w:tc>
          <w:tcPr>
            <w:tcW w:type="dxa" w:w="1586"/>
          </w:tcPr>
          <w:p>
            <w:pPr>
              <w:spacing w:before="60" w:after="60"/>
            </w:pPr>
            <w:r/>
            <w:r>
              <w:rPr>
                <w:rFonts w:ascii="Source Sans 3" w:hAnsi="Source Sans 3" w:cs="Source Sans 3"/>
                <w:color w:val="272421"/>
                <w:sz w:val="18"/>
              </w:rPr>
              <w:t>7</w:t>
            </w:r>
          </w:p>
        </w:tc>
        <w:tc>
          <w:tcPr>
            <w:tcW w:type="dxa" w:w="1586"/>
          </w:tcPr>
          <w:p>
            <w:pPr>
              <w:spacing w:before="60" w:after="60"/>
            </w:pPr>
            <w:r/>
            <w:r>
              <w:rPr>
                <w:rFonts w:ascii="Source Sans 3" w:hAnsi="Source Sans 3" w:cs="Source Sans 3"/>
                <w:color w:val="272421"/>
                <w:sz w:val="18"/>
              </w:rPr>
              <w:t>PRJ-064 - Evergreen Townhomes</w:t>
            </w:r>
          </w:p>
        </w:tc>
        <w:tc>
          <w:tcPr>
            <w:tcW w:type="dxa" w:w="1586"/>
          </w:tcPr>
          <w:p>
            <w:pPr>
              <w:spacing w:before="60" w:after="60"/>
            </w:pPr>
            <w:r/>
            <w:r>
              <w:rPr>
                <w:rFonts w:ascii="Source Sans 3" w:hAnsi="Source Sans 3" w:cs="Source Sans 3"/>
                <w:color w:val="272421"/>
                <w:sz w:val="18"/>
              </w:rPr>
              <w:t>0.816</w:t>
            </w:r>
          </w:p>
        </w:tc>
        <w:tc>
          <w:tcPr>
            <w:tcW w:type="dxa" w:w="1586"/>
          </w:tcPr>
          <w:p>
            <w:pPr>
              <w:spacing w:before="60" w:after="60"/>
            </w:pPr>
            <w:r/>
            <w:r>
              <w:rPr>
                <w:rFonts w:ascii="Source Sans 3" w:hAnsi="Source Sans 3" w:cs="Source Sans 3"/>
                <w:color w:val="272421"/>
                <w:sz w:val="18"/>
              </w:rPr>
              <w:t>22.6%</w:t>
            </w:r>
          </w:p>
        </w:tc>
        <w:tc>
          <w:tcPr>
            <w:tcW w:type="dxa" w:w="1586"/>
          </w:tcPr>
          <w:p>
            <w:pPr>
              <w:spacing w:before="60" w:after="60"/>
            </w:pPr>
            <w:r/>
            <w:r>
              <w:rPr>
                <w:rFonts w:ascii="Source Sans 3" w:hAnsi="Source Sans 3" w:cs="Source Sans 3"/>
                <w:color w:val="272421"/>
                <w:sz w:val="18"/>
              </w:rPr>
              <w:t>34 days</w:t>
            </w:r>
          </w:p>
        </w:tc>
        <w:tc>
          <w:tcPr>
            <w:tcW w:type="dxa" w:w="1586"/>
          </w:tcPr>
          <w:p>
            <w:pPr>
              <w:spacing w:before="60" w:after="60"/>
            </w:pPr>
            <w:r/>
            <w:r>
              <w:rPr>
                <w:rFonts w:ascii="Source Sans 3" w:hAnsi="Source Sans 3" w:cs="Source Sans 3"/>
                <w:color w:val="272421"/>
                <w:sz w:val="18"/>
              </w:rPr>
              <w:t>CPI &lt; 0.90</w:t>
            </w:r>
          </w:p>
        </w:tc>
      </w:tr>
      <w:tr>
        <w:tc>
          <w:tcPr>
            <w:tcW w:type="dxa" w:w="1586"/>
            <w:shd w:val="clear" w:color="auto" w:fill="F4F0E8"/>
          </w:tcPr>
          <w:p>
            <w:pPr>
              <w:spacing w:before="60" w:after="60"/>
            </w:pPr>
            <w:r/>
            <w:r>
              <w:rPr>
                <w:rFonts w:ascii="Source Sans 3" w:hAnsi="Source Sans 3" w:cs="Source Sans 3"/>
                <w:color w:val="272421"/>
                <w:sz w:val="18"/>
              </w:rPr>
              <w:t>8</w:t>
            </w:r>
          </w:p>
        </w:tc>
        <w:tc>
          <w:tcPr>
            <w:tcW w:type="dxa" w:w="1586"/>
            <w:shd w:val="clear" w:color="auto" w:fill="F4F0E8"/>
          </w:tcPr>
          <w:p>
            <w:pPr>
              <w:spacing w:before="60" w:after="60"/>
            </w:pPr>
            <w:r/>
            <w:r>
              <w:rPr>
                <w:rFonts w:ascii="Source Sans 3" w:hAnsi="Source Sans 3" w:cs="Source Sans 3"/>
                <w:color w:val="272421"/>
                <w:sz w:val="18"/>
              </w:rPr>
              <w:t>PRJ-013 - Sunrise Housing</w:t>
            </w:r>
          </w:p>
        </w:tc>
        <w:tc>
          <w:tcPr>
            <w:tcW w:type="dxa" w:w="1586"/>
            <w:shd w:val="clear" w:color="auto" w:fill="F4F0E8"/>
          </w:tcPr>
          <w:p>
            <w:pPr>
              <w:spacing w:before="60" w:after="60"/>
            </w:pPr>
            <w:r/>
            <w:r>
              <w:rPr>
                <w:rFonts w:ascii="Source Sans 3" w:hAnsi="Source Sans 3" w:cs="Source Sans 3"/>
                <w:color w:val="272421"/>
                <w:sz w:val="18"/>
              </w:rPr>
              <w:t>0.819</w:t>
            </w:r>
          </w:p>
        </w:tc>
        <w:tc>
          <w:tcPr>
            <w:tcW w:type="dxa" w:w="1586"/>
            <w:shd w:val="clear" w:color="auto" w:fill="F4F0E8"/>
          </w:tcPr>
          <w:p>
            <w:pPr>
              <w:spacing w:before="60" w:after="60"/>
            </w:pPr>
            <w:r/>
            <w:r>
              <w:rPr>
                <w:rFonts w:ascii="Source Sans 3" w:hAnsi="Source Sans 3" w:cs="Source Sans 3"/>
                <w:color w:val="272421"/>
                <w:sz w:val="18"/>
              </w:rPr>
              <w:t>22.1%</w:t>
            </w:r>
          </w:p>
        </w:tc>
        <w:tc>
          <w:tcPr>
            <w:tcW w:type="dxa" w:w="1586"/>
            <w:shd w:val="clear" w:color="auto" w:fill="F4F0E8"/>
          </w:tcPr>
          <w:p>
            <w:pPr>
              <w:spacing w:before="60" w:after="60"/>
            </w:pPr>
            <w:r/>
            <w:r>
              <w:rPr>
                <w:rFonts w:ascii="Source Sans 3" w:hAnsi="Source Sans 3" w:cs="Source Sans 3"/>
                <w:color w:val="272421"/>
                <w:sz w:val="18"/>
              </w:rPr>
              <w:t>61 days</w:t>
            </w:r>
          </w:p>
        </w:tc>
        <w:tc>
          <w:tcPr>
            <w:tcW w:type="dxa" w:w="1586"/>
            <w:shd w:val="clear" w:color="auto" w:fill="F4F0E8"/>
          </w:tcPr>
          <w:p>
            <w:pPr>
              <w:spacing w:before="60" w:after="60"/>
            </w:pPr>
            <w:r/>
            <w:r>
              <w:rPr>
                <w:rFonts w:ascii="Source Sans 3" w:hAnsi="Source Sans 3" w:cs="Source Sans 3"/>
                <w:color w:val="272421"/>
                <w:sz w:val="18"/>
              </w:rPr>
              <w:t>CPI &lt; 0.90</w:t>
            </w:r>
          </w:p>
        </w:tc>
      </w:tr>
      <w:tr>
        <w:tc>
          <w:tcPr>
            <w:tcW w:type="dxa" w:w="1586"/>
          </w:tcPr>
          <w:p>
            <w:pPr>
              <w:spacing w:before="60" w:after="60"/>
            </w:pPr>
            <w:r/>
            <w:r>
              <w:rPr>
                <w:rFonts w:ascii="Source Sans 3" w:hAnsi="Source Sans 3" w:cs="Source Sans 3"/>
                <w:color w:val="272421"/>
                <w:sz w:val="18"/>
              </w:rPr>
              <w:t>9</w:t>
            </w:r>
          </w:p>
        </w:tc>
        <w:tc>
          <w:tcPr>
            <w:tcW w:type="dxa" w:w="1586"/>
          </w:tcPr>
          <w:p>
            <w:pPr>
              <w:spacing w:before="60" w:after="60"/>
            </w:pPr>
            <w:r/>
            <w:r>
              <w:rPr>
                <w:rFonts w:ascii="Source Sans 3" w:hAnsi="Source Sans 3" w:cs="Source Sans 3"/>
                <w:color w:val="272421"/>
                <w:sz w:val="18"/>
              </w:rPr>
              <w:t>PRJ-069 - Cedar Valley Town Center</w:t>
            </w:r>
          </w:p>
        </w:tc>
        <w:tc>
          <w:tcPr>
            <w:tcW w:type="dxa" w:w="1586"/>
          </w:tcPr>
          <w:p>
            <w:pPr>
              <w:spacing w:before="60" w:after="60"/>
            </w:pPr>
            <w:r/>
            <w:r>
              <w:rPr>
                <w:rFonts w:ascii="Source Sans 3" w:hAnsi="Source Sans 3" w:cs="Source Sans 3"/>
                <w:color w:val="272421"/>
                <w:sz w:val="18"/>
              </w:rPr>
              <w:t>0.849</w:t>
            </w:r>
          </w:p>
        </w:tc>
        <w:tc>
          <w:tcPr>
            <w:tcW w:type="dxa" w:w="1586"/>
          </w:tcPr>
          <w:p>
            <w:pPr>
              <w:spacing w:before="60" w:after="60"/>
            </w:pPr>
            <w:r/>
            <w:r>
              <w:rPr>
                <w:rFonts w:ascii="Source Sans 3" w:hAnsi="Source Sans 3" w:cs="Source Sans 3"/>
                <w:color w:val="272421"/>
                <w:sz w:val="18"/>
              </w:rPr>
              <w:t>17.8%</w:t>
            </w:r>
          </w:p>
        </w:tc>
        <w:tc>
          <w:tcPr>
            <w:tcW w:type="dxa" w:w="1586"/>
          </w:tcPr>
          <w:p>
            <w:pPr>
              <w:spacing w:before="60" w:after="60"/>
            </w:pPr>
            <w:r/>
            <w:r>
              <w:rPr>
                <w:rFonts w:ascii="Source Sans 3" w:hAnsi="Source Sans 3" w:cs="Source Sans 3"/>
                <w:color w:val="272421"/>
                <w:sz w:val="18"/>
              </w:rPr>
              <w:t>104 days</w:t>
            </w:r>
          </w:p>
        </w:tc>
        <w:tc>
          <w:tcPr>
            <w:tcW w:type="dxa" w:w="1586"/>
          </w:tcPr>
          <w:p>
            <w:pPr>
              <w:spacing w:before="60" w:after="60"/>
            </w:pPr>
            <w:r/>
            <w:r>
              <w:rPr>
                <w:rFonts w:ascii="Source Sans 3" w:hAnsi="Source Sans 3" w:cs="Source Sans 3"/>
                <w:color w:val="272421"/>
                <w:sz w:val="18"/>
              </w:rPr>
              <w:t>CPI &lt; 0.90</w:t>
            </w:r>
          </w:p>
        </w:tc>
      </w:tr>
      <w:tr>
        <w:tc>
          <w:tcPr>
            <w:tcW w:type="dxa" w:w="1586"/>
            <w:shd w:val="clear" w:color="auto" w:fill="F4F0E8"/>
          </w:tcPr>
          <w:p>
            <w:pPr>
              <w:spacing w:before="60" w:after="60"/>
            </w:pPr>
            <w:r/>
            <w:r>
              <w:rPr>
                <w:rFonts w:ascii="Source Sans 3" w:hAnsi="Source Sans 3" w:cs="Source Sans 3"/>
                <w:color w:val="272421"/>
                <w:sz w:val="18"/>
              </w:rPr>
              <w:t>10</w:t>
            </w:r>
          </w:p>
        </w:tc>
        <w:tc>
          <w:tcPr>
            <w:tcW w:type="dxa" w:w="1586"/>
            <w:shd w:val="clear" w:color="auto" w:fill="F4F0E8"/>
          </w:tcPr>
          <w:p>
            <w:pPr>
              <w:spacing w:before="60" w:after="60"/>
            </w:pPr>
            <w:r/>
            <w:r>
              <w:rPr>
                <w:rFonts w:ascii="Source Sans 3" w:hAnsi="Source Sans 3" w:cs="Source Sans 3"/>
                <w:color w:val="272421"/>
                <w:sz w:val="18"/>
              </w:rPr>
              <w:t>PRJ-025 - Blue Mesa Public Safety Center</w:t>
            </w:r>
          </w:p>
        </w:tc>
        <w:tc>
          <w:tcPr>
            <w:tcW w:type="dxa" w:w="1586"/>
            <w:shd w:val="clear" w:color="auto" w:fill="F4F0E8"/>
          </w:tcPr>
          <w:p>
            <w:pPr>
              <w:spacing w:before="60" w:after="60"/>
            </w:pPr>
            <w:r/>
            <w:r>
              <w:rPr>
                <w:rFonts w:ascii="Source Sans 3" w:hAnsi="Source Sans 3" w:cs="Source Sans 3"/>
                <w:color w:val="272421"/>
                <w:sz w:val="18"/>
              </w:rPr>
              <w:t>0.893</w:t>
            </w:r>
          </w:p>
        </w:tc>
        <w:tc>
          <w:tcPr>
            <w:tcW w:type="dxa" w:w="1586"/>
            <w:shd w:val="clear" w:color="auto" w:fill="F4F0E8"/>
          </w:tcPr>
          <w:p>
            <w:pPr>
              <w:spacing w:before="60" w:after="60"/>
            </w:pPr>
            <w:r/>
            <w:r>
              <w:rPr>
                <w:rFonts w:ascii="Source Sans 3" w:hAnsi="Source Sans 3" w:cs="Source Sans 3"/>
                <w:color w:val="272421"/>
                <w:sz w:val="18"/>
              </w:rPr>
              <w:t>12.0%</w:t>
            </w:r>
          </w:p>
        </w:tc>
        <w:tc>
          <w:tcPr>
            <w:tcW w:type="dxa" w:w="1586"/>
            <w:shd w:val="clear" w:color="auto" w:fill="F4F0E8"/>
          </w:tcPr>
          <w:p>
            <w:pPr>
              <w:spacing w:before="60" w:after="60"/>
            </w:pPr>
            <w:r/>
            <w:r>
              <w:rPr>
                <w:rFonts w:ascii="Source Sans 3" w:hAnsi="Source Sans 3" w:cs="Source Sans 3"/>
                <w:color w:val="272421"/>
                <w:sz w:val="18"/>
              </w:rPr>
              <w:t>87 days</w:t>
            </w:r>
          </w:p>
        </w:tc>
        <w:tc>
          <w:tcPr>
            <w:tcW w:type="dxa" w:w="1586"/>
            <w:shd w:val="clear" w:color="auto" w:fill="F4F0E8"/>
          </w:tcPr>
          <w:p>
            <w:pPr>
              <w:spacing w:before="60" w:after="60"/>
            </w:pPr>
            <w:r/>
            <w:r>
              <w:rPr>
                <w:rFonts w:ascii="Source Sans 3" w:hAnsi="Source Sans 3" w:cs="Source Sans 3"/>
                <w:color w:val="272421"/>
                <w:sz w:val="18"/>
              </w:rPr>
              <w:t>CPI &lt; 0.90</w:t>
            </w:r>
          </w:p>
        </w:tc>
      </w:tr>
    </w:tbl>
    <w:p/>
    <w:p>
      <w:pPr>
        <w:pStyle w:val="Heading1"/>
        <w:pBdr>
          <w:bottom w:val="single" w:sz="8" w:space="4" w:color="A04732"/>
        </w:pBdr>
      </w:pPr>
      <w:r>
        <w:rPr>
          <w:b w:val="0"/>
          <w:i w:val="0"/>
        </w:rPr>
        <w:t>Appendix C - Deliverables and File Structure</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02000B"/>
          </w:tcPr>
          <w:p>
            <w:pPr>
              <w:spacing w:before="60" w:after="60"/>
            </w:pPr>
            <w:r/>
            <w:r>
              <w:rPr>
                <w:rFonts w:ascii="Roboto Slab" w:hAnsi="Roboto Slab" w:cs="Roboto Slab"/>
                <w:b/>
                <w:color w:val="FFFFFF"/>
                <w:sz w:val="18"/>
              </w:rPr>
              <w:t>Area</w:t>
            </w:r>
          </w:p>
        </w:tc>
        <w:tc>
          <w:tcPr>
            <w:tcW w:type="dxa" w:w="4759"/>
            <w:shd w:val="clear" w:color="auto" w:fill="02000B"/>
          </w:tcPr>
          <w:p>
            <w:pPr>
              <w:spacing w:before="60" w:after="60"/>
            </w:pPr>
            <w:r/>
            <w:r>
              <w:rPr>
                <w:rFonts w:ascii="Roboto Slab" w:hAnsi="Roboto Slab" w:cs="Roboto Slab"/>
                <w:b/>
                <w:color w:val="FFFFFF"/>
                <w:sz w:val="18"/>
              </w:rPr>
              <w:t>Deliverables</w:t>
            </w:r>
          </w:p>
        </w:tc>
      </w:tr>
      <w:tr>
        <w:tc>
          <w:tcPr>
            <w:tcW w:type="dxa" w:w="4759"/>
          </w:tcPr>
          <w:p>
            <w:pPr>
              <w:spacing w:before="60" w:after="60"/>
            </w:pPr>
            <w:r/>
            <w:r>
              <w:rPr>
                <w:rFonts w:ascii="Source Sans 3" w:hAnsi="Source Sans 3" w:cs="Source Sans 3"/>
                <w:color w:val="272421"/>
                <w:sz w:val="18"/>
              </w:rPr>
              <w:t>Data</w:t>
            </w:r>
          </w:p>
        </w:tc>
        <w:tc>
          <w:tcPr>
            <w:tcW w:type="dxa" w:w="4759"/>
          </w:tcPr>
          <w:p>
            <w:pPr>
              <w:spacing w:before="60" w:after="60"/>
            </w:pPr>
            <w:r/>
            <w:r>
              <w:rPr>
                <w:rFonts w:ascii="Source Sans 3" w:hAnsi="Source Sans 3" w:cs="Source Sans 3"/>
                <w:color w:val="272421"/>
                <w:sz w:val="18"/>
              </w:rPr>
              <w:t>Raw and cleaned CSV files; processed SQLite database</w:t>
            </w:r>
          </w:p>
        </w:tc>
      </w:tr>
      <w:tr>
        <w:tc>
          <w:tcPr>
            <w:tcW w:type="dxa" w:w="4759"/>
            <w:shd w:val="clear" w:color="auto" w:fill="F4F0E8"/>
          </w:tcPr>
          <w:p>
            <w:pPr>
              <w:spacing w:before="60" w:after="60"/>
            </w:pPr>
            <w:r/>
            <w:r>
              <w:rPr>
                <w:rFonts w:ascii="Source Sans 3" w:hAnsi="Source Sans 3" w:cs="Source Sans 3"/>
                <w:color w:val="272421"/>
                <w:sz w:val="18"/>
              </w:rPr>
              <w:t>Documentation</w:t>
            </w:r>
          </w:p>
        </w:tc>
        <w:tc>
          <w:tcPr>
            <w:tcW w:type="dxa" w:w="4759"/>
            <w:shd w:val="clear" w:color="auto" w:fill="F4F0E8"/>
          </w:tcPr>
          <w:p>
            <w:pPr>
              <w:spacing w:before="60" w:after="60"/>
            </w:pPr>
            <w:r/>
            <w:r>
              <w:rPr>
                <w:rFonts w:ascii="Source Sans 3" w:hAnsi="Source Sans 3" w:cs="Source Sans 3"/>
                <w:color w:val="272421"/>
                <w:sz w:val="18"/>
              </w:rPr>
              <w:t>Dataset methodology, data dictionary, cleaning log, phase reports, automation runbook</w:t>
            </w:r>
          </w:p>
        </w:tc>
      </w:tr>
      <w:tr>
        <w:tc>
          <w:tcPr>
            <w:tcW w:type="dxa" w:w="4759"/>
          </w:tcPr>
          <w:p>
            <w:pPr>
              <w:spacing w:before="60" w:after="60"/>
            </w:pPr>
            <w:r/>
            <w:r>
              <w:rPr>
                <w:rFonts w:ascii="Source Sans 3" w:hAnsi="Source Sans 3" w:cs="Source Sans 3"/>
                <w:color w:val="272421"/>
                <w:sz w:val="18"/>
              </w:rPr>
              <w:t>SQL</w:t>
            </w:r>
          </w:p>
        </w:tc>
        <w:tc>
          <w:tcPr>
            <w:tcW w:type="dxa" w:w="4759"/>
          </w:tcPr>
          <w:p>
            <w:pPr>
              <w:spacing w:before="60" w:after="60"/>
            </w:pPr>
            <w:r/>
            <w:r>
              <w:rPr>
                <w:rFonts w:ascii="Source Sans 3" w:hAnsi="Source Sans 3" w:cs="Source Sans 3"/>
                <w:color w:val="272421"/>
                <w:sz w:val="18"/>
              </w:rPr>
              <w:t>Schema, quality checks, analytical views, business queries</w:t>
            </w:r>
          </w:p>
        </w:tc>
      </w:tr>
      <w:tr>
        <w:tc>
          <w:tcPr>
            <w:tcW w:type="dxa" w:w="4759"/>
            <w:shd w:val="clear" w:color="auto" w:fill="F4F0E8"/>
          </w:tcPr>
          <w:p>
            <w:pPr>
              <w:spacing w:before="60" w:after="60"/>
            </w:pPr>
            <w:r/>
            <w:r>
              <w:rPr>
                <w:rFonts w:ascii="Source Sans 3" w:hAnsi="Source Sans 3" w:cs="Source Sans 3"/>
                <w:color w:val="272421"/>
                <w:sz w:val="18"/>
              </w:rPr>
              <w:t>Analysis</w:t>
            </w:r>
          </w:p>
        </w:tc>
        <w:tc>
          <w:tcPr>
            <w:tcW w:type="dxa" w:w="4759"/>
            <w:shd w:val="clear" w:color="auto" w:fill="F4F0E8"/>
          </w:tcPr>
          <w:p>
            <w:pPr>
              <w:spacing w:before="60" w:after="60"/>
            </w:pPr>
            <w:r/>
            <w:r>
              <w:rPr>
                <w:rFonts w:ascii="Source Sans 3" w:hAnsi="Source Sans 3" w:cs="Source Sans 3"/>
                <w:color w:val="272421"/>
                <w:sz w:val="18"/>
              </w:rPr>
              <w:t>Formula-driven Excel workbook and analytical CSV tables</w:t>
            </w:r>
          </w:p>
        </w:tc>
      </w:tr>
      <w:tr>
        <w:tc>
          <w:tcPr>
            <w:tcW w:type="dxa" w:w="4759"/>
          </w:tcPr>
          <w:p>
            <w:pPr>
              <w:spacing w:before="60" w:after="60"/>
            </w:pPr>
            <w:r/>
            <w:r>
              <w:rPr>
                <w:rFonts w:ascii="Source Sans 3" w:hAnsi="Source Sans 3" w:cs="Source Sans 3"/>
                <w:color w:val="272421"/>
                <w:sz w:val="18"/>
              </w:rPr>
              <w:t>Share</w:t>
            </w:r>
          </w:p>
        </w:tc>
        <w:tc>
          <w:tcPr>
            <w:tcW w:type="dxa" w:w="4759"/>
          </w:tcPr>
          <w:p>
            <w:pPr>
              <w:spacing w:before="60" w:after="60"/>
            </w:pPr>
            <w:r/>
            <w:r>
              <w:rPr>
                <w:rFonts w:ascii="Source Sans 3" w:hAnsi="Source Sans 3" w:cs="Source Sans 3"/>
                <w:color w:val="272421"/>
                <w:sz w:val="18"/>
              </w:rPr>
              <w:t>Executive dashboard workbook, PNGs, HTML case-study pages, BI build specification</w:t>
            </w:r>
          </w:p>
        </w:tc>
      </w:tr>
      <w:tr>
        <w:tc>
          <w:tcPr>
            <w:tcW w:type="dxa" w:w="4759"/>
            <w:shd w:val="clear" w:color="auto" w:fill="F4F0E8"/>
          </w:tcPr>
          <w:p>
            <w:pPr>
              <w:spacing w:before="60" w:after="60"/>
            </w:pPr>
            <w:r/>
            <w:r>
              <w:rPr>
                <w:rFonts w:ascii="Source Sans 3" w:hAnsi="Source Sans 3" w:cs="Source Sans 3"/>
                <w:color w:val="272421"/>
                <w:sz w:val="18"/>
              </w:rPr>
              <w:t>Act</w:t>
            </w:r>
          </w:p>
        </w:tc>
        <w:tc>
          <w:tcPr>
            <w:tcW w:type="dxa" w:w="4759"/>
            <w:shd w:val="clear" w:color="auto" w:fill="F4F0E8"/>
          </w:tcPr>
          <w:p>
            <w:pPr>
              <w:spacing w:before="60" w:after="60"/>
            </w:pPr>
            <w:r/>
            <w:r>
              <w:rPr>
                <w:rFonts w:ascii="Source Sans 3" w:hAnsi="Source Sans 3" w:cs="Source Sans 3"/>
                <w:color w:val="272421"/>
                <w:sz w:val="18"/>
              </w:rPr>
              <w:t>Management action-plan workbook, governance cadence, KPI targets, automation scripts</w:t>
            </w:r>
          </w:p>
        </w:tc>
      </w:tr>
      <w:tr>
        <w:tc>
          <w:tcPr>
            <w:tcW w:type="dxa" w:w="4759"/>
          </w:tcPr>
          <w:p>
            <w:pPr>
              <w:spacing w:before="60" w:after="60"/>
            </w:pPr>
            <w:r/>
            <w:r>
              <w:rPr>
                <w:rFonts w:ascii="Source Sans 3" w:hAnsi="Source Sans 3" w:cs="Source Sans 3"/>
                <w:color w:val="272421"/>
                <w:sz w:val="18"/>
              </w:rPr>
              <w:t>Final report</w:t>
            </w:r>
          </w:p>
        </w:tc>
        <w:tc>
          <w:tcPr>
            <w:tcW w:type="dxa" w:w="4759"/>
          </w:tcPr>
          <w:p>
            <w:pPr>
              <w:spacing w:before="60" w:after="60"/>
            </w:pPr>
            <w:r/>
            <w:r>
              <w:rPr>
                <w:rFonts w:ascii="Source Sans 3" w:hAnsi="Source Sans 3" w:cs="Source Sans 3"/>
                <w:color w:val="272421"/>
                <w:sz w:val="18"/>
              </w:rPr>
              <w:t>Consolidated DOCX and PDF case study</w:t>
            </w:r>
          </w:p>
        </w:tc>
      </w:tr>
    </w:tbl>
    <w:p/>
    <w:p>
      <w:pPr>
        <w:pStyle w:val="Heading1"/>
        <w:pBdr>
          <w:bottom w:val="single" w:sz="8" w:space="4" w:color="A04732"/>
        </w:pBdr>
      </w:pPr>
      <w:r>
        <w:rPr>
          <w:b w:val="0"/>
          <w:i w:val="0"/>
        </w:rPr>
        <w:t>References</w:t>
      </w:r>
    </w:p>
    <w:p>
      <w:pPr/>
      <w:r>
        <w:rPr>
          <w:b w:val="0"/>
          <w:i w:val="0"/>
        </w:rPr>
        <w:t>Microsoft. Data refresh in Power BI. https://learn.microsoft.com/en-us/power-bi/connect-data/refresh-data</w:t>
      </w:r>
    </w:p>
    <w:p>
      <w:pPr/>
      <w:r>
        <w:rPr>
          <w:b w:val="0"/>
          <w:i w:val="0"/>
        </w:rPr>
        <w:t>Microsoft. Configure scheduled refresh. https://learn.microsoft.com/en-us/power-bi/connect-data/refresh-scheduled-refresh</w:t>
      </w:r>
    </w:p>
    <w:p>
      <w:pPr/>
      <w:r>
        <w:rPr>
          <w:b w:val="0"/>
          <w:i w:val="0"/>
        </w:rPr>
        <w:t>Microsoft. Create a Power Automate visual for Power BI. https://learn.microsoft.com/en-us/power-bi/create-reports/power-bi-automate-visual</w:t>
      </w:r>
    </w:p>
    <w:p>
      <w:pPr/>
      <w:r>
        <w:rPr>
          <w:b w:val="0"/>
          <w:i w:val="0"/>
        </w:rPr>
        <w:t>Microsoft. Power BI pricing. https://www.microsoft.com/en-us/power-platform/products/power-bi/pricing</w:t>
      </w:r>
    </w:p>
    <w:p>
      <w:pPr/>
      <w:r>
        <w:rPr>
          <w:b w:val="0"/>
          <w:i w:val="0"/>
        </w:rPr>
        <w:t>Microsoft. Run, schedule, or use events to trigger a Fabric pipeline. https://learn.microsoft.com/en-us/fabric/data-factory/pipeline-runs</w:t>
      </w:r>
    </w:p>
    <w:p>
      <w:pPr/>
      <w:r>
        <w:rPr>
          <w:b w:val="0"/>
          <w:i w:val="0"/>
        </w:rPr>
        <w:t>Microsoft. Job scheduler in Microsoft Fabric. https://learn.microsoft.com/en-us/fabric/fundamentals/job-scheduler</w:t>
      </w:r>
    </w:p>
    <w:p>
      <w:pPr/>
      <w:r>
        <w:rPr>
          <w:b w:val="0"/>
          <w:i w:val="0"/>
        </w:rPr>
        <w:t>Tableau. Schedule Refreshes on Tableau Cloud. https://help.tableau.com/current/online/en-us/schedule_add.htm</w:t>
      </w:r>
    </w:p>
    <w:p>
      <w:pPr/>
      <w:r>
        <w:rPr>
          <w:b w:val="0"/>
          <w:i w:val="0"/>
        </w:rPr>
        <w:t>Tableau. Tableau Bridge FAQ. https://help.tableau.com/current/online/en-us/to_bridge_faq.htm</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urce Sans 3" w:hAnsi="Source Sans 3"/>
        <w:color w:val="6E6861"/>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Source Sans 3" w:hAnsi="Source Sans 3" w:cs="Source Sans 3"/>
      <w:b w:val="0"/>
      <w:i w:val="0"/>
      <w:color w:val="27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Roboto Slab" w:hAnsi="Roboto Slab" w:cs="Roboto Slab"/>
      <w:b/>
      <w:bCs/>
      <w:i w:val="0"/>
      <w:color w:val="02000B"/>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Roboto Slab" w:hAnsi="Roboto Slab" w:cs="Roboto Slab"/>
      <w:b/>
      <w:bCs/>
      <w:i w:val="0"/>
      <w:color w:val="A047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Source Sans 3" w:hAnsi="Source Sans 3" w:cs="Source Sans 3"/>
      <w:b w:val="0"/>
      <w:i w:val="0"/>
      <w:color w:val="27242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pPr>
      <w:spacing w:before="100" w:after="280"/>
      <w:jc w:val="center"/>
    </w:pPr>
    <w:rPr>
      <w:rFonts w:ascii="Source Sans 3" w:hAnsi="Source Sans 3" w:cs="Source Sans 3"/>
      <w:b w:val="0"/>
      <w:i/>
      <w:color w:val="6E686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