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71A2C"/>
          <w:sz w:val="58"/>
        </w:rPr>
        <w:t>PREDICTIVE CONSTRUCTION</w:t>
        <w:br/>
        <w:t>PROJECT OVERRUN MODEL</w:t>
      </w:r>
    </w:p>
    <w:p>
      <w:pPr>
        <w:jc w:val="center"/>
      </w:pPr>
      <w:r>
        <w:rPr>
          <w:color w:val="155F86"/>
          <w:sz w:val="30"/>
        </w:rPr>
        <w:t>Early-Warning Classification and Regression</w:t>
        <w:br/>
        <w:t>for Cost Overruns and Schedule Delays</w:t>
      </w:r>
    </w:p>
    <w:p/>
    <w:p>
      <w:pPr>
        <w:jc w:val="center"/>
      </w:pPr>
      <w:r>
        <w:drawing>
          <wp:inline xmlns:a="http://schemas.openxmlformats.org/drawingml/2006/main" xmlns:pic="http://schemas.openxmlformats.org/drawingml/2006/picture">
            <wp:extent cx="6172200" cy="5944653"/>
            <wp:docPr id="1" name="Picture 1"/>
            <wp:cNvGraphicFramePr>
              <a:graphicFrameLocks noChangeAspect="1"/>
            </wp:cNvGraphicFramePr>
            <a:graphic>
              <a:graphicData uri="http://schemas.openxmlformats.org/drawingml/2006/picture">
                <pic:pic>
                  <pic:nvPicPr>
                    <pic:cNvPr id="0" name="executive_model_dashboard.png"/>
                    <pic:cNvPicPr/>
                  </pic:nvPicPr>
                  <pic:blipFill>
                    <a:blip r:embed="rId11"/>
                    <a:stretch>
                      <a:fillRect/>
                    </a:stretch>
                  </pic:blipFill>
                  <pic:spPr>
                    <a:xfrm>
                      <a:off x="0" y="0"/>
                      <a:ext cx="6172200" cy="5944653"/>
                    </a:xfrm>
                    <a:prstGeom prst="rect"/>
                  </pic:spPr>
                </pic:pic>
              </a:graphicData>
            </a:graphic>
          </wp:inline>
        </w:drawing>
      </w:r>
    </w:p>
    <w:p>
      <w:pPr>
        <w:jc w:val="center"/>
      </w:pPr>
      <w:r>
        <w:rPr>
          <w:b/>
          <w:color w:val="071A2C"/>
          <w:sz w:val="22"/>
        </w:rPr>
        <w:br/>
        <w:t>Project code: IP-DA-003</w:t>
        <w:br/>
        <w:t>Sponsor: In Project LLC</w:t>
        <w:br/>
        <w:t>Analyst: Narciso M. Dickson, PMP®</w:t>
      </w:r>
    </w:p>
    <w:tbl>
      <w:tblPr>
        <w:tblW w:type="auto" w:w="0"/>
        <w:tblLook w:firstColumn="1" w:firstRow="1" w:lastColumn="0" w:lastRow="0" w:noHBand="0" w:noVBand="1" w:val="04A0"/>
      </w:tblPr>
      <w:tblGrid>
        <w:gridCol w:w="10282"/>
      </w:tblGrid>
      <w:tr>
        <w:tc>
          <w:tcPr>
            <w:tcW w:type="dxa" w:w="10282"/>
            <w:shd w:fill="FFF2CC"/>
          </w:tcPr>
          <w:p>
            <w:r>
              <w:rPr>
                <w:b/>
                <w:sz w:val="18"/>
              </w:rPr>
              <w:t>Synthetic-data disclosure: All project records and model outcomes are fictional. Model performance is not an industry benchmark, and production use on real construction projects is not authorized by this portfolio project.</w:t>
            </w:r>
          </w:p>
        </w:tc>
      </w:tr>
    </w:tbl>
    <w:p>
      <w:pPr>
        <w:pStyle w:val="Heading1"/>
      </w:pPr>
      <w:r>
        <w:t>Contents</w:t>
      </w:r>
    </w:p>
    <w:p>
      <w:r>
        <w:rPr>
          <w:b/>
        </w:rPr>
        <w:t>1. Executive Summary</w:t>
      </w:r>
    </w:p>
    <w:p>
      <w:r>
        <w:rPr>
          <w:b/>
        </w:rPr>
        <w:t>2. Business Problem and Portfolio Progression</w:t>
      </w:r>
    </w:p>
    <w:p>
      <w:r>
        <w:rPr>
          <w:b/>
        </w:rPr>
        <w:t>3. Analytical Lifecycle and Governance</w:t>
      </w:r>
    </w:p>
    <w:p>
      <w:r>
        <w:rPr>
          <w:b/>
        </w:rPr>
        <w:t>4. Dataset, Feature Lineage, and Quality</w:t>
      </w:r>
    </w:p>
    <w:p>
      <w:r>
        <w:rPr>
          <w:b/>
        </w:rPr>
        <w:t>5. Modeling Methodology</w:t>
      </w:r>
    </w:p>
    <w:p>
      <w:r>
        <w:rPr>
          <w:b/>
        </w:rPr>
        <w:t>6. Classification Performance</w:t>
      </w:r>
    </w:p>
    <w:p>
      <w:r>
        <w:rPr>
          <w:b/>
        </w:rPr>
        <w:t>7. Regression, Calibration, and Temporal Generalization</w:t>
      </w:r>
    </w:p>
    <w:p>
      <w:r>
        <w:rPr>
          <w:b/>
        </w:rPr>
        <w:t>8. Feature Drivers and Project Risk Scoring</w:t>
      </w:r>
    </w:p>
    <w:p>
      <w:r>
        <w:rPr>
          <w:b/>
        </w:rPr>
        <w:t>9. Dashboards and Portfolio Communication</w:t>
      </w:r>
    </w:p>
    <w:p>
      <w:r>
        <w:rPr>
          <w:b/>
        </w:rPr>
        <w:t>10. Act Plan, Human Review, and Monitoring</w:t>
      </w:r>
    </w:p>
    <w:p>
      <w:r>
        <w:rPr>
          <w:b/>
        </w:rPr>
        <w:t>11. Limitations, Responsible AI, and Conclusion</w:t>
      </w:r>
    </w:p>
    <w:p>
      <w:r>
        <w:rPr>
          <w:b/>
        </w:rPr>
        <w:t>12. Sources and Deliverables</w:t>
      </w:r>
    </w:p>
    <w:p>
      <w:r>
        <w:br w:type="page"/>
      </w:r>
    </w:p>
    <w:p>
      <w:pPr>
        <w:pStyle w:val="Heading1"/>
      </w:pPr>
      <w:r>
        <w:t>1. Executive Summary</w:t>
      </w:r>
    </w:p>
    <w:p>
      <w:r>
        <w:t>This case study is the third project in a construction analytics portfolio. It combines the cost and schedule controls developed in Project 1 with the RFI and change-workflow indicators developed in Project 2 to predict future cost overruns and schedule delays from early and mid-project snapshots.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55F86"/>
            <w:vAlign w:val="center"/>
          </w:tcPr>
          <w:p>
            <w:r>
              <w:rPr>
                <w:b/>
                <w:color w:val="FFFFFF"/>
                <w:sz w:val="18"/>
              </w:rPr>
              <w:t>Dataset</w:t>
            </w:r>
          </w:p>
        </w:tc>
        <w:tc>
          <w:tcPr>
            <w:tcW w:type="dxa" w:w="2570"/>
            <w:shd w:fill="155F86"/>
            <w:vAlign w:val="center"/>
          </w:tcPr>
          <w:p>
            <w:r>
              <w:rPr>
                <w:b/>
                <w:color w:val="FFFFFF"/>
                <w:sz w:val="18"/>
              </w:rPr>
              <w:t>Cost model</w:t>
            </w:r>
          </w:p>
        </w:tc>
        <w:tc>
          <w:tcPr>
            <w:tcW w:type="dxa" w:w="2570"/>
            <w:shd w:fill="155F86"/>
            <w:vAlign w:val="center"/>
          </w:tcPr>
          <w:p>
            <w:r>
              <w:rPr>
                <w:b/>
                <w:color w:val="FFFFFF"/>
                <w:sz w:val="18"/>
              </w:rPr>
              <w:t>Schedule model</w:t>
            </w:r>
          </w:p>
        </w:tc>
        <w:tc>
          <w:tcPr>
            <w:tcW w:type="dxa" w:w="2570"/>
            <w:shd w:fill="155F86"/>
            <w:vAlign w:val="center"/>
          </w:tcPr>
          <w:p>
            <w:r>
              <w:rPr>
                <w:b/>
                <w:color w:val="FFFFFF"/>
                <w:sz w:val="18"/>
              </w:rPr>
              <w:t>Test risk bands</w:t>
            </w:r>
          </w:p>
        </w:tc>
      </w:tr>
      <w:tr>
        <w:trPr>
          <w:cantSplit/>
        </w:trPr>
        <w:tc>
          <w:tcPr>
            <w:tcW w:type="dxa" w:w="2570"/>
            <w:vAlign w:val="center"/>
          </w:tcPr>
          <w:p>
            <w:r>
              <w:rPr>
                <w:rFonts w:ascii="Aptos" w:hAnsi="Aptos"/>
                <w:sz w:val="18"/>
              </w:rPr>
              <w:t>2,362 clean projects</w:t>
              <w:br/>
              <w:t>1,577 train</w:t>
              <w:br/>
              <w:t>349 validation</w:t>
              <w:br/>
              <w:t>436 test</w:t>
            </w:r>
          </w:p>
        </w:tc>
        <w:tc>
          <w:tcPr>
            <w:tcW w:type="dxa" w:w="2570"/>
            <w:vAlign w:val="center"/>
          </w:tcPr>
          <w:p>
            <w:r>
              <w:rPr>
                <w:rFonts w:ascii="Aptos" w:hAnsi="Aptos"/>
                <w:sz w:val="18"/>
              </w:rPr>
              <w:t>Random Forest</w:t>
              <w:br/>
              <w:t>ROC-AUC 0.899</w:t>
              <w:br/>
              <w:t>PR-AUC 0.774</w:t>
            </w:r>
          </w:p>
        </w:tc>
        <w:tc>
          <w:tcPr>
            <w:tcW w:type="dxa" w:w="2570"/>
            <w:vAlign w:val="center"/>
          </w:tcPr>
          <w:p>
            <w:r>
              <w:rPr>
                <w:rFonts w:ascii="Aptos" w:hAnsi="Aptos"/>
                <w:sz w:val="18"/>
              </w:rPr>
              <w:t>Logistic Regression</w:t>
              <w:br/>
              <w:t>ROC-AUC 0.756</w:t>
              <w:br/>
              <w:t>PR-AUC 0.524</w:t>
            </w:r>
          </w:p>
        </w:tc>
        <w:tc>
          <w:tcPr>
            <w:tcW w:type="dxa" w:w="2570"/>
            <w:vAlign w:val="center"/>
          </w:tcPr>
          <w:p>
            <w:r>
              <w:rPr>
                <w:rFonts w:ascii="Aptos" w:hAnsi="Aptos"/>
                <w:sz w:val="18"/>
              </w:rPr>
              <w:t>188 Red</w:t>
              <w:br/>
              <w:t>138 Yellow</w:t>
              <w:br/>
              <w:t>110 Green</w:t>
            </w:r>
          </w:p>
        </w:tc>
      </w:tr>
    </w:tbl>
    <w:p>
      <w:pPr>
        <w:pStyle w:val="Heading2"/>
      </w:pPr>
      <w:r>
        <w:t>Principal conclusions</w:t>
      </w:r>
    </w:p>
    <w:p>
      <w:pPr>
        <w:pStyle w:val="ListBullet"/>
      </w:pPr>
      <w:r>
        <w:t>Cost-overrun classification generalized strongly to the future synthetic test period.</w:t>
      </w:r>
    </w:p>
    <w:p>
      <w:pPr>
        <w:pStyle w:val="ListBullet"/>
      </w:pPr>
      <w:r>
        <w:t>Schedule-delay performance decreased from validation to test, creating a real model-monitoring concern rather than a result to hide.</w:t>
      </w:r>
    </w:p>
    <w:p>
      <w:pPr>
        <w:pStyle w:val="ListBullet"/>
      </w:pPr>
      <w:r>
        <w:t>CPI and current cost variance were the strongest cost-overrun predictors.</w:t>
      </w:r>
    </w:p>
    <w:p>
      <w:pPr>
        <w:pStyle w:val="ListBullet"/>
      </w:pPr>
      <w:r>
        <w:t>SPI, planned completion, procurement delay, and overdue workflow indicators were important schedule predictors.</w:t>
      </w:r>
    </w:p>
    <w:p>
      <w:pPr>
        <w:pStyle w:val="ListBullet"/>
      </w:pPr>
      <w:r>
        <w:t>Predictions were converted into Red, Yellow, and Green review priorities, but every score requires human review.</w:t>
      </w:r>
    </w:p>
    <w:p>
      <w:pPr>
        <w:pStyle w:val="ListBullet"/>
      </w:pPr>
      <w:r>
        <w:t>The Act phase defines a controlled-pilot path; it does not authorize production use.</w:t>
      </w:r>
    </w:p>
    <w:p>
      <w:pPr>
        <w:pStyle w:val="Heading1"/>
      </w:pPr>
      <w:r>
        <w:t>2. Business Problem and Portfolio Progression</w:t>
      </w:r>
    </w:p>
    <w:p>
      <w:pPr>
        <w:pStyle w:val="Heading2"/>
      </w:pPr>
      <w:r>
        <w:t>Primary business question</w:t>
      </w:r>
    </w:p>
    <w:p>
      <w:r>
        <w:t>Which early and mid-project indicators best predict material construction cost overruns and schedule delays, and how can management prioritize intervention before the outcomes become unavoidable?</w:t>
      </w:r>
    </w:p>
    <w:p>
      <w:pPr>
        <w:pStyle w:val="Heading2"/>
      </w:pPr>
      <w:r>
        <w:t>Portfolio progression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55F86"/>
            <w:vAlign w:val="center"/>
          </w:tcPr>
          <w:p>
            <w:r>
              <w:rPr>
                <w:b/>
                <w:color w:val="FFFFFF"/>
                <w:sz w:val="16"/>
              </w:rPr>
              <w:t>Project</w:t>
            </w:r>
          </w:p>
        </w:tc>
        <w:tc>
          <w:tcPr>
            <w:tcW w:type="dxa" w:w="3427"/>
            <w:shd w:fill="155F86"/>
            <w:vAlign w:val="center"/>
          </w:tcPr>
          <w:p>
            <w:r>
              <w:rPr>
                <w:b/>
                <w:color w:val="FFFFFF"/>
                <w:sz w:val="16"/>
              </w:rPr>
              <w:t>Title</w:t>
            </w:r>
          </w:p>
        </w:tc>
        <w:tc>
          <w:tcPr>
            <w:tcW w:type="dxa" w:w="3427"/>
            <w:shd w:fill="155F86"/>
            <w:vAlign w:val="center"/>
          </w:tcPr>
          <w:p>
            <w:r>
              <w:rPr>
                <w:b/>
                <w:color w:val="FFFFFF"/>
                <w:sz w:val="16"/>
              </w:rPr>
              <w:t>Contribution</w:t>
            </w:r>
          </w:p>
        </w:tc>
      </w:tr>
      <w:tr>
        <w:trPr>
          <w:cantSplit/>
        </w:trPr>
        <w:tc>
          <w:tcPr>
            <w:tcW w:type="dxa" w:w="3427"/>
            <w:vAlign w:val="center"/>
          </w:tcPr>
          <w:p>
            <w:r>
              <w:rPr>
                <w:rFonts w:ascii="Aptos" w:hAnsi="Aptos"/>
                <w:sz w:val="16"/>
              </w:rPr>
              <w:t>Project 1</w:t>
            </w:r>
          </w:p>
        </w:tc>
        <w:tc>
          <w:tcPr>
            <w:tcW w:type="dxa" w:w="3427"/>
            <w:vAlign w:val="center"/>
          </w:tcPr>
          <w:p>
            <w:r>
              <w:rPr>
                <w:rFonts w:ascii="Aptos" w:hAnsi="Aptos"/>
                <w:sz w:val="16"/>
              </w:rPr>
              <w:t>Construction Project Controls Analytics</w:t>
            </w:r>
          </w:p>
        </w:tc>
        <w:tc>
          <w:tcPr>
            <w:tcW w:type="dxa" w:w="3427"/>
            <w:vAlign w:val="center"/>
          </w:tcPr>
          <w:p>
            <w:r>
              <w:rPr>
                <w:rFonts w:ascii="Aptos" w:hAnsi="Aptos"/>
                <w:sz w:val="16"/>
              </w:rPr>
              <w:t>CPI, SPI, cost, schedule, contingency, EAC, and early-warning controls</w:t>
            </w:r>
          </w:p>
        </w:tc>
      </w:tr>
      <w:tr>
        <w:trPr>
          <w:cantSplit/>
        </w:trPr>
        <w:tc>
          <w:tcPr>
            <w:tcW w:type="dxa" w:w="3427"/>
            <w:vAlign w:val="center"/>
          </w:tcPr>
          <w:p>
            <w:r>
              <w:rPr>
                <w:rFonts w:ascii="Aptos" w:hAnsi="Aptos"/>
                <w:sz w:val="16"/>
              </w:rPr>
              <w:t>Project 2</w:t>
            </w:r>
          </w:p>
        </w:tc>
        <w:tc>
          <w:tcPr>
            <w:tcW w:type="dxa" w:w="3427"/>
            <w:vAlign w:val="center"/>
          </w:tcPr>
          <w:p>
            <w:r>
              <w:rPr>
                <w:rFonts w:ascii="Aptos" w:hAnsi="Aptos"/>
                <w:sz w:val="16"/>
              </w:rPr>
              <w:t>Construction Change Order and RFI Analytics</w:t>
            </w:r>
          </w:p>
        </w:tc>
        <w:tc>
          <w:tcPr>
            <w:tcW w:type="dxa" w:w="3427"/>
            <w:vAlign w:val="center"/>
          </w:tcPr>
          <w:p>
            <w:r>
              <w:rPr>
                <w:rFonts w:ascii="Aptos" w:hAnsi="Aptos"/>
                <w:sz w:val="16"/>
              </w:rPr>
              <w:t>RFI response, change approval, pending exposure, revision loops, and forecast lag</w:t>
            </w:r>
          </w:p>
        </w:tc>
      </w:tr>
      <w:tr>
        <w:trPr>
          <w:cantSplit/>
        </w:trPr>
        <w:tc>
          <w:tcPr>
            <w:tcW w:type="dxa" w:w="3427"/>
            <w:vAlign w:val="center"/>
          </w:tcPr>
          <w:p>
            <w:r>
              <w:rPr>
                <w:rFonts w:ascii="Aptos" w:hAnsi="Aptos"/>
                <w:sz w:val="16"/>
              </w:rPr>
              <w:t>Project 3</w:t>
            </w:r>
          </w:p>
        </w:tc>
        <w:tc>
          <w:tcPr>
            <w:tcW w:type="dxa" w:w="3427"/>
            <w:vAlign w:val="center"/>
          </w:tcPr>
          <w:p>
            <w:r>
              <w:rPr>
                <w:rFonts w:ascii="Aptos" w:hAnsi="Aptos"/>
                <w:sz w:val="16"/>
              </w:rPr>
              <w:t>Predictive Construction Project Overrun Model</w:t>
            </w:r>
          </w:p>
        </w:tc>
        <w:tc>
          <w:tcPr>
            <w:tcW w:type="dxa" w:w="3427"/>
            <w:vAlign w:val="center"/>
          </w:tcPr>
          <w:p>
            <w:r>
              <w:rPr>
                <w:rFonts w:ascii="Aptos" w:hAnsi="Aptos"/>
                <w:sz w:val="16"/>
              </w:rPr>
              <w:t>Time-validated probability and magnitude prediction with governance</w:t>
            </w:r>
          </w:p>
        </w:tc>
      </w:tr>
    </w:tbl>
    <w:p>
      <w:r>
        <w:t>Project 3 uses a new independent synthetic dataset. It references feature concepts from Projects 1 and 2 without mixing their folders, repositories, or records.</w:t>
      </w:r>
    </w:p>
    <w:p>
      <w:pPr>
        <w:pStyle w:val="Heading1"/>
      </w:pPr>
      <w:r>
        <w:t>3. Analytical Lifecycle and Governance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155F86"/>
            <w:vAlign w:val="center"/>
          </w:tcPr>
          <w:p>
            <w:r>
              <w:rPr>
                <w:b/>
                <w:color w:val="FFFFFF"/>
                <w:sz w:val="14"/>
              </w:rPr>
              <w:t>Phase</w:t>
            </w:r>
          </w:p>
        </w:tc>
        <w:tc>
          <w:tcPr>
            <w:tcW w:type="dxa" w:w="2056"/>
            <w:shd w:fill="155F86"/>
            <w:vAlign w:val="center"/>
          </w:tcPr>
          <w:p>
            <w:r>
              <w:rPr>
                <w:b/>
                <w:color w:val="FFFFFF"/>
                <w:sz w:val="14"/>
              </w:rPr>
              <w:t>CRISP-DM</w:t>
            </w:r>
          </w:p>
        </w:tc>
        <w:tc>
          <w:tcPr>
            <w:tcW w:type="dxa" w:w="2056"/>
            <w:shd w:fill="155F86"/>
            <w:vAlign w:val="center"/>
          </w:tcPr>
          <w:p>
            <w:r>
              <w:rPr>
                <w:b/>
                <w:color w:val="FFFFFF"/>
                <w:sz w:val="14"/>
              </w:rPr>
              <w:t>DMAIC</w:t>
            </w:r>
          </w:p>
        </w:tc>
        <w:tc>
          <w:tcPr>
            <w:tcW w:type="dxa" w:w="2056"/>
            <w:shd w:fill="155F86"/>
            <w:vAlign w:val="center"/>
          </w:tcPr>
          <w:p>
            <w:r>
              <w:rPr>
                <w:b/>
                <w:color w:val="FFFFFF"/>
                <w:sz w:val="14"/>
              </w:rPr>
              <w:t>Microsoft</w:t>
            </w:r>
          </w:p>
        </w:tc>
        <w:tc>
          <w:tcPr>
            <w:tcW w:type="dxa" w:w="2056"/>
            <w:shd w:fill="155F86"/>
            <w:vAlign w:val="center"/>
          </w:tcPr>
          <w:p>
            <w:r>
              <w:rPr>
                <w:b/>
                <w:color w:val="FFFFFF"/>
                <w:sz w:val="14"/>
              </w:rPr>
              <w:t>PMI governance</w:t>
            </w:r>
          </w:p>
        </w:tc>
      </w:tr>
      <w:tr>
        <w:trPr>
          <w:cantSplit/>
        </w:trPr>
        <w:tc>
          <w:tcPr>
            <w:tcW w:type="dxa" w:w="2056"/>
            <w:vAlign w:val="center"/>
          </w:tcPr>
          <w:p>
            <w:r>
              <w:rPr>
                <w:rFonts w:ascii="Aptos" w:hAnsi="Aptos"/>
                <w:sz w:val="14"/>
              </w:rPr>
              <w:t>Ask</w:t>
            </w:r>
          </w:p>
        </w:tc>
        <w:tc>
          <w:tcPr>
            <w:tcW w:type="dxa" w:w="2056"/>
            <w:vAlign w:val="center"/>
          </w:tcPr>
          <w:p>
            <w:r>
              <w:rPr>
                <w:rFonts w:ascii="Aptos" w:hAnsi="Aptos"/>
                <w:sz w:val="14"/>
              </w:rPr>
              <w:t>Business Understanding</w:t>
            </w:r>
          </w:p>
        </w:tc>
        <w:tc>
          <w:tcPr>
            <w:tcW w:type="dxa" w:w="2056"/>
            <w:vAlign w:val="center"/>
          </w:tcPr>
          <w:p>
            <w:r>
              <w:rPr>
                <w:rFonts w:ascii="Aptos" w:hAnsi="Aptos"/>
                <w:sz w:val="14"/>
              </w:rPr>
              <w:t>Define</w:t>
            </w:r>
          </w:p>
        </w:tc>
        <w:tc>
          <w:tcPr>
            <w:tcW w:type="dxa" w:w="2056"/>
            <w:vAlign w:val="center"/>
          </w:tcPr>
          <w:p>
            <w:r>
              <w:rPr>
                <w:rFonts w:ascii="Aptos" w:hAnsi="Aptos"/>
                <w:sz w:val="14"/>
              </w:rPr>
              <w:t>Business Understanding</w:t>
            </w:r>
          </w:p>
        </w:tc>
        <w:tc>
          <w:tcPr>
            <w:tcW w:type="dxa" w:w="2056"/>
            <w:vAlign w:val="center"/>
          </w:tcPr>
          <w:p>
            <w:r>
              <w:rPr>
                <w:rFonts w:ascii="Aptos" w:hAnsi="Aptos"/>
                <w:sz w:val="14"/>
              </w:rPr>
              <w:t>Initiating / Planning</w:t>
            </w:r>
          </w:p>
        </w:tc>
      </w:tr>
      <w:tr>
        <w:trPr>
          <w:cantSplit/>
        </w:trPr>
        <w:tc>
          <w:tcPr>
            <w:tcW w:type="dxa" w:w="2056"/>
            <w:vAlign w:val="center"/>
          </w:tcPr>
          <w:p>
            <w:r>
              <w:rPr>
                <w:rFonts w:ascii="Aptos" w:hAnsi="Aptos"/>
                <w:sz w:val="14"/>
              </w:rPr>
              <w:t>Prepare</w:t>
            </w:r>
          </w:p>
        </w:tc>
        <w:tc>
          <w:tcPr>
            <w:tcW w:type="dxa" w:w="2056"/>
            <w:vAlign w:val="center"/>
          </w:tcPr>
          <w:p>
            <w:r>
              <w:rPr>
                <w:rFonts w:ascii="Aptos" w:hAnsi="Aptos"/>
                <w:sz w:val="14"/>
              </w:rPr>
              <w:t>Data Understanding</w:t>
            </w:r>
          </w:p>
        </w:tc>
        <w:tc>
          <w:tcPr>
            <w:tcW w:type="dxa" w:w="2056"/>
            <w:vAlign w:val="center"/>
          </w:tcPr>
          <w:p>
            <w:r>
              <w:rPr>
                <w:rFonts w:ascii="Aptos" w:hAnsi="Aptos"/>
                <w:sz w:val="14"/>
              </w:rPr>
              <w:t>Measure</w:t>
            </w:r>
          </w:p>
        </w:tc>
        <w:tc>
          <w:tcPr>
            <w:tcW w:type="dxa" w:w="2056"/>
            <w:vAlign w:val="center"/>
          </w:tcPr>
          <w:p>
            <w:r>
              <w:rPr>
                <w:rFonts w:ascii="Aptos" w:hAnsi="Aptos"/>
                <w:sz w:val="14"/>
              </w:rPr>
              <w:t>Data Acquisition and Understanding</w:t>
            </w:r>
          </w:p>
        </w:tc>
        <w:tc>
          <w:tcPr>
            <w:tcW w:type="dxa" w:w="2056"/>
            <w:vAlign w:val="center"/>
          </w:tcPr>
          <w:p>
            <w:r>
              <w:rPr>
                <w:rFonts w:ascii="Aptos" w:hAnsi="Aptos"/>
                <w:sz w:val="14"/>
              </w:rPr>
              <w:t>Planning</w:t>
            </w:r>
          </w:p>
        </w:tc>
      </w:tr>
      <w:tr>
        <w:trPr>
          <w:cantSplit/>
        </w:trPr>
        <w:tc>
          <w:tcPr>
            <w:tcW w:type="dxa" w:w="2056"/>
            <w:vAlign w:val="center"/>
          </w:tcPr>
          <w:p>
            <w:r>
              <w:rPr>
                <w:rFonts w:ascii="Aptos" w:hAnsi="Aptos"/>
                <w:sz w:val="14"/>
              </w:rPr>
              <w:t>Process</w:t>
            </w:r>
          </w:p>
        </w:tc>
        <w:tc>
          <w:tcPr>
            <w:tcW w:type="dxa" w:w="2056"/>
            <w:vAlign w:val="center"/>
          </w:tcPr>
          <w:p>
            <w:r>
              <w:rPr>
                <w:rFonts w:ascii="Aptos" w:hAnsi="Aptos"/>
                <w:sz w:val="14"/>
              </w:rPr>
              <w:t>Data Preparation</w:t>
            </w:r>
          </w:p>
        </w:tc>
        <w:tc>
          <w:tcPr>
            <w:tcW w:type="dxa" w:w="2056"/>
            <w:vAlign w:val="center"/>
          </w:tcPr>
          <w:p>
            <w:r>
              <w:rPr>
                <w:rFonts w:ascii="Aptos" w:hAnsi="Aptos"/>
                <w:sz w:val="14"/>
              </w:rPr>
              <w:t>Measure / early Analyze</w:t>
            </w:r>
          </w:p>
        </w:tc>
        <w:tc>
          <w:tcPr>
            <w:tcW w:type="dxa" w:w="2056"/>
            <w:vAlign w:val="center"/>
          </w:tcPr>
          <w:p>
            <w:r>
              <w:rPr>
                <w:rFonts w:ascii="Aptos" w:hAnsi="Aptos"/>
                <w:sz w:val="14"/>
              </w:rPr>
              <w:t>Data Acquisition and Understanding</w:t>
            </w:r>
          </w:p>
        </w:tc>
        <w:tc>
          <w:tcPr>
            <w:tcW w:type="dxa" w:w="2056"/>
            <w:vAlign w:val="center"/>
          </w:tcPr>
          <w:p>
            <w:r>
              <w:rPr>
                <w:rFonts w:ascii="Aptos" w:hAnsi="Aptos"/>
                <w:sz w:val="14"/>
              </w:rPr>
              <w:t>Executing / Monitoring</w:t>
            </w:r>
          </w:p>
        </w:tc>
      </w:tr>
      <w:tr>
        <w:trPr>
          <w:cantSplit/>
        </w:trPr>
        <w:tc>
          <w:tcPr>
            <w:tcW w:type="dxa" w:w="2056"/>
            <w:vAlign w:val="center"/>
          </w:tcPr>
          <w:p>
            <w:r>
              <w:rPr>
                <w:rFonts w:ascii="Aptos" w:hAnsi="Aptos"/>
                <w:sz w:val="14"/>
              </w:rPr>
              <w:t>Analyze</w:t>
            </w:r>
          </w:p>
        </w:tc>
        <w:tc>
          <w:tcPr>
            <w:tcW w:type="dxa" w:w="2056"/>
            <w:vAlign w:val="center"/>
          </w:tcPr>
          <w:p>
            <w:r>
              <w:rPr>
                <w:rFonts w:ascii="Aptos" w:hAnsi="Aptos"/>
                <w:sz w:val="14"/>
              </w:rPr>
              <w:t>Modeling and Evaluation</w:t>
            </w:r>
          </w:p>
        </w:tc>
        <w:tc>
          <w:tcPr>
            <w:tcW w:type="dxa" w:w="2056"/>
            <w:vAlign w:val="center"/>
          </w:tcPr>
          <w:p>
            <w:r>
              <w:rPr>
                <w:rFonts w:ascii="Aptos" w:hAnsi="Aptos"/>
                <w:sz w:val="14"/>
              </w:rPr>
              <w:t>Analyze</w:t>
            </w:r>
          </w:p>
        </w:tc>
        <w:tc>
          <w:tcPr>
            <w:tcW w:type="dxa" w:w="2056"/>
            <w:vAlign w:val="center"/>
          </w:tcPr>
          <w:p>
            <w:r>
              <w:rPr>
                <w:rFonts w:ascii="Aptos" w:hAnsi="Aptos"/>
                <w:sz w:val="14"/>
              </w:rPr>
              <w:t>Modeling</w:t>
            </w:r>
          </w:p>
        </w:tc>
        <w:tc>
          <w:tcPr>
            <w:tcW w:type="dxa" w:w="2056"/>
            <w:vAlign w:val="center"/>
          </w:tcPr>
          <w:p>
            <w:r>
              <w:rPr>
                <w:rFonts w:ascii="Aptos" w:hAnsi="Aptos"/>
                <w:sz w:val="14"/>
              </w:rPr>
              <w:t>Executing / Monitoring</w:t>
            </w:r>
          </w:p>
        </w:tc>
      </w:tr>
      <w:tr>
        <w:trPr>
          <w:cantSplit/>
        </w:trPr>
        <w:tc>
          <w:tcPr>
            <w:tcW w:type="dxa" w:w="2056"/>
            <w:vAlign w:val="center"/>
          </w:tcPr>
          <w:p>
            <w:r>
              <w:rPr>
                <w:rFonts w:ascii="Aptos" w:hAnsi="Aptos"/>
                <w:sz w:val="14"/>
              </w:rPr>
              <w:t>Share</w:t>
            </w:r>
          </w:p>
        </w:tc>
        <w:tc>
          <w:tcPr>
            <w:tcW w:type="dxa" w:w="2056"/>
            <w:vAlign w:val="center"/>
          </w:tcPr>
          <w:p>
            <w:r>
              <w:rPr>
                <w:rFonts w:ascii="Aptos" w:hAnsi="Aptos"/>
                <w:sz w:val="14"/>
              </w:rPr>
              <w:t>Evaluation</w:t>
            </w:r>
          </w:p>
        </w:tc>
        <w:tc>
          <w:tcPr>
            <w:tcW w:type="dxa" w:w="2056"/>
            <w:vAlign w:val="center"/>
          </w:tcPr>
          <w:p>
            <w:r>
              <w:rPr>
                <w:rFonts w:ascii="Aptos" w:hAnsi="Aptos"/>
                <w:sz w:val="14"/>
              </w:rPr>
              <w:t>Analyze / improvement design</w:t>
            </w:r>
          </w:p>
        </w:tc>
        <w:tc>
          <w:tcPr>
            <w:tcW w:type="dxa" w:w="2056"/>
            <w:vAlign w:val="center"/>
          </w:tcPr>
          <w:p>
            <w:r>
              <w:rPr>
                <w:rFonts w:ascii="Aptos" w:hAnsi="Aptos"/>
                <w:sz w:val="14"/>
              </w:rPr>
              <w:t>Customer Acceptance</w:t>
            </w:r>
          </w:p>
        </w:tc>
        <w:tc>
          <w:tcPr>
            <w:tcW w:type="dxa" w:w="2056"/>
            <w:vAlign w:val="center"/>
          </w:tcPr>
          <w:p>
            <w:r>
              <w:rPr>
                <w:rFonts w:ascii="Aptos" w:hAnsi="Aptos"/>
                <w:sz w:val="14"/>
              </w:rPr>
              <w:t>Stakeholder engagement</w:t>
            </w:r>
          </w:p>
        </w:tc>
      </w:tr>
      <w:tr>
        <w:trPr>
          <w:cantSplit/>
        </w:trPr>
        <w:tc>
          <w:tcPr>
            <w:tcW w:type="dxa" w:w="2056"/>
            <w:vAlign w:val="center"/>
          </w:tcPr>
          <w:p>
            <w:r>
              <w:rPr>
                <w:rFonts w:ascii="Aptos" w:hAnsi="Aptos"/>
                <w:sz w:val="14"/>
              </w:rPr>
              <w:t>Act</w:t>
            </w:r>
          </w:p>
        </w:tc>
        <w:tc>
          <w:tcPr>
            <w:tcW w:type="dxa" w:w="2056"/>
            <w:vAlign w:val="center"/>
          </w:tcPr>
          <w:p>
            <w:r>
              <w:rPr>
                <w:rFonts w:ascii="Aptos" w:hAnsi="Aptos"/>
                <w:sz w:val="14"/>
              </w:rPr>
              <w:t>Deployment</w:t>
            </w:r>
          </w:p>
        </w:tc>
        <w:tc>
          <w:tcPr>
            <w:tcW w:type="dxa" w:w="2056"/>
            <w:vAlign w:val="center"/>
          </w:tcPr>
          <w:p>
            <w:r>
              <w:rPr>
                <w:rFonts w:ascii="Aptos" w:hAnsi="Aptos"/>
                <w:sz w:val="14"/>
              </w:rPr>
              <w:t>Improve and Control</w:t>
            </w:r>
          </w:p>
        </w:tc>
        <w:tc>
          <w:tcPr>
            <w:tcW w:type="dxa" w:w="2056"/>
            <w:vAlign w:val="center"/>
          </w:tcPr>
          <w:p>
            <w:r>
              <w:rPr>
                <w:rFonts w:ascii="Aptos" w:hAnsi="Aptos"/>
                <w:sz w:val="14"/>
              </w:rPr>
              <w:t>Deployment / Acceptance</w:t>
            </w:r>
          </w:p>
        </w:tc>
        <w:tc>
          <w:tcPr>
            <w:tcW w:type="dxa" w:w="2056"/>
            <w:vAlign w:val="center"/>
          </w:tcPr>
          <w:p>
            <w:r>
              <w:rPr>
                <w:rFonts w:ascii="Aptos" w:hAnsi="Aptos"/>
                <w:sz w:val="14"/>
              </w:rPr>
              <w:t>Executing / Monitoring / Closing</w:t>
            </w:r>
          </w:p>
        </w:tc>
      </w:tr>
    </w:tbl>
    <w:p>
      <w:r>
        <w:t>The frameworks are conceptually aligned but are not treated as identical. The workflow is iterative, and quality or governance findings may require returning to earlier phases.</w:t>
      </w:r>
    </w:p>
    <w:p>
      <w:pPr>
        <w:pStyle w:val="Heading1"/>
      </w:pPr>
      <w:r>
        <w:t>4. Dataset, Feature Lineage, and Quality</w:t>
      </w:r>
    </w:p>
    <w:p>
      <w:r>
        <w:t>The deterministic generator created 2,400 intended projects with snapshots between approximately 35% and 60% planned completion. Raw tables intentionally contained duplicates, category variants, missing critical values, invalid numeric values, invalid dates, target inconsistencies, and orphan relationships.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55F86"/>
            <w:vAlign w:val="center"/>
          </w:tcPr>
          <w:p>
            <w:r>
              <w:rPr>
                <w:b/>
                <w:color w:val="FFFFFF"/>
                <w:sz w:val="16"/>
              </w:rPr>
              <w:t>Control</w:t>
            </w:r>
          </w:p>
        </w:tc>
        <w:tc>
          <w:tcPr>
            <w:tcW w:type="dxa" w:w="5141"/>
            <w:shd w:fill="155F86"/>
            <w:vAlign w:val="center"/>
          </w:tcPr>
          <w:p>
            <w:r>
              <w:rPr>
                <w:b/>
                <w:color w:val="FFFFFF"/>
                <w:sz w:val="16"/>
              </w:rPr>
              <w:t>Result</w:t>
            </w:r>
          </w:p>
        </w:tc>
      </w:tr>
      <w:tr>
        <w:trPr>
          <w:cantSplit/>
        </w:trPr>
        <w:tc>
          <w:tcPr>
            <w:tcW w:type="dxa" w:w="5141"/>
            <w:vAlign w:val="center"/>
          </w:tcPr>
          <w:p>
            <w:r>
              <w:rPr>
                <w:rFonts w:ascii="Aptos" w:hAnsi="Aptos"/>
                <w:sz w:val="16"/>
              </w:rPr>
              <w:t>Raw project rows</w:t>
            </w:r>
          </w:p>
        </w:tc>
        <w:tc>
          <w:tcPr>
            <w:tcW w:type="dxa" w:w="5141"/>
            <w:vAlign w:val="center"/>
          </w:tcPr>
          <w:p>
            <w:r>
              <w:rPr>
                <w:rFonts w:ascii="Aptos" w:hAnsi="Aptos"/>
                <w:sz w:val="16"/>
              </w:rPr>
              <w:t>2,412</w:t>
            </w:r>
          </w:p>
        </w:tc>
      </w:tr>
      <w:tr>
        <w:trPr>
          <w:cantSplit/>
        </w:trPr>
        <w:tc>
          <w:tcPr>
            <w:tcW w:type="dxa" w:w="5141"/>
            <w:vAlign w:val="center"/>
          </w:tcPr>
          <w:p>
            <w:r>
              <w:rPr>
                <w:rFonts w:ascii="Aptos" w:hAnsi="Aptos"/>
                <w:sz w:val="16"/>
              </w:rPr>
              <w:t>Raw workflow rows</w:t>
            </w:r>
          </w:p>
        </w:tc>
        <w:tc>
          <w:tcPr>
            <w:tcW w:type="dxa" w:w="5141"/>
            <w:vAlign w:val="center"/>
          </w:tcPr>
          <w:p>
            <w:r>
              <w:rPr>
                <w:rFonts w:ascii="Aptos" w:hAnsi="Aptos"/>
                <w:sz w:val="16"/>
              </w:rPr>
              <w:t>2,417</w:t>
            </w:r>
          </w:p>
        </w:tc>
      </w:tr>
      <w:tr>
        <w:trPr>
          <w:cantSplit/>
        </w:trPr>
        <w:tc>
          <w:tcPr>
            <w:tcW w:type="dxa" w:w="5141"/>
            <w:vAlign w:val="center"/>
          </w:tcPr>
          <w:p>
            <w:r>
              <w:rPr>
                <w:rFonts w:ascii="Aptos" w:hAnsi="Aptos"/>
                <w:sz w:val="16"/>
              </w:rPr>
              <w:t>Raw outcome rows</w:t>
            </w:r>
          </w:p>
        </w:tc>
        <w:tc>
          <w:tcPr>
            <w:tcW w:type="dxa" w:w="5141"/>
            <w:vAlign w:val="center"/>
          </w:tcPr>
          <w:p>
            <w:r>
              <w:rPr>
                <w:rFonts w:ascii="Aptos" w:hAnsi="Aptos"/>
                <w:sz w:val="16"/>
              </w:rPr>
              <w:t>2,416</w:t>
            </w:r>
          </w:p>
        </w:tc>
      </w:tr>
      <w:tr>
        <w:trPr>
          <w:cantSplit/>
        </w:trPr>
        <w:tc>
          <w:tcPr>
            <w:tcW w:type="dxa" w:w="5141"/>
            <w:vAlign w:val="center"/>
          </w:tcPr>
          <w:p>
            <w:r>
              <w:rPr>
                <w:rFonts w:ascii="Aptos" w:hAnsi="Aptos"/>
                <w:sz w:val="16"/>
              </w:rPr>
              <w:t>Duplicate removals</w:t>
            </w:r>
          </w:p>
        </w:tc>
        <w:tc>
          <w:tcPr>
            <w:tcW w:type="dxa" w:w="5141"/>
            <w:vAlign w:val="center"/>
          </w:tcPr>
          <w:p>
            <w:r>
              <w:rPr>
                <w:rFonts w:ascii="Aptos" w:hAnsi="Aptos"/>
                <w:sz w:val="16"/>
              </w:rPr>
              <w:t>36</w:t>
            </w:r>
          </w:p>
        </w:tc>
      </w:tr>
      <w:tr>
        <w:trPr>
          <w:cantSplit/>
        </w:trPr>
        <w:tc>
          <w:tcPr>
            <w:tcW w:type="dxa" w:w="5141"/>
            <w:vAlign w:val="center"/>
          </w:tcPr>
          <w:p>
            <w:r>
              <w:rPr>
                <w:rFonts w:ascii="Aptos" w:hAnsi="Aptos"/>
                <w:sz w:val="16"/>
              </w:rPr>
              <w:t>Quarantined records</w:t>
            </w:r>
          </w:p>
        </w:tc>
        <w:tc>
          <w:tcPr>
            <w:tcW w:type="dxa" w:w="5141"/>
            <w:vAlign w:val="center"/>
          </w:tcPr>
          <w:p>
            <w:r>
              <w:rPr>
                <w:rFonts w:ascii="Aptos" w:hAnsi="Aptos"/>
                <w:sz w:val="16"/>
              </w:rPr>
              <w:t>123</w:t>
            </w:r>
          </w:p>
        </w:tc>
      </w:tr>
      <w:tr>
        <w:trPr>
          <w:cantSplit/>
        </w:trPr>
        <w:tc>
          <w:tcPr>
            <w:tcW w:type="dxa" w:w="5141"/>
            <w:vAlign w:val="center"/>
          </w:tcPr>
          <w:p>
            <w:r>
              <w:rPr>
                <w:rFonts w:ascii="Aptos" w:hAnsi="Aptos"/>
                <w:sz w:val="16"/>
              </w:rPr>
              <w:t>Clean model rows</w:t>
            </w:r>
          </w:p>
        </w:tc>
        <w:tc>
          <w:tcPr>
            <w:tcW w:type="dxa" w:w="5141"/>
            <w:vAlign w:val="center"/>
          </w:tcPr>
          <w:p>
            <w:r>
              <w:rPr>
                <w:rFonts w:ascii="Aptos" w:hAnsi="Aptos"/>
                <w:sz w:val="16"/>
              </w:rPr>
              <w:t>2,362</w:t>
            </w:r>
          </w:p>
        </w:tc>
      </w:tr>
      <w:tr>
        <w:trPr>
          <w:cantSplit/>
        </w:trPr>
        <w:tc>
          <w:tcPr>
            <w:tcW w:type="dxa" w:w="5141"/>
            <w:vAlign w:val="center"/>
          </w:tcPr>
          <w:p>
            <w:r>
              <w:rPr>
                <w:rFonts w:ascii="Aptos" w:hAnsi="Aptos"/>
                <w:sz w:val="16"/>
              </w:rPr>
              <w:t>Cleaning actions</w:t>
            </w:r>
          </w:p>
        </w:tc>
        <w:tc>
          <w:tcPr>
            <w:tcW w:type="dxa" w:w="5141"/>
            <w:vAlign w:val="center"/>
          </w:tcPr>
          <w:p>
            <w:r>
              <w:rPr>
                <w:rFonts w:ascii="Aptos" w:hAnsi="Aptos"/>
                <w:sz w:val="16"/>
              </w:rPr>
              <w:t>199</w:t>
            </w:r>
          </w:p>
        </w:tc>
      </w:tr>
      <w:tr>
        <w:trPr>
          <w:cantSplit/>
        </w:trPr>
        <w:tc>
          <w:tcPr>
            <w:tcW w:type="dxa" w:w="5141"/>
            <w:vAlign w:val="center"/>
          </w:tcPr>
          <w:p>
            <w:r>
              <w:rPr>
                <w:rFonts w:ascii="Aptos" w:hAnsi="Aptos"/>
                <w:sz w:val="16"/>
              </w:rPr>
              <w:t>SQLite integrity</w:t>
            </w:r>
          </w:p>
        </w:tc>
        <w:tc>
          <w:tcPr>
            <w:tcW w:type="dxa" w:w="5141"/>
            <w:vAlign w:val="center"/>
          </w:tcPr>
          <w:p>
            <w:r>
              <w:rPr>
                <w:rFonts w:ascii="Aptos" w:hAnsi="Aptos"/>
                <w:sz w:val="16"/>
              </w:rPr>
              <w:t>ok</w:t>
            </w:r>
          </w:p>
        </w:tc>
      </w:tr>
      <w:tr>
        <w:trPr>
          <w:cantSplit/>
        </w:trPr>
        <w:tc>
          <w:tcPr>
            <w:tcW w:type="dxa" w:w="5141"/>
            <w:vAlign w:val="center"/>
          </w:tcPr>
          <w:p>
            <w:r>
              <w:rPr>
                <w:rFonts w:ascii="Aptos" w:hAnsi="Aptos"/>
                <w:sz w:val="16"/>
              </w:rPr>
              <w:t>Foreign-key violations</w:t>
            </w:r>
          </w:p>
        </w:tc>
        <w:tc>
          <w:tcPr>
            <w:tcW w:type="dxa" w:w="5141"/>
            <w:vAlign w:val="center"/>
          </w:tcPr>
          <w:p>
            <w:r>
              <w:rPr>
                <w:rFonts w:ascii="Aptos" w:hAnsi="Aptos"/>
                <w:sz w:val="16"/>
              </w:rPr>
              <w:t>0</w:t>
            </w:r>
          </w:p>
        </w:tc>
      </w:tr>
    </w:tbl>
    <w:p>
      <w:pPr>
        <w:pStyle w:val="Heading2"/>
      </w:pPr>
      <w:r>
        <w:t>Feature families</w:t>
      </w:r>
    </w:p>
    <w:p>
      <w:pPr>
        <w:pStyle w:val="ListBullet"/>
      </w:pPr>
      <w:r>
        <w:t>Project and contract attributes</w:t>
      </w:r>
    </w:p>
    <w:p>
      <w:pPr>
        <w:pStyle w:val="ListBullet"/>
      </w:pPr>
      <w:r>
        <w:t>CPI, SPI, cost variance, schedule variance, contingency, and productivity</w:t>
      </w:r>
    </w:p>
    <w:p>
      <w:pPr>
        <w:pStyle w:val="ListBullet"/>
      </w:pPr>
      <w:r>
        <w:t>Procurement, weather, and safety indicators</w:t>
      </w:r>
    </w:p>
    <w:p>
      <w:pPr>
        <w:pStyle w:val="ListBullet"/>
      </w:pPr>
      <w:r>
        <w:t>RFI response, overdue rates, revisions, reopening, and RFI-to-change conversion</w:t>
      </w:r>
    </w:p>
    <w:p>
      <w:pPr>
        <w:pStyle w:val="ListBullet"/>
      </w:pPr>
      <w:r>
        <w:t>Approved and pending change exposure, approval cycle, old pending rate, and forecast incorporation lag</w:t>
      </w:r>
    </w:p>
    <w:p>
      <w:pPr>
        <w:pStyle w:val="ListBullet"/>
      </w:pPr>
      <w:r>
        <w:t>Workflow handoffs, revision loops, and snapshot workflow-risk score</w:t>
      </w:r>
    </w:p>
    <w:p>
      <w:r>
        <w:t>Final outcomes, final CPI/SPI, actual end date, final EAC, and final status were excluded from predictor matrices.</w:t>
      </w:r>
    </w:p>
    <w:p>
      <w:pPr>
        <w:pStyle w:val="Heading1"/>
      </w:pPr>
      <w:r>
        <w:t>5. Modeling Methodology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55F86"/>
            <w:vAlign w:val="center"/>
          </w:tcPr>
          <w:p>
            <w:r>
              <w:rPr>
                <w:b/>
                <w:color w:val="FFFFFF"/>
                <w:sz w:val="16"/>
              </w:rPr>
              <w:t>Element</w:t>
            </w:r>
          </w:p>
        </w:tc>
        <w:tc>
          <w:tcPr>
            <w:tcW w:type="dxa" w:w="5141"/>
            <w:shd w:fill="155F86"/>
            <w:vAlign w:val="center"/>
          </w:tcPr>
          <w:p>
            <w:r>
              <w:rPr>
                <w:b/>
                <w:color w:val="FFFFFF"/>
                <w:sz w:val="16"/>
              </w:rPr>
              <w:t>Method</w:t>
            </w:r>
          </w:p>
        </w:tc>
      </w:tr>
      <w:tr>
        <w:trPr>
          <w:cantSplit/>
        </w:trPr>
        <w:tc>
          <w:tcPr>
            <w:tcW w:type="dxa" w:w="5141"/>
            <w:vAlign w:val="center"/>
          </w:tcPr>
          <w:p>
            <w:r>
              <w:rPr>
                <w:rFonts w:ascii="Aptos" w:hAnsi="Aptos"/>
                <w:sz w:val="16"/>
              </w:rPr>
              <w:t>Time split</w:t>
            </w:r>
          </w:p>
        </w:tc>
        <w:tc>
          <w:tcPr>
            <w:tcW w:type="dxa" w:w="5141"/>
            <w:vAlign w:val="center"/>
          </w:tcPr>
          <w:p>
            <w:r>
              <w:rPr>
                <w:rFonts w:ascii="Aptos" w:hAnsi="Aptos"/>
                <w:sz w:val="16"/>
              </w:rPr>
              <w:t>Train 2019–2023; Validation 2024; Test 2025</w:t>
            </w:r>
          </w:p>
        </w:tc>
      </w:tr>
      <w:tr>
        <w:trPr>
          <w:cantSplit/>
        </w:trPr>
        <w:tc>
          <w:tcPr>
            <w:tcW w:type="dxa" w:w="5141"/>
            <w:vAlign w:val="center"/>
          </w:tcPr>
          <w:p>
            <w:r>
              <w:rPr>
                <w:rFonts w:ascii="Aptos" w:hAnsi="Aptos"/>
                <w:sz w:val="16"/>
              </w:rPr>
              <w:t>Cost classification</w:t>
            </w:r>
          </w:p>
        </w:tc>
        <w:tc>
          <w:tcPr>
            <w:tcW w:type="dxa" w:w="5141"/>
            <w:vAlign w:val="center"/>
          </w:tcPr>
          <w:p>
            <w:r>
              <w:rPr>
                <w:rFonts w:ascii="Aptos" w:hAnsi="Aptos"/>
                <w:sz w:val="16"/>
              </w:rPr>
              <w:t>Final cost overrun ≥10%</w:t>
            </w:r>
          </w:p>
        </w:tc>
      </w:tr>
      <w:tr>
        <w:trPr>
          <w:cantSplit/>
        </w:trPr>
        <w:tc>
          <w:tcPr>
            <w:tcW w:type="dxa" w:w="5141"/>
            <w:vAlign w:val="center"/>
          </w:tcPr>
          <w:p>
            <w:r>
              <w:rPr>
                <w:rFonts w:ascii="Aptos" w:hAnsi="Aptos"/>
                <w:sz w:val="16"/>
              </w:rPr>
              <w:t>Schedule classification</w:t>
            </w:r>
          </w:p>
        </w:tc>
        <w:tc>
          <w:tcPr>
            <w:tcW w:type="dxa" w:w="5141"/>
            <w:vAlign w:val="center"/>
          </w:tcPr>
          <w:p>
            <w:r>
              <w:rPr>
                <w:rFonts w:ascii="Aptos" w:hAnsi="Aptos"/>
                <w:sz w:val="16"/>
              </w:rPr>
              <w:t>Final schedule delay ≥30 days</w:t>
            </w:r>
          </w:p>
        </w:tc>
      </w:tr>
      <w:tr>
        <w:trPr>
          <w:cantSplit/>
        </w:trPr>
        <w:tc>
          <w:tcPr>
            <w:tcW w:type="dxa" w:w="5141"/>
            <w:vAlign w:val="center"/>
          </w:tcPr>
          <w:p>
            <w:r>
              <w:rPr>
                <w:rFonts w:ascii="Aptos" w:hAnsi="Aptos"/>
                <w:sz w:val="16"/>
              </w:rPr>
              <w:t>Cost regression</w:t>
            </w:r>
          </w:p>
        </w:tc>
        <w:tc>
          <w:tcPr>
            <w:tcW w:type="dxa" w:w="5141"/>
            <w:vAlign w:val="center"/>
          </w:tcPr>
          <w:p>
            <w:r>
              <w:rPr>
                <w:rFonts w:ascii="Aptos" w:hAnsi="Aptos"/>
                <w:sz w:val="16"/>
              </w:rPr>
              <w:t>Final cost-overrun percentage</w:t>
            </w:r>
          </w:p>
        </w:tc>
      </w:tr>
      <w:tr>
        <w:trPr>
          <w:cantSplit/>
        </w:trPr>
        <w:tc>
          <w:tcPr>
            <w:tcW w:type="dxa" w:w="5141"/>
            <w:vAlign w:val="center"/>
          </w:tcPr>
          <w:p>
            <w:r>
              <w:rPr>
                <w:rFonts w:ascii="Aptos" w:hAnsi="Aptos"/>
                <w:sz w:val="16"/>
              </w:rPr>
              <w:t>Schedule regression</w:t>
            </w:r>
          </w:p>
        </w:tc>
        <w:tc>
          <w:tcPr>
            <w:tcW w:type="dxa" w:w="5141"/>
            <w:vAlign w:val="center"/>
          </w:tcPr>
          <w:p>
            <w:r>
              <w:rPr>
                <w:rFonts w:ascii="Aptos" w:hAnsi="Aptos"/>
                <w:sz w:val="16"/>
              </w:rPr>
              <w:t>Final schedule-delay days</w:t>
            </w:r>
          </w:p>
        </w:tc>
      </w:tr>
      <w:tr>
        <w:trPr>
          <w:cantSplit/>
        </w:trPr>
        <w:tc>
          <w:tcPr>
            <w:tcW w:type="dxa" w:w="5141"/>
            <w:vAlign w:val="center"/>
          </w:tcPr>
          <w:p>
            <w:r>
              <w:rPr>
                <w:rFonts w:ascii="Aptos" w:hAnsi="Aptos"/>
                <w:sz w:val="16"/>
              </w:rPr>
              <w:t>Classification candidates</w:t>
            </w:r>
          </w:p>
        </w:tc>
        <w:tc>
          <w:tcPr>
            <w:tcW w:type="dxa" w:w="5141"/>
            <w:vAlign w:val="center"/>
          </w:tcPr>
          <w:p>
            <w:r>
              <w:rPr>
                <w:rFonts w:ascii="Aptos" w:hAnsi="Aptos"/>
                <w:sz w:val="16"/>
              </w:rPr>
              <w:t>Logistic Regression and Random Forest</w:t>
            </w:r>
          </w:p>
        </w:tc>
      </w:tr>
      <w:tr>
        <w:trPr>
          <w:cantSplit/>
        </w:trPr>
        <w:tc>
          <w:tcPr>
            <w:tcW w:type="dxa" w:w="5141"/>
            <w:vAlign w:val="center"/>
          </w:tcPr>
          <w:p>
            <w:r>
              <w:rPr>
                <w:rFonts w:ascii="Aptos" w:hAnsi="Aptos"/>
                <w:sz w:val="16"/>
              </w:rPr>
              <w:t>Regression candidates</w:t>
            </w:r>
          </w:p>
        </w:tc>
        <w:tc>
          <w:tcPr>
            <w:tcW w:type="dxa" w:w="5141"/>
            <w:vAlign w:val="center"/>
          </w:tcPr>
          <w:p>
            <w:r>
              <w:rPr>
                <w:rFonts w:ascii="Aptos" w:hAnsi="Aptos"/>
                <w:sz w:val="16"/>
              </w:rPr>
              <w:t>Ridge Regression and Random Forest Regressor</w:t>
            </w:r>
          </w:p>
        </w:tc>
      </w:tr>
      <w:tr>
        <w:trPr>
          <w:cantSplit/>
        </w:trPr>
        <w:tc>
          <w:tcPr>
            <w:tcW w:type="dxa" w:w="5141"/>
            <w:vAlign w:val="center"/>
          </w:tcPr>
          <w:p>
            <w:r>
              <w:rPr>
                <w:rFonts w:ascii="Aptos" w:hAnsi="Aptos"/>
                <w:sz w:val="16"/>
              </w:rPr>
              <w:t>Champion selection</w:t>
            </w:r>
          </w:p>
        </w:tc>
        <w:tc>
          <w:tcPr>
            <w:tcW w:type="dxa" w:w="5141"/>
            <w:vAlign w:val="center"/>
          </w:tcPr>
          <w:p>
            <w:r>
              <w:rPr>
                <w:rFonts w:ascii="Aptos" w:hAnsi="Aptos"/>
                <w:sz w:val="16"/>
              </w:rPr>
              <w:t>Validation PR-AUC for classification; validation MAE for regression</w:t>
            </w:r>
          </w:p>
        </w:tc>
      </w:tr>
      <w:tr>
        <w:trPr>
          <w:cantSplit/>
        </w:trPr>
        <w:tc>
          <w:tcPr>
            <w:tcW w:type="dxa" w:w="5141"/>
            <w:vAlign w:val="center"/>
          </w:tcPr>
          <w:p>
            <w:r>
              <w:rPr>
                <w:rFonts w:ascii="Aptos" w:hAnsi="Aptos"/>
                <w:sz w:val="16"/>
              </w:rPr>
              <w:t>Threshold selection</w:t>
            </w:r>
          </w:p>
        </w:tc>
        <w:tc>
          <w:tcPr>
            <w:tcW w:type="dxa" w:w="5141"/>
            <w:vAlign w:val="center"/>
          </w:tcPr>
          <w:p>
            <w:r>
              <w:rPr>
                <w:rFonts w:ascii="Aptos" w:hAnsi="Aptos"/>
                <w:sz w:val="16"/>
              </w:rPr>
              <w:t>Maximum validation F1; test untouched</w:t>
            </w:r>
          </w:p>
        </w:tc>
      </w:tr>
      <w:tr>
        <w:trPr>
          <w:cantSplit/>
        </w:trPr>
        <w:tc>
          <w:tcPr>
            <w:tcW w:type="dxa" w:w="5141"/>
            <w:vAlign w:val="center"/>
          </w:tcPr>
          <w:p>
            <w:r>
              <w:rPr>
                <w:rFonts w:ascii="Aptos" w:hAnsi="Aptos"/>
                <w:sz w:val="16"/>
              </w:rPr>
              <w:t>Explainability</w:t>
            </w:r>
          </w:p>
        </w:tc>
        <w:tc>
          <w:tcPr>
            <w:tcW w:type="dxa" w:w="5141"/>
            <w:vAlign w:val="center"/>
          </w:tcPr>
          <w:p>
            <w:r>
              <w:rPr>
                <w:rFonts w:ascii="Aptos" w:hAnsi="Aptos"/>
                <w:sz w:val="16"/>
              </w:rPr>
              <w:t>Permutation importance on held-out test data</w:t>
            </w:r>
          </w:p>
        </w:tc>
      </w:tr>
    </w:tbl>
    <w:p>
      <w:r>
        <w:t>The model uses 40 predictors: 31 numeric and 9 categorical. Numeric fields are standardized for linear models, and categorical values are one-hot encoded with unknown-category handling.</w:t>
      </w:r>
    </w:p>
    <w:p>
      <w:pPr>
        <w:pStyle w:val="Heading1"/>
      </w:pPr>
      <w:r>
        <w:t>6. Classification Performance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shd w:fill="155F86"/>
            <w:vAlign w:val="center"/>
          </w:tcPr>
          <w:p>
            <w:r>
              <w:rPr>
                <w:b/>
                <w:color w:val="FFFFFF"/>
                <w:sz w:val="15"/>
              </w:rPr>
              <w:t>Target</w:t>
            </w:r>
          </w:p>
        </w:tc>
        <w:tc>
          <w:tcPr>
            <w:tcW w:type="dxa" w:w="1285"/>
            <w:shd w:fill="155F86"/>
            <w:vAlign w:val="center"/>
          </w:tcPr>
          <w:p>
            <w:r>
              <w:rPr>
                <w:b/>
                <w:color w:val="FFFFFF"/>
                <w:sz w:val="15"/>
              </w:rPr>
              <w:t>Champion</w:t>
            </w:r>
          </w:p>
        </w:tc>
        <w:tc>
          <w:tcPr>
            <w:tcW w:type="dxa" w:w="1285"/>
            <w:shd w:fill="155F86"/>
            <w:vAlign w:val="center"/>
          </w:tcPr>
          <w:p>
            <w:r>
              <w:rPr>
                <w:b/>
                <w:color w:val="FFFFFF"/>
                <w:sz w:val="15"/>
              </w:rPr>
              <w:t>ROC-AUC</w:t>
            </w:r>
          </w:p>
        </w:tc>
        <w:tc>
          <w:tcPr>
            <w:tcW w:type="dxa" w:w="1285"/>
            <w:shd w:fill="155F86"/>
            <w:vAlign w:val="center"/>
          </w:tcPr>
          <w:p>
            <w:r>
              <w:rPr>
                <w:b/>
                <w:color w:val="FFFFFF"/>
                <w:sz w:val="15"/>
              </w:rPr>
              <w:t>PR-AUC</w:t>
            </w:r>
          </w:p>
        </w:tc>
        <w:tc>
          <w:tcPr>
            <w:tcW w:type="dxa" w:w="1285"/>
            <w:shd w:fill="155F86"/>
            <w:vAlign w:val="center"/>
          </w:tcPr>
          <w:p>
            <w:r>
              <w:rPr>
                <w:b/>
                <w:color w:val="FFFFFF"/>
                <w:sz w:val="15"/>
              </w:rPr>
              <w:t>Precision</w:t>
            </w:r>
          </w:p>
        </w:tc>
        <w:tc>
          <w:tcPr>
            <w:tcW w:type="dxa" w:w="1285"/>
            <w:shd w:fill="155F86"/>
            <w:vAlign w:val="center"/>
          </w:tcPr>
          <w:p>
            <w:r>
              <w:rPr>
                <w:b/>
                <w:color w:val="FFFFFF"/>
                <w:sz w:val="15"/>
              </w:rPr>
              <w:t>Recall</w:t>
            </w:r>
          </w:p>
        </w:tc>
        <w:tc>
          <w:tcPr>
            <w:tcW w:type="dxa" w:w="1285"/>
            <w:shd w:fill="155F86"/>
            <w:vAlign w:val="center"/>
          </w:tcPr>
          <w:p>
            <w:r>
              <w:rPr>
                <w:b/>
                <w:color w:val="FFFFFF"/>
                <w:sz w:val="15"/>
              </w:rPr>
              <w:t>F1</w:t>
            </w:r>
          </w:p>
        </w:tc>
        <w:tc>
          <w:tcPr>
            <w:tcW w:type="dxa" w:w="1285"/>
            <w:shd w:fill="155F86"/>
            <w:vAlign w:val="center"/>
          </w:tcPr>
          <w:p>
            <w:r>
              <w:rPr>
                <w:b/>
                <w:color w:val="FFFFFF"/>
                <w:sz w:val="15"/>
              </w:rPr>
              <w:t>Brier</w:t>
            </w:r>
          </w:p>
        </w:tc>
      </w:tr>
      <w:tr>
        <w:trPr>
          <w:cantSplit/>
        </w:trPr>
        <w:tc>
          <w:tcPr>
            <w:tcW w:type="dxa" w:w="1285"/>
            <w:vAlign w:val="center"/>
          </w:tcPr>
          <w:p>
            <w:r>
              <w:rPr>
                <w:rFonts w:ascii="Aptos" w:hAnsi="Aptos"/>
                <w:sz w:val="15"/>
              </w:rPr>
              <w:t>Cost overrun</w:t>
            </w:r>
          </w:p>
        </w:tc>
        <w:tc>
          <w:tcPr>
            <w:tcW w:type="dxa" w:w="1285"/>
            <w:vAlign w:val="center"/>
          </w:tcPr>
          <w:p>
            <w:r>
              <w:rPr>
                <w:rFonts w:ascii="Aptos" w:hAnsi="Aptos"/>
                <w:sz w:val="15"/>
              </w:rPr>
              <w:t>Random Forest</w:t>
            </w:r>
          </w:p>
        </w:tc>
        <w:tc>
          <w:tcPr>
            <w:tcW w:type="dxa" w:w="1285"/>
            <w:vAlign w:val="center"/>
          </w:tcPr>
          <w:p>
            <w:r>
              <w:rPr>
                <w:rFonts w:ascii="Aptos" w:hAnsi="Aptos"/>
                <w:sz w:val="15"/>
              </w:rPr>
              <w:t>0.899</w:t>
            </w:r>
          </w:p>
        </w:tc>
        <w:tc>
          <w:tcPr>
            <w:tcW w:type="dxa" w:w="1285"/>
            <w:vAlign w:val="center"/>
          </w:tcPr>
          <w:p>
            <w:r>
              <w:rPr>
                <w:rFonts w:ascii="Aptos" w:hAnsi="Aptos"/>
                <w:sz w:val="15"/>
              </w:rPr>
              <w:t>0.774</w:t>
            </w:r>
          </w:p>
        </w:tc>
        <w:tc>
          <w:tcPr>
            <w:tcW w:type="dxa" w:w="1285"/>
            <w:vAlign w:val="center"/>
          </w:tcPr>
          <w:p>
            <w:r>
              <w:rPr>
                <w:rFonts w:ascii="Aptos" w:hAnsi="Aptos"/>
                <w:sz w:val="15"/>
              </w:rPr>
              <w:t>0.625</w:t>
            </w:r>
          </w:p>
        </w:tc>
        <w:tc>
          <w:tcPr>
            <w:tcW w:type="dxa" w:w="1285"/>
            <w:vAlign w:val="center"/>
          </w:tcPr>
          <w:p>
            <w:r>
              <w:rPr>
                <w:rFonts w:ascii="Aptos" w:hAnsi="Aptos"/>
                <w:sz w:val="15"/>
              </w:rPr>
              <w:t>0.811</w:t>
            </w:r>
          </w:p>
        </w:tc>
        <w:tc>
          <w:tcPr>
            <w:tcW w:type="dxa" w:w="1285"/>
            <w:vAlign w:val="center"/>
          </w:tcPr>
          <w:p>
            <w:r>
              <w:rPr>
                <w:rFonts w:ascii="Aptos" w:hAnsi="Aptos"/>
                <w:sz w:val="15"/>
              </w:rPr>
              <w:t>0.706</w:t>
            </w:r>
          </w:p>
        </w:tc>
        <w:tc>
          <w:tcPr>
            <w:tcW w:type="dxa" w:w="1285"/>
            <w:vAlign w:val="center"/>
          </w:tcPr>
          <w:p>
            <w:r>
              <w:rPr>
                <w:rFonts w:ascii="Aptos" w:hAnsi="Aptos"/>
                <w:sz w:val="15"/>
              </w:rPr>
              <w:t>0.123</w:t>
            </w:r>
          </w:p>
        </w:tc>
      </w:tr>
      <w:tr>
        <w:trPr>
          <w:cantSplit/>
        </w:trPr>
        <w:tc>
          <w:tcPr>
            <w:tcW w:type="dxa" w:w="1285"/>
            <w:vAlign w:val="center"/>
          </w:tcPr>
          <w:p>
            <w:r>
              <w:rPr>
                <w:rFonts w:ascii="Aptos" w:hAnsi="Aptos"/>
                <w:sz w:val="15"/>
              </w:rPr>
              <w:t>Schedule delay</w:t>
            </w:r>
          </w:p>
        </w:tc>
        <w:tc>
          <w:tcPr>
            <w:tcW w:type="dxa" w:w="1285"/>
            <w:vAlign w:val="center"/>
          </w:tcPr>
          <w:p>
            <w:r>
              <w:rPr>
                <w:rFonts w:ascii="Aptos" w:hAnsi="Aptos"/>
                <w:sz w:val="15"/>
              </w:rPr>
              <w:t>Logistic Regression</w:t>
            </w:r>
          </w:p>
        </w:tc>
        <w:tc>
          <w:tcPr>
            <w:tcW w:type="dxa" w:w="1285"/>
            <w:vAlign w:val="center"/>
          </w:tcPr>
          <w:p>
            <w:r>
              <w:rPr>
                <w:rFonts w:ascii="Aptos" w:hAnsi="Aptos"/>
                <w:sz w:val="15"/>
              </w:rPr>
              <w:t>0.756</w:t>
            </w:r>
          </w:p>
        </w:tc>
        <w:tc>
          <w:tcPr>
            <w:tcW w:type="dxa" w:w="1285"/>
            <w:vAlign w:val="center"/>
          </w:tcPr>
          <w:p>
            <w:r>
              <w:rPr>
                <w:rFonts w:ascii="Aptos" w:hAnsi="Aptos"/>
                <w:sz w:val="15"/>
              </w:rPr>
              <w:t>0.524</w:t>
            </w:r>
          </w:p>
        </w:tc>
        <w:tc>
          <w:tcPr>
            <w:tcW w:type="dxa" w:w="1285"/>
            <w:vAlign w:val="center"/>
          </w:tcPr>
          <w:p>
            <w:r>
              <w:rPr>
                <w:rFonts w:ascii="Aptos" w:hAnsi="Aptos"/>
                <w:sz w:val="15"/>
              </w:rPr>
              <w:t>0.520</w:t>
            </w:r>
          </w:p>
        </w:tc>
        <w:tc>
          <w:tcPr>
            <w:tcW w:type="dxa" w:w="1285"/>
            <w:vAlign w:val="center"/>
          </w:tcPr>
          <w:p>
            <w:r>
              <w:rPr>
                <w:rFonts w:ascii="Aptos" w:hAnsi="Aptos"/>
                <w:sz w:val="15"/>
              </w:rPr>
              <w:t>0.453</w:t>
            </w:r>
          </w:p>
        </w:tc>
        <w:tc>
          <w:tcPr>
            <w:tcW w:type="dxa" w:w="1285"/>
            <w:vAlign w:val="center"/>
          </w:tcPr>
          <w:p>
            <w:r>
              <w:rPr>
                <w:rFonts w:ascii="Aptos" w:hAnsi="Aptos"/>
                <w:sz w:val="15"/>
              </w:rPr>
              <w:t>0.484</w:t>
            </w:r>
          </w:p>
        </w:tc>
        <w:tc>
          <w:tcPr>
            <w:tcW w:type="dxa" w:w="1285"/>
            <w:vAlign w:val="center"/>
          </w:tcPr>
          <w:p>
            <w:r>
              <w:rPr>
                <w:rFonts w:ascii="Aptos" w:hAnsi="Aptos"/>
                <w:sz w:val="15"/>
              </w:rPr>
              <w:t>0.183</w:t>
            </w:r>
          </w:p>
        </w:tc>
      </w:tr>
    </w:tbl>
    <w:p>
      <w:pPr>
        <w:jc w:val="center"/>
      </w:pPr>
      <w:r>
        <w:drawing>
          <wp:inline xmlns:a="http://schemas.openxmlformats.org/drawingml/2006/main" xmlns:pic="http://schemas.openxmlformats.org/drawingml/2006/picture">
            <wp:extent cx="6217920" cy="4518665"/>
            <wp:docPr id="2" name="Picture 2"/>
            <wp:cNvGraphicFramePr>
              <a:graphicFrameLocks noChangeAspect="1"/>
            </wp:cNvGraphicFramePr>
            <a:graphic>
              <a:graphicData uri="http://schemas.openxmlformats.org/drawingml/2006/picture">
                <pic:pic>
                  <pic:nvPicPr>
                    <pic:cNvPr id="0" name="model_performance_dashboard.png"/>
                    <pic:cNvPicPr/>
                  </pic:nvPicPr>
                  <pic:blipFill>
                    <a:blip r:embed="rId12"/>
                    <a:stretch>
                      <a:fillRect/>
                    </a:stretch>
                  </pic:blipFill>
                  <pic:spPr>
                    <a:xfrm>
                      <a:off x="0" y="0"/>
                      <a:ext cx="6217920" cy="4518665"/>
                    </a:xfrm>
                    <a:prstGeom prst="rect"/>
                  </pic:spPr>
                </pic:pic>
              </a:graphicData>
            </a:graphic>
          </wp:inline>
        </w:drawing>
      </w:r>
    </w:p>
    <w:p>
      <w:pPr>
        <w:jc w:val="center"/>
      </w:pPr>
      <w:r>
        <w:t>Figure 1. Classification, regression, and calibration performance.</w:t>
      </w:r>
    </w:p>
    <w:p>
      <w:pPr>
        <w:pStyle w:val="Heading1"/>
      </w:pPr>
      <w:r>
        <w:t>7. Regression, Calibration, and Temporal Generalization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55F86"/>
            <w:vAlign w:val="center"/>
          </w:tcPr>
          <w:p>
            <w:r>
              <w:rPr>
                <w:b/>
                <w:color w:val="FFFFFF"/>
                <w:sz w:val="14"/>
              </w:rPr>
              <w:t>Target</w:t>
            </w:r>
          </w:p>
        </w:tc>
        <w:tc>
          <w:tcPr>
            <w:tcW w:type="dxa" w:w="1714"/>
            <w:shd w:fill="155F86"/>
            <w:vAlign w:val="center"/>
          </w:tcPr>
          <w:p>
            <w:r>
              <w:rPr>
                <w:b/>
                <w:color w:val="FFFFFF"/>
                <w:sz w:val="14"/>
              </w:rPr>
              <w:t>Model</w:t>
            </w:r>
          </w:p>
        </w:tc>
        <w:tc>
          <w:tcPr>
            <w:tcW w:type="dxa" w:w="1714"/>
            <w:shd w:fill="155F86"/>
            <w:vAlign w:val="center"/>
          </w:tcPr>
          <w:p>
            <w:r>
              <w:rPr>
                <w:b/>
                <w:color w:val="FFFFFF"/>
                <w:sz w:val="14"/>
              </w:rPr>
              <w:t>MAE</w:t>
            </w:r>
          </w:p>
        </w:tc>
        <w:tc>
          <w:tcPr>
            <w:tcW w:type="dxa" w:w="1714"/>
            <w:shd w:fill="155F86"/>
            <w:vAlign w:val="center"/>
          </w:tcPr>
          <w:p>
            <w:r>
              <w:rPr>
                <w:b/>
                <w:color w:val="FFFFFF"/>
                <w:sz w:val="14"/>
              </w:rPr>
              <w:t>RMSE</w:t>
            </w:r>
          </w:p>
        </w:tc>
        <w:tc>
          <w:tcPr>
            <w:tcW w:type="dxa" w:w="1714"/>
            <w:shd w:fill="155F86"/>
            <w:vAlign w:val="center"/>
          </w:tcPr>
          <w:p>
            <w:r>
              <w:rPr>
                <w:b/>
                <w:color w:val="FFFFFF"/>
                <w:sz w:val="14"/>
              </w:rPr>
              <w:t>R²</w:t>
            </w:r>
          </w:p>
        </w:tc>
        <w:tc>
          <w:tcPr>
            <w:tcW w:type="dxa" w:w="1714"/>
            <w:shd w:fill="155F86"/>
            <w:vAlign w:val="center"/>
          </w:tcPr>
          <w:p>
            <w:r>
              <w:rPr>
                <w:b/>
                <w:color w:val="FFFFFF"/>
                <w:sz w:val="14"/>
              </w:rPr>
              <w:t>Interpretation</w:t>
            </w:r>
          </w:p>
        </w:tc>
      </w:tr>
      <w:tr>
        <w:trPr>
          <w:cantSplit/>
        </w:trPr>
        <w:tc>
          <w:tcPr>
            <w:tcW w:type="dxa" w:w="1714"/>
            <w:vAlign w:val="center"/>
          </w:tcPr>
          <w:p>
            <w:r>
              <w:rPr>
                <w:rFonts w:ascii="Aptos" w:hAnsi="Aptos"/>
                <w:sz w:val="14"/>
              </w:rPr>
              <w:t>Final_Cost_Overrun_Pct</w:t>
            </w:r>
          </w:p>
        </w:tc>
        <w:tc>
          <w:tcPr>
            <w:tcW w:type="dxa" w:w="1714"/>
            <w:vAlign w:val="center"/>
          </w:tcPr>
          <w:p>
            <w:r>
              <w:rPr>
                <w:rFonts w:ascii="Aptos" w:hAnsi="Aptos"/>
                <w:sz w:val="14"/>
              </w:rPr>
              <w:t>Ridge Regression</w:t>
            </w:r>
          </w:p>
        </w:tc>
        <w:tc>
          <w:tcPr>
            <w:tcW w:type="dxa" w:w="1714"/>
            <w:vAlign w:val="center"/>
          </w:tcPr>
          <w:p>
            <w:r>
              <w:rPr>
                <w:rFonts w:ascii="Aptos" w:hAnsi="Aptos"/>
                <w:sz w:val="14"/>
              </w:rPr>
              <w:t>0.032</w:t>
            </w:r>
          </w:p>
        </w:tc>
        <w:tc>
          <w:tcPr>
            <w:tcW w:type="dxa" w:w="1714"/>
            <w:vAlign w:val="center"/>
          </w:tcPr>
          <w:p>
            <w:r>
              <w:rPr>
                <w:rFonts w:ascii="Aptos" w:hAnsi="Aptos"/>
                <w:sz w:val="14"/>
              </w:rPr>
              <w:t>0.041</w:t>
            </w:r>
          </w:p>
        </w:tc>
        <w:tc>
          <w:tcPr>
            <w:tcW w:type="dxa" w:w="1714"/>
            <w:vAlign w:val="center"/>
          </w:tcPr>
          <w:p>
            <w:r>
              <w:rPr>
                <w:rFonts w:ascii="Aptos" w:hAnsi="Aptos"/>
                <w:sz w:val="14"/>
              </w:rPr>
              <w:t>0.520</w:t>
            </w:r>
          </w:p>
        </w:tc>
        <w:tc>
          <w:tcPr>
            <w:tcW w:type="dxa" w:w="1714"/>
            <w:vAlign w:val="center"/>
          </w:tcPr>
          <w:p>
            <w:r>
              <w:rPr>
                <w:rFonts w:ascii="Aptos" w:hAnsi="Aptos"/>
                <w:sz w:val="14"/>
              </w:rPr>
              <w:t>Cost-overrun percentage points</w:t>
            </w:r>
          </w:p>
        </w:tc>
      </w:tr>
      <w:tr>
        <w:trPr>
          <w:cantSplit/>
        </w:trPr>
        <w:tc>
          <w:tcPr>
            <w:tcW w:type="dxa" w:w="1714"/>
            <w:vAlign w:val="center"/>
          </w:tcPr>
          <w:p>
            <w:r>
              <w:rPr>
                <w:rFonts w:ascii="Aptos" w:hAnsi="Aptos"/>
                <w:sz w:val="14"/>
              </w:rPr>
              <w:t>Final_Cost_Overrun_Pct</w:t>
            </w:r>
          </w:p>
        </w:tc>
        <w:tc>
          <w:tcPr>
            <w:tcW w:type="dxa" w:w="1714"/>
            <w:vAlign w:val="center"/>
          </w:tcPr>
          <w:p>
            <w:r>
              <w:rPr>
                <w:rFonts w:ascii="Aptos" w:hAnsi="Aptos"/>
                <w:sz w:val="14"/>
              </w:rPr>
              <w:t>Random Forest Regressor</w:t>
            </w:r>
          </w:p>
        </w:tc>
        <w:tc>
          <w:tcPr>
            <w:tcW w:type="dxa" w:w="1714"/>
            <w:vAlign w:val="center"/>
          </w:tcPr>
          <w:p>
            <w:r>
              <w:rPr>
                <w:rFonts w:ascii="Aptos" w:hAnsi="Aptos"/>
                <w:sz w:val="14"/>
              </w:rPr>
              <w:t>0.032</w:t>
            </w:r>
          </w:p>
        </w:tc>
        <w:tc>
          <w:tcPr>
            <w:tcW w:type="dxa" w:w="1714"/>
            <w:vAlign w:val="center"/>
          </w:tcPr>
          <w:p>
            <w:r>
              <w:rPr>
                <w:rFonts w:ascii="Aptos" w:hAnsi="Aptos"/>
                <w:sz w:val="14"/>
              </w:rPr>
              <w:t>0.041</w:t>
            </w:r>
          </w:p>
        </w:tc>
        <w:tc>
          <w:tcPr>
            <w:tcW w:type="dxa" w:w="1714"/>
            <w:vAlign w:val="center"/>
          </w:tcPr>
          <w:p>
            <w:r>
              <w:rPr>
                <w:rFonts w:ascii="Aptos" w:hAnsi="Aptos"/>
                <w:sz w:val="14"/>
              </w:rPr>
              <w:t>0.515</w:t>
            </w:r>
          </w:p>
        </w:tc>
        <w:tc>
          <w:tcPr>
            <w:tcW w:type="dxa" w:w="1714"/>
            <w:vAlign w:val="center"/>
          </w:tcPr>
          <w:p>
            <w:r>
              <w:rPr>
                <w:rFonts w:ascii="Aptos" w:hAnsi="Aptos"/>
                <w:sz w:val="14"/>
              </w:rPr>
              <w:t>Cost-overrun percentage points</w:t>
            </w:r>
          </w:p>
        </w:tc>
      </w:tr>
      <w:tr>
        <w:trPr>
          <w:cantSplit/>
        </w:trPr>
        <w:tc>
          <w:tcPr>
            <w:tcW w:type="dxa" w:w="1714"/>
            <w:vAlign w:val="center"/>
          </w:tcPr>
          <w:p>
            <w:r>
              <w:rPr>
                <w:rFonts w:ascii="Aptos" w:hAnsi="Aptos"/>
                <w:sz w:val="14"/>
              </w:rPr>
              <w:t>Final_Schedule_Delay_Days</w:t>
            </w:r>
          </w:p>
        </w:tc>
        <w:tc>
          <w:tcPr>
            <w:tcW w:type="dxa" w:w="1714"/>
            <w:vAlign w:val="center"/>
          </w:tcPr>
          <w:p>
            <w:r>
              <w:rPr>
                <w:rFonts w:ascii="Aptos" w:hAnsi="Aptos"/>
                <w:sz w:val="14"/>
              </w:rPr>
              <w:t>Ridge Regression</w:t>
            </w:r>
          </w:p>
        </w:tc>
        <w:tc>
          <w:tcPr>
            <w:tcW w:type="dxa" w:w="1714"/>
            <w:vAlign w:val="center"/>
          </w:tcPr>
          <w:p>
            <w:r>
              <w:rPr>
                <w:rFonts w:ascii="Aptos" w:hAnsi="Aptos"/>
                <w:sz w:val="14"/>
              </w:rPr>
              <w:t>15.528</w:t>
            </w:r>
          </w:p>
        </w:tc>
        <w:tc>
          <w:tcPr>
            <w:tcW w:type="dxa" w:w="1714"/>
            <w:vAlign w:val="center"/>
          </w:tcPr>
          <w:p>
            <w:r>
              <w:rPr>
                <w:rFonts w:ascii="Aptos" w:hAnsi="Aptos"/>
                <w:sz w:val="14"/>
              </w:rPr>
              <w:t>19.499</w:t>
            </w:r>
          </w:p>
        </w:tc>
        <w:tc>
          <w:tcPr>
            <w:tcW w:type="dxa" w:w="1714"/>
            <w:vAlign w:val="center"/>
          </w:tcPr>
          <w:p>
            <w:r>
              <w:rPr>
                <w:rFonts w:ascii="Aptos" w:hAnsi="Aptos"/>
                <w:sz w:val="14"/>
              </w:rPr>
              <w:t>0.294</w:t>
            </w:r>
          </w:p>
        </w:tc>
        <w:tc>
          <w:tcPr>
            <w:tcW w:type="dxa" w:w="1714"/>
            <w:vAlign w:val="center"/>
          </w:tcPr>
          <w:p>
            <w:r>
              <w:rPr>
                <w:rFonts w:ascii="Aptos" w:hAnsi="Aptos"/>
                <w:sz w:val="14"/>
              </w:rPr>
              <w:t>Schedule-delay days</w:t>
            </w:r>
          </w:p>
        </w:tc>
      </w:tr>
      <w:tr>
        <w:trPr>
          <w:cantSplit/>
        </w:trPr>
        <w:tc>
          <w:tcPr>
            <w:tcW w:type="dxa" w:w="1714"/>
            <w:vAlign w:val="center"/>
          </w:tcPr>
          <w:p>
            <w:r>
              <w:rPr>
                <w:rFonts w:ascii="Aptos" w:hAnsi="Aptos"/>
                <w:sz w:val="14"/>
              </w:rPr>
              <w:t>Final_Schedule_Delay_Days</w:t>
            </w:r>
          </w:p>
        </w:tc>
        <w:tc>
          <w:tcPr>
            <w:tcW w:type="dxa" w:w="1714"/>
            <w:vAlign w:val="center"/>
          </w:tcPr>
          <w:p>
            <w:r>
              <w:rPr>
                <w:rFonts w:ascii="Aptos" w:hAnsi="Aptos"/>
                <w:sz w:val="14"/>
              </w:rPr>
              <w:t>Random Forest Regressor</w:t>
            </w:r>
          </w:p>
        </w:tc>
        <w:tc>
          <w:tcPr>
            <w:tcW w:type="dxa" w:w="1714"/>
            <w:vAlign w:val="center"/>
          </w:tcPr>
          <w:p>
            <w:r>
              <w:rPr>
                <w:rFonts w:ascii="Aptos" w:hAnsi="Aptos"/>
                <w:sz w:val="14"/>
              </w:rPr>
              <w:t>15.403</w:t>
            </w:r>
          </w:p>
        </w:tc>
        <w:tc>
          <w:tcPr>
            <w:tcW w:type="dxa" w:w="1714"/>
            <w:vAlign w:val="center"/>
          </w:tcPr>
          <w:p>
            <w:r>
              <w:rPr>
                <w:rFonts w:ascii="Aptos" w:hAnsi="Aptos"/>
                <w:sz w:val="14"/>
              </w:rPr>
              <w:t>18.953</w:t>
            </w:r>
          </w:p>
        </w:tc>
        <w:tc>
          <w:tcPr>
            <w:tcW w:type="dxa" w:w="1714"/>
            <w:vAlign w:val="center"/>
          </w:tcPr>
          <w:p>
            <w:r>
              <w:rPr>
                <w:rFonts w:ascii="Aptos" w:hAnsi="Aptos"/>
                <w:sz w:val="14"/>
              </w:rPr>
              <w:t>0.333</w:t>
            </w:r>
          </w:p>
        </w:tc>
        <w:tc>
          <w:tcPr>
            <w:tcW w:type="dxa" w:w="1714"/>
            <w:vAlign w:val="center"/>
          </w:tcPr>
          <w:p>
            <w:r>
              <w:rPr>
                <w:rFonts w:ascii="Aptos" w:hAnsi="Aptos"/>
                <w:sz w:val="14"/>
              </w:rPr>
              <w:t>Schedule-delay days</w:t>
            </w:r>
          </w:p>
        </w:tc>
      </w:tr>
    </w:tbl>
    <w:p>
      <w:pPr>
        <w:pStyle w:val="Heading2"/>
      </w:pPr>
      <w:r>
        <w:t>Temporal degradation</w:t>
      </w:r>
    </w:p>
    <w:p>
      <w:r>
        <w:t>The schedule classifier achieved validation ROC-AUC 0.856 but test ROC-AUC 0.756. The reduction suggests temporal variation in the synthetic portfolio. The result is retained as an example of why model performance must be monitored after deployment.</w:t>
      </w:r>
    </w:p>
    <w:p>
      <w:r>
        <w:t>The monitoring demonstration produced a schedule probability PSI of 0.105, above the proposed Yellow threshold of 0.10.</w:t>
      </w:r>
    </w:p>
    <w:p>
      <w:pPr>
        <w:pStyle w:val="Heading1"/>
      </w:pPr>
      <w:r>
        <w:t>8. Feature Drivers and Project Risk Scoring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55F86"/>
            <w:vAlign w:val="center"/>
          </w:tcPr>
          <w:p>
            <w:r>
              <w:rPr>
                <w:b/>
                <w:color w:val="FFFFFF"/>
                <w:sz w:val="15"/>
              </w:rPr>
              <w:t>Rank</w:t>
            </w:r>
          </w:p>
        </w:tc>
        <w:tc>
          <w:tcPr>
            <w:tcW w:type="dxa" w:w="2570"/>
            <w:shd w:fill="155F86"/>
            <w:vAlign w:val="center"/>
          </w:tcPr>
          <w:p>
            <w:r>
              <w:rPr>
                <w:b/>
                <w:color w:val="FFFFFF"/>
                <w:sz w:val="15"/>
              </w:rPr>
              <w:t>Cost feature</w:t>
            </w:r>
          </w:p>
        </w:tc>
        <w:tc>
          <w:tcPr>
            <w:tcW w:type="dxa" w:w="2570"/>
            <w:shd w:fill="155F86"/>
            <w:vAlign w:val="center"/>
          </w:tcPr>
          <w:p>
            <w:r>
              <w:rPr>
                <w:b/>
                <w:color w:val="FFFFFF"/>
                <w:sz w:val="15"/>
              </w:rPr>
              <w:t>Importance</w:t>
            </w:r>
          </w:p>
        </w:tc>
        <w:tc>
          <w:tcPr>
            <w:tcW w:type="dxa" w:w="2570"/>
            <w:shd w:fill="155F86"/>
            <w:vAlign w:val="center"/>
          </w:tcPr>
          <w:p>
            <w:r>
              <w:rPr>
                <w:b/>
                <w:color w:val="FFFFFF"/>
                <w:sz w:val="15"/>
              </w:rPr>
              <w:t>Schedule feature</w:t>
            </w:r>
          </w:p>
        </w:tc>
      </w:tr>
      <w:tr>
        <w:trPr>
          <w:cantSplit/>
        </w:trPr>
        <w:tc>
          <w:tcPr>
            <w:tcW w:type="dxa" w:w="2570"/>
            <w:vAlign w:val="center"/>
          </w:tcPr>
          <w:p>
            <w:r>
              <w:rPr>
                <w:rFonts w:ascii="Aptos" w:hAnsi="Aptos"/>
                <w:sz w:val="15"/>
              </w:rPr>
              <w:t>1</w:t>
            </w:r>
          </w:p>
        </w:tc>
        <w:tc>
          <w:tcPr>
            <w:tcW w:type="dxa" w:w="2570"/>
            <w:vAlign w:val="center"/>
          </w:tcPr>
          <w:p>
            <w:r>
              <w:rPr>
                <w:rFonts w:ascii="Aptos" w:hAnsi="Aptos"/>
                <w:sz w:val="15"/>
              </w:rPr>
              <w:t>CPI_Snapshot</w:t>
            </w:r>
          </w:p>
        </w:tc>
        <w:tc>
          <w:tcPr>
            <w:tcW w:type="dxa" w:w="2570"/>
            <w:vAlign w:val="center"/>
          </w:tcPr>
          <w:p>
            <w:r>
              <w:rPr>
                <w:rFonts w:ascii="Aptos" w:hAnsi="Aptos"/>
                <w:sz w:val="15"/>
              </w:rPr>
              <w:t>0.0502</w:t>
            </w:r>
          </w:p>
        </w:tc>
        <w:tc>
          <w:tcPr>
            <w:tcW w:type="dxa" w:w="2570"/>
            <w:vAlign w:val="center"/>
          </w:tcPr>
          <w:p>
            <w:r>
              <w:rPr>
                <w:rFonts w:ascii="Aptos" w:hAnsi="Aptos"/>
                <w:sz w:val="15"/>
              </w:rPr>
              <w:t>SPI_Snapshot</w:t>
            </w:r>
          </w:p>
        </w:tc>
      </w:tr>
      <w:tr>
        <w:trPr>
          <w:cantSplit/>
        </w:trPr>
        <w:tc>
          <w:tcPr>
            <w:tcW w:type="dxa" w:w="2570"/>
            <w:vAlign w:val="center"/>
          </w:tcPr>
          <w:p>
            <w:r>
              <w:rPr>
                <w:rFonts w:ascii="Aptos" w:hAnsi="Aptos"/>
                <w:sz w:val="15"/>
              </w:rPr>
              <w:t>2</w:t>
            </w:r>
          </w:p>
        </w:tc>
        <w:tc>
          <w:tcPr>
            <w:tcW w:type="dxa" w:w="2570"/>
            <w:vAlign w:val="center"/>
          </w:tcPr>
          <w:p>
            <w:r>
              <w:rPr>
                <w:rFonts w:ascii="Aptos" w:hAnsi="Aptos"/>
                <w:sz w:val="15"/>
              </w:rPr>
              <w:t>Cost_Variance_Pct_Snapshot</w:t>
            </w:r>
          </w:p>
        </w:tc>
        <w:tc>
          <w:tcPr>
            <w:tcW w:type="dxa" w:w="2570"/>
            <w:vAlign w:val="center"/>
          </w:tcPr>
          <w:p>
            <w:r>
              <w:rPr>
                <w:rFonts w:ascii="Aptos" w:hAnsi="Aptos"/>
                <w:sz w:val="15"/>
              </w:rPr>
              <w:t>0.0289</w:t>
            </w:r>
          </w:p>
        </w:tc>
        <w:tc>
          <w:tcPr>
            <w:tcW w:type="dxa" w:w="2570"/>
            <w:vAlign w:val="center"/>
          </w:tcPr>
          <w:p>
            <w:r>
              <w:rPr>
                <w:rFonts w:ascii="Aptos" w:hAnsi="Aptos"/>
                <w:sz w:val="15"/>
              </w:rPr>
              <w:t>Planned_Percent_Complete</w:t>
            </w:r>
          </w:p>
        </w:tc>
      </w:tr>
      <w:tr>
        <w:trPr>
          <w:cantSplit/>
        </w:trPr>
        <w:tc>
          <w:tcPr>
            <w:tcW w:type="dxa" w:w="2570"/>
            <w:vAlign w:val="center"/>
          </w:tcPr>
          <w:p>
            <w:r>
              <w:rPr>
                <w:rFonts w:ascii="Aptos" w:hAnsi="Aptos"/>
                <w:sz w:val="15"/>
              </w:rPr>
              <w:t>3</w:t>
            </w:r>
          </w:p>
        </w:tc>
        <w:tc>
          <w:tcPr>
            <w:tcW w:type="dxa" w:w="2570"/>
            <w:vAlign w:val="center"/>
          </w:tcPr>
          <w:p>
            <w:r>
              <w:rPr>
                <w:rFonts w:ascii="Aptos" w:hAnsi="Aptos"/>
                <w:sz w:val="15"/>
              </w:rPr>
              <w:t>Approved_Change_Value_Pct_Budget</w:t>
            </w:r>
          </w:p>
        </w:tc>
        <w:tc>
          <w:tcPr>
            <w:tcW w:type="dxa" w:w="2570"/>
            <w:vAlign w:val="center"/>
          </w:tcPr>
          <w:p>
            <w:r>
              <w:rPr>
                <w:rFonts w:ascii="Aptos" w:hAnsi="Aptos"/>
                <w:sz w:val="15"/>
              </w:rPr>
              <w:t>0.0080</w:t>
            </w:r>
          </w:p>
        </w:tc>
        <w:tc>
          <w:tcPr>
            <w:tcW w:type="dxa" w:w="2570"/>
            <w:vAlign w:val="center"/>
          </w:tcPr>
          <w:p>
            <w:r>
              <w:rPr>
                <w:rFonts w:ascii="Aptos" w:hAnsi="Aptos"/>
                <w:sz w:val="15"/>
              </w:rPr>
              <w:t>Procurement_Delay_Days_to_Date</w:t>
            </w:r>
          </w:p>
        </w:tc>
      </w:tr>
      <w:tr>
        <w:trPr>
          <w:cantSplit/>
        </w:trPr>
        <w:tc>
          <w:tcPr>
            <w:tcW w:type="dxa" w:w="2570"/>
            <w:vAlign w:val="center"/>
          </w:tcPr>
          <w:p>
            <w:r>
              <w:rPr>
                <w:rFonts w:ascii="Aptos" w:hAnsi="Aptos"/>
                <w:sz w:val="15"/>
              </w:rPr>
              <w:t>4</w:t>
            </w:r>
          </w:p>
        </w:tc>
        <w:tc>
          <w:tcPr>
            <w:tcW w:type="dxa" w:w="2570"/>
            <w:vAlign w:val="center"/>
          </w:tcPr>
          <w:p>
            <w:r>
              <w:rPr>
                <w:rFonts w:ascii="Aptos" w:hAnsi="Aptos"/>
                <w:sz w:val="15"/>
              </w:rPr>
              <w:t>Pending_Change_Exposure_Pct_Budget</w:t>
            </w:r>
          </w:p>
        </w:tc>
        <w:tc>
          <w:tcPr>
            <w:tcW w:type="dxa" w:w="2570"/>
            <w:vAlign w:val="center"/>
          </w:tcPr>
          <w:p>
            <w:r>
              <w:rPr>
                <w:rFonts w:ascii="Aptos" w:hAnsi="Aptos"/>
                <w:sz w:val="15"/>
              </w:rPr>
              <w:t>0.0030</w:t>
            </w:r>
          </w:p>
        </w:tc>
        <w:tc>
          <w:tcPr>
            <w:tcW w:type="dxa" w:w="2570"/>
            <w:vAlign w:val="center"/>
          </w:tcPr>
          <w:p>
            <w:r>
              <w:rPr>
                <w:rFonts w:ascii="Aptos" w:hAnsi="Aptos"/>
                <w:sz w:val="15"/>
              </w:rPr>
              <w:t>Overdue_RFI_Rate</w:t>
            </w:r>
          </w:p>
        </w:tc>
      </w:tr>
      <w:tr>
        <w:trPr>
          <w:cantSplit/>
        </w:trPr>
        <w:tc>
          <w:tcPr>
            <w:tcW w:type="dxa" w:w="2570"/>
            <w:vAlign w:val="center"/>
          </w:tcPr>
          <w:p>
            <w:r>
              <w:rPr>
                <w:rFonts w:ascii="Aptos" w:hAnsi="Aptos"/>
                <w:sz w:val="15"/>
              </w:rPr>
              <w:t>5</w:t>
            </w:r>
          </w:p>
        </w:tc>
        <w:tc>
          <w:tcPr>
            <w:tcW w:type="dxa" w:w="2570"/>
            <w:vAlign w:val="center"/>
          </w:tcPr>
          <w:p>
            <w:r>
              <w:rPr>
                <w:rFonts w:ascii="Aptos" w:hAnsi="Aptos"/>
                <w:sz w:val="15"/>
              </w:rPr>
              <w:t>Labor_Productivity_Index</w:t>
            </w:r>
          </w:p>
        </w:tc>
        <w:tc>
          <w:tcPr>
            <w:tcW w:type="dxa" w:w="2570"/>
            <w:vAlign w:val="center"/>
          </w:tcPr>
          <w:p>
            <w:r>
              <w:rPr>
                <w:rFonts w:ascii="Aptos" w:hAnsi="Aptos"/>
                <w:sz w:val="15"/>
              </w:rPr>
              <w:t>0.0026</w:t>
            </w:r>
          </w:p>
        </w:tc>
        <w:tc>
          <w:tcPr>
            <w:tcW w:type="dxa" w:w="2570"/>
            <w:vAlign w:val="center"/>
          </w:tcPr>
          <w:p>
            <w:r>
              <w:rPr>
                <w:rFonts w:ascii="Aptos" w:hAnsi="Aptos"/>
                <w:sz w:val="15"/>
              </w:rPr>
              <w:t>Old_Pending_Change_Rate</w:t>
            </w:r>
          </w:p>
        </w:tc>
      </w:tr>
      <w:tr>
        <w:trPr>
          <w:cantSplit/>
        </w:trPr>
        <w:tc>
          <w:tcPr>
            <w:tcW w:type="dxa" w:w="2570"/>
            <w:vAlign w:val="center"/>
          </w:tcPr>
          <w:p>
            <w:r>
              <w:rPr>
                <w:rFonts w:ascii="Aptos" w:hAnsi="Aptos"/>
                <w:sz w:val="15"/>
              </w:rPr>
              <w:t>6</w:t>
            </w:r>
          </w:p>
        </w:tc>
        <w:tc>
          <w:tcPr>
            <w:tcW w:type="dxa" w:w="2570"/>
            <w:vAlign w:val="center"/>
          </w:tcPr>
          <w:p>
            <w:r>
              <w:rPr>
                <w:rFonts w:ascii="Aptos" w:hAnsi="Aptos"/>
                <w:sz w:val="15"/>
              </w:rPr>
              <w:t>Contingency_Utilization_Pct</w:t>
            </w:r>
          </w:p>
        </w:tc>
        <w:tc>
          <w:tcPr>
            <w:tcW w:type="dxa" w:w="2570"/>
            <w:vAlign w:val="center"/>
          </w:tcPr>
          <w:p>
            <w:r>
              <w:rPr>
                <w:rFonts w:ascii="Aptos" w:hAnsi="Aptos"/>
                <w:sz w:val="15"/>
              </w:rPr>
              <w:t>0.0022</w:t>
            </w:r>
          </w:p>
        </w:tc>
        <w:tc>
          <w:tcPr>
            <w:tcW w:type="dxa" w:w="2570"/>
            <w:vAlign w:val="center"/>
          </w:tcPr>
          <w:p>
            <w:r>
              <w:rPr>
                <w:rFonts w:ascii="Aptos" w:hAnsi="Aptos"/>
                <w:sz w:val="15"/>
              </w:rPr>
              <w:t>Actual_Percent_Complete</w:t>
            </w:r>
          </w:p>
        </w:tc>
      </w:tr>
      <w:tr>
        <w:trPr>
          <w:cantSplit/>
        </w:trPr>
        <w:tc>
          <w:tcPr>
            <w:tcW w:type="dxa" w:w="2570"/>
            <w:vAlign w:val="center"/>
          </w:tcPr>
          <w:p>
            <w:r>
              <w:rPr>
                <w:rFonts w:ascii="Aptos" w:hAnsi="Aptos"/>
                <w:sz w:val="15"/>
              </w:rPr>
              <w:t>7</w:t>
            </w:r>
          </w:p>
        </w:tc>
        <w:tc>
          <w:tcPr>
            <w:tcW w:type="dxa" w:w="2570"/>
            <w:vAlign w:val="center"/>
          </w:tcPr>
          <w:p>
            <w:r>
              <w:rPr>
                <w:rFonts w:ascii="Aptos" w:hAnsi="Aptos"/>
                <w:sz w:val="15"/>
              </w:rPr>
              <w:t>Procurement_Delay_Days_to_Date</w:t>
            </w:r>
          </w:p>
        </w:tc>
        <w:tc>
          <w:tcPr>
            <w:tcW w:type="dxa" w:w="2570"/>
            <w:vAlign w:val="center"/>
          </w:tcPr>
          <w:p>
            <w:r>
              <w:rPr>
                <w:rFonts w:ascii="Aptos" w:hAnsi="Aptos"/>
                <w:sz w:val="15"/>
              </w:rPr>
              <w:t>0.0020</w:t>
            </w:r>
          </w:p>
        </w:tc>
        <w:tc>
          <w:tcPr>
            <w:tcW w:type="dxa" w:w="2570"/>
            <w:vAlign w:val="center"/>
          </w:tcPr>
          <w:p>
            <w:r>
              <w:rPr>
                <w:rFonts w:ascii="Aptos" w:hAnsi="Aptos"/>
                <w:sz w:val="15"/>
              </w:rPr>
              <w:t>RFI_On_Time_Rate</w:t>
            </w:r>
          </w:p>
        </w:tc>
      </w:tr>
      <w:tr>
        <w:trPr>
          <w:cantSplit/>
        </w:trPr>
        <w:tc>
          <w:tcPr>
            <w:tcW w:type="dxa" w:w="2570"/>
            <w:vAlign w:val="center"/>
          </w:tcPr>
          <w:p>
            <w:r>
              <w:rPr>
                <w:rFonts w:ascii="Aptos" w:hAnsi="Aptos"/>
                <w:sz w:val="15"/>
              </w:rPr>
              <w:t>8</w:t>
            </w:r>
          </w:p>
        </w:tc>
        <w:tc>
          <w:tcPr>
            <w:tcW w:type="dxa" w:w="2570"/>
            <w:vAlign w:val="center"/>
          </w:tcPr>
          <w:p>
            <w:r>
              <w:rPr>
                <w:rFonts w:ascii="Aptos" w:hAnsi="Aptos"/>
                <w:sz w:val="15"/>
              </w:rPr>
              <w:t>SPI_Snapshot</w:t>
            </w:r>
          </w:p>
        </w:tc>
        <w:tc>
          <w:tcPr>
            <w:tcW w:type="dxa" w:w="2570"/>
            <w:vAlign w:val="center"/>
          </w:tcPr>
          <w:p>
            <w:r>
              <w:rPr>
                <w:rFonts w:ascii="Aptos" w:hAnsi="Aptos"/>
                <w:sz w:val="15"/>
              </w:rPr>
              <w:t>0.0013</w:t>
            </w:r>
          </w:p>
        </w:tc>
        <w:tc>
          <w:tcPr>
            <w:tcW w:type="dxa" w:w="2570"/>
            <w:vAlign w:val="center"/>
          </w:tcPr>
          <w:p>
            <w:r>
              <w:rPr>
                <w:rFonts w:ascii="Aptos" w:hAnsi="Aptos"/>
                <w:sz w:val="15"/>
              </w:rPr>
              <w:t>Revision_Loop_Rate</w:t>
            </w:r>
          </w:p>
        </w:tc>
      </w:tr>
      <w:tr>
        <w:trPr>
          <w:cantSplit/>
        </w:trPr>
        <w:tc>
          <w:tcPr>
            <w:tcW w:type="dxa" w:w="2570"/>
            <w:vAlign w:val="center"/>
          </w:tcPr>
          <w:p>
            <w:r>
              <w:rPr>
                <w:rFonts w:ascii="Aptos" w:hAnsi="Aptos"/>
                <w:sz w:val="15"/>
              </w:rPr>
              <w:t>9</w:t>
            </w:r>
          </w:p>
        </w:tc>
        <w:tc>
          <w:tcPr>
            <w:tcW w:type="dxa" w:w="2570"/>
            <w:vAlign w:val="center"/>
          </w:tcPr>
          <w:p>
            <w:r>
              <w:rPr>
                <w:rFonts w:ascii="Aptos" w:hAnsi="Aptos"/>
                <w:sz w:val="15"/>
              </w:rPr>
              <w:t>Snapshot_Data_Completeness_Pct</w:t>
            </w:r>
          </w:p>
        </w:tc>
        <w:tc>
          <w:tcPr>
            <w:tcW w:type="dxa" w:w="2570"/>
            <w:vAlign w:val="center"/>
          </w:tcPr>
          <w:p>
            <w:r>
              <w:rPr>
                <w:rFonts w:ascii="Aptos" w:hAnsi="Aptos"/>
                <w:sz w:val="15"/>
              </w:rPr>
              <w:t>0.0012</w:t>
            </w:r>
          </w:p>
        </w:tc>
        <w:tc>
          <w:tcPr>
            <w:tcW w:type="dxa" w:w="2570"/>
            <w:vAlign w:val="center"/>
          </w:tcPr>
          <w:p>
            <w:r>
              <w:rPr>
                <w:rFonts w:ascii="Aptos" w:hAnsi="Aptos"/>
                <w:sz w:val="15"/>
              </w:rPr>
              <w:t>Complexity_Level</w:t>
            </w:r>
          </w:p>
        </w:tc>
      </w:tr>
      <w:tr>
        <w:trPr>
          <w:cantSplit/>
        </w:trPr>
        <w:tc>
          <w:tcPr>
            <w:tcW w:type="dxa" w:w="2570"/>
            <w:vAlign w:val="center"/>
          </w:tcPr>
          <w:p>
            <w:r>
              <w:rPr>
                <w:rFonts w:ascii="Aptos" w:hAnsi="Aptos"/>
                <w:sz w:val="15"/>
              </w:rPr>
              <w:t>10</w:t>
            </w:r>
          </w:p>
        </w:tc>
        <w:tc>
          <w:tcPr>
            <w:tcW w:type="dxa" w:w="2570"/>
            <w:vAlign w:val="center"/>
          </w:tcPr>
          <w:p>
            <w:r>
              <w:rPr>
                <w:rFonts w:ascii="Aptos" w:hAnsi="Aptos"/>
                <w:sz w:val="15"/>
              </w:rPr>
              <w:t>Complexity_Level</w:t>
            </w:r>
          </w:p>
        </w:tc>
        <w:tc>
          <w:tcPr>
            <w:tcW w:type="dxa" w:w="2570"/>
            <w:vAlign w:val="center"/>
          </w:tcPr>
          <w:p>
            <w:r>
              <w:rPr>
                <w:rFonts w:ascii="Aptos" w:hAnsi="Aptos"/>
                <w:sz w:val="15"/>
              </w:rPr>
              <w:t>0.0010</w:t>
            </w:r>
          </w:p>
        </w:tc>
        <w:tc>
          <w:tcPr>
            <w:tcW w:type="dxa" w:w="2570"/>
            <w:vAlign w:val="center"/>
          </w:tcPr>
          <w:p>
            <w:r>
              <w:rPr>
                <w:rFonts w:ascii="Aptos" w:hAnsi="Aptos"/>
                <w:sz w:val="15"/>
              </w:rPr>
              <w:t>Project_Type</w:t>
            </w:r>
          </w:p>
        </w:tc>
      </w:tr>
    </w:tbl>
    <w:p>
      <w:r>
        <w:t>Feature importance measures predictive contribution under permutation. It does not establish that changing a feature will cause a better outcome.</w:t>
      </w:r>
    </w:p>
    <w:p>
      <w:pPr>
        <w:jc w:val="center"/>
      </w:pPr>
      <w:r>
        <w:drawing>
          <wp:inline xmlns:a="http://schemas.openxmlformats.org/drawingml/2006/main" xmlns:pic="http://schemas.openxmlformats.org/drawingml/2006/picture">
            <wp:extent cx="6217920" cy="2891616"/>
            <wp:docPr id="3" name="Picture 3"/>
            <wp:cNvGraphicFramePr>
              <a:graphicFrameLocks noChangeAspect="1"/>
            </wp:cNvGraphicFramePr>
            <a:graphic>
              <a:graphicData uri="http://schemas.openxmlformats.org/drawingml/2006/picture">
                <pic:pic>
                  <pic:nvPicPr>
                    <pic:cNvPr id="0" name="feature_driver_dashboard.png"/>
                    <pic:cNvPicPr/>
                  </pic:nvPicPr>
                  <pic:blipFill>
                    <a:blip r:embed="rId13"/>
                    <a:stretch>
                      <a:fillRect/>
                    </a:stretch>
                  </pic:blipFill>
                  <pic:spPr>
                    <a:xfrm>
                      <a:off x="0" y="0"/>
                      <a:ext cx="6217920" cy="2891616"/>
                    </a:xfrm>
                    <a:prstGeom prst="rect"/>
                  </pic:spPr>
                </pic:pic>
              </a:graphicData>
            </a:graphic>
          </wp:inline>
        </w:drawing>
      </w:r>
    </w:p>
    <w:p>
      <w:pPr>
        <w:pStyle w:val="Heading2"/>
      </w:pPr>
      <w:r>
        <w:t>Top predicted-risk projects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55F86"/>
            <w:vAlign w:val="center"/>
          </w:tcPr>
          <w:p>
            <w:r>
              <w:rPr>
                <w:b/>
                <w:color w:val="FFFFFF"/>
                <w:sz w:val="14"/>
              </w:rPr>
              <w:t>Project</w:t>
            </w:r>
          </w:p>
        </w:tc>
        <w:tc>
          <w:tcPr>
            <w:tcW w:type="dxa" w:w="1714"/>
            <w:shd w:fill="155F86"/>
            <w:vAlign w:val="center"/>
          </w:tcPr>
          <w:p>
            <w:r>
              <w:rPr>
                <w:b/>
                <w:color w:val="FFFFFF"/>
                <w:sz w:val="14"/>
              </w:rPr>
              <w:t>Band</w:t>
            </w:r>
          </w:p>
        </w:tc>
        <w:tc>
          <w:tcPr>
            <w:tcW w:type="dxa" w:w="1714"/>
            <w:shd w:fill="155F86"/>
            <w:vAlign w:val="center"/>
          </w:tcPr>
          <w:p>
            <w:r>
              <w:rPr>
                <w:b/>
                <w:color w:val="FFFFFF"/>
                <w:sz w:val="14"/>
              </w:rPr>
              <w:t>Overall</w:t>
            </w:r>
          </w:p>
        </w:tc>
        <w:tc>
          <w:tcPr>
            <w:tcW w:type="dxa" w:w="1714"/>
            <w:shd w:fill="155F86"/>
            <w:vAlign w:val="center"/>
          </w:tcPr>
          <w:p>
            <w:r>
              <w:rPr>
                <w:b/>
                <w:color w:val="FFFFFF"/>
                <w:sz w:val="14"/>
              </w:rPr>
              <w:t>Cost</w:t>
            </w:r>
          </w:p>
        </w:tc>
        <w:tc>
          <w:tcPr>
            <w:tcW w:type="dxa" w:w="1714"/>
            <w:shd w:fill="155F86"/>
            <w:vAlign w:val="center"/>
          </w:tcPr>
          <w:p>
            <w:r>
              <w:rPr>
                <w:b/>
                <w:color w:val="FFFFFF"/>
                <w:sz w:val="14"/>
              </w:rPr>
              <w:t>Schedule</w:t>
            </w:r>
          </w:p>
        </w:tc>
        <w:tc>
          <w:tcPr>
            <w:tcW w:type="dxa" w:w="1714"/>
            <w:shd w:fill="155F86"/>
            <w:vAlign w:val="center"/>
          </w:tcPr>
          <w:p>
            <w:r>
              <w:rPr>
                <w:b/>
                <w:color w:val="FFFFFF"/>
                <w:sz w:val="14"/>
              </w:rPr>
              <w:t>Primary drivers</w:t>
            </w:r>
          </w:p>
        </w:tc>
      </w:tr>
      <w:tr>
        <w:trPr>
          <w:cantSplit/>
        </w:trPr>
        <w:tc>
          <w:tcPr>
            <w:tcW w:type="dxa" w:w="1714"/>
            <w:vAlign w:val="center"/>
          </w:tcPr>
          <w:p>
            <w:r>
              <w:rPr>
                <w:rFonts w:ascii="Aptos" w:hAnsi="Aptos"/>
                <w:sz w:val="14"/>
              </w:rPr>
              <w:t>Gateway Bridge Program 1418</w:t>
            </w:r>
          </w:p>
        </w:tc>
        <w:tc>
          <w:tcPr>
            <w:tcW w:type="dxa" w:w="1714"/>
            <w:vAlign w:val="center"/>
          </w:tcPr>
          <w:p>
            <w:r>
              <w:rPr>
                <w:rFonts w:ascii="Aptos" w:hAnsi="Aptos"/>
                <w:sz w:val="14"/>
              </w:rPr>
              <w:t>Red</w:t>
            </w:r>
          </w:p>
        </w:tc>
        <w:tc>
          <w:tcPr>
            <w:tcW w:type="dxa" w:w="1714"/>
            <w:vAlign w:val="center"/>
          </w:tcPr>
          <w:p>
            <w:r>
              <w:rPr>
                <w:rFonts w:ascii="Aptos" w:hAnsi="Aptos"/>
                <w:sz w:val="14"/>
              </w:rPr>
              <w:t>99.8%</w:t>
            </w:r>
          </w:p>
        </w:tc>
        <w:tc>
          <w:tcPr>
            <w:tcW w:type="dxa" w:w="1714"/>
            <w:vAlign w:val="center"/>
          </w:tcPr>
          <w:p>
            <w:r>
              <w:rPr>
                <w:rFonts w:ascii="Aptos" w:hAnsi="Aptos"/>
                <w:sz w:val="14"/>
              </w:rPr>
              <w:t>94.0%</w:t>
            </w:r>
          </w:p>
        </w:tc>
        <w:tc>
          <w:tcPr>
            <w:tcW w:type="dxa" w:w="1714"/>
            <w:vAlign w:val="center"/>
          </w:tcPr>
          <w:p>
            <w:r>
              <w:rPr>
                <w:rFonts w:ascii="Aptos" w:hAnsi="Aptos"/>
                <w:sz w:val="14"/>
              </w:rPr>
              <w:t>97.4%</w:t>
            </w:r>
          </w:p>
        </w:tc>
        <w:tc>
          <w:tcPr>
            <w:tcW w:type="dxa" w:w="1714"/>
            <w:vAlign w:val="center"/>
          </w:tcPr>
          <w:p>
            <w:r>
              <w:rPr>
                <w:rFonts w:ascii="Aptos" w:hAnsi="Aptos"/>
                <w:sz w:val="14"/>
              </w:rPr>
              <w:t>Slow change approval; Workflow risk score; Overdue RFI backlog</w:t>
            </w:r>
          </w:p>
        </w:tc>
      </w:tr>
      <w:tr>
        <w:trPr>
          <w:cantSplit/>
        </w:trPr>
        <w:tc>
          <w:tcPr>
            <w:tcW w:type="dxa" w:w="1714"/>
            <w:vAlign w:val="center"/>
          </w:tcPr>
          <w:p>
            <w:r>
              <w:rPr>
                <w:rFonts w:ascii="Aptos" w:hAnsi="Aptos"/>
                <w:sz w:val="14"/>
              </w:rPr>
              <w:t>Granite Urban Village 1705</w:t>
            </w:r>
          </w:p>
        </w:tc>
        <w:tc>
          <w:tcPr>
            <w:tcW w:type="dxa" w:w="1714"/>
            <w:vAlign w:val="center"/>
          </w:tcPr>
          <w:p>
            <w:r>
              <w:rPr>
                <w:rFonts w:ascii="Aptos" w:hAnsi="Aptos"/>
                <w:sz w:val="14"/>
              </w:rPr>
              <w:t>Red</w:t>
            </w:r>
          </w:p>
        </w:tc>
        <w:tc>
          <w:tcPr>
            <w:tcW w:type="dxa" w:w="1714"/>
            <w:vAlign w:val="center"/>
          </w:tcPr>
          <w:p>
            <w:r>
              <w:rPr>
                <w:rFonts w:ascii="Aptos" w:hAnsi="Aptos"/>
                <w:sz w:val="14"/>
              </w:rPr>
              <w:t>99.8%</w:t>
            </w:r>
          </w:p>
        </w:tc>
        <w:tc>
          <w:tcPr>
            <w:tcW w:type="dxa" w:w="1714"/>
            <w:vAlign w:val="center"/>
          </w:tcPr>
          <w:p>
            <w:r>
              <w:rPr>
                <w:rFonts w:ascii="Aptos" w:hAnsi="Aptos"/>
                <w:sz w:val="14"/>
              </w:rPr>
              <w:t>89.1%</w:t>
            </w:r>
          </w:p>
        </w:tc>
        <w:tc>
          <w:tcPr>
            <w:tcW w:type="dxa" w:w="1714"/>
            <w:vAlign w:val="center"/>
          </w:tcPr>
          <w:p>
            <w:r>
              <w:rPr>
                <w:rFonts w:ascii="Aptos" w:hAnsi="Aptos"/>
                <w:sz w:val="14"/>
              </w:rPr>
              <w:t>97.7%</w:t>
            </w:r>
          </w:p>
        </w:tc>
        <w:tc>
          <w:tcPr>
            <w:tcW w:type="dxa" w:w="1714"/>
            <w:vAlign w:val="center"/>
          </w:tcPr>
          <w:p>
            <w:r>
              <w:rPr>
                <w:rFonts w:ascii="Aptos" w:hAnsi="Aptos"/>
                <w:sz w:val="14"/>
              </w:rPr>
              <w:t>Overdue RFI backlog; Slow change approval; Workflow risk score</w:t>
            </w:r>
          </w:p>
        </w:tc>
      </w:tr>
      <w:tr>
        <w:trPr>
          <w:cantSplit/>
        </w:trPr>
        <w:tc>
          <w:tcPr>
            <w:tcW w:type="dxa" w:w="1714"/>
            <w:vAlign w:val="center"/>
          </w:tcPr>
          <w:p>
            <w:r>
              <w:rPr>
                <w:rFonts w:ascii="Aptos" w:hAnsi="Aptos"/>
                <w:sz w:val="14"/>
              </w:rPr>
              <w:t>Horizon Neighborhood 34</w:t>
            </w:r>
          </w:p>
        </w:tc>
        <w:tc>
          <w:tcPr>
            <w:tcW w:type="dxa" w:w="1714"/>
            <w:vAlign w:val="center"/>
          </w:tcPr>
          <w:p>
            <w:r>
              <w:rPr>
                <w:rFonts w:ascii="Aptos" w:hAnsi="Aptos"/>
                <w:sz w:val="14"/>
              </w:rPr>
              <w:t>Red</w:t>
            </w:r>
          </w:p>
        </w:tc>
        <w:tc>
          <w:tcPr>
            <w:tcW w:type="dxa" w:w="1714"/>
            <w:vAlign w:val="center"/>
          </w:tcPr>
          <w:p>
            <w:r>
              <w:rPr>
                <w:rFonts w:ascii="Aptos" w:hAnsi="Aptos"/>
                <w:sz w:val="14"/>
              </w:rPr>
              <w:t>99.4%</w:t>
            </w:r>
          </w:p>
        </w:tc>
        <w:tc>
          <w:tcPr>
            <w:tcW w:type="dxa" w:w="1714"/>
            <w:vAlign w:val="center"/>
          </w:tcPr>
          <w:p>
            <w:r>
              <w:rPr>
                <w:rFonts w:ascii="Aptos" w:hAnsi="Aptos"/>
                <w:sz w:val="14"/>
              </w:rPr>
              <w:t>80.3%</w:t>
            </w:r>
          </w:p>
        </w:tc>
        <w:tc>
          <w:tcPr>
            <w:tcW w:type="dxa" w:w="1714"/>
            <w:vAlign w:val="center"/>
          </w:tcPr>
          <w:p>
            <w:r>
              <w:rPr>
                <w:rFonts w:ascii="Aptos" w:hAnsi="Aptos"/>
                <w:sz w:val="14"/>
              </w:rPr>
              <w:t>96.8%</w:t>
            </w:r>
          </w:p>
        </w:tc>
        <w:tc>
          <w:tcPr>
            <w:tcW w:type="dxa" w:w="1714"/>
            <w:vAlign w:val="center"/>
          </w:tcPr>
          <w:p>
            <w:r>
              <w:rPr>
                <w:rFonts w:ascii="Aptos" w:hAnsi="Aptos"/>
                <w:sz w:val="14"/>
              </w:rPr>
              <w:t>Overdue RFI backlog; Workflow risk score; Slow RFI response</w:t>
            </w:r>
          </w:p>
        </w:tc>
      </w:tr>
      <w:tr>
        <w:trPr>
          <w:cantSplit/>
        </w:trPr>
        <w:tc>
          <w:tcPr>
            <w:tcW w:type="dxa" w:w="1714"/>
            <w:vAlign w:val="center"/>
          </w:tcPr>
          <w:p>
            <w:r>
              <w:rPr>
                <w:rFonts w:ascii="Aptos" w:hAnsi="Aptos"/>
                <w:sz w:val="14"/>
              </w:rPr>
              <w:t>Redwood Logistics Center 1716</w:t>
            </w:r>
          </w:p>
        </w:tc>
        <w:tc>
          <w:tcPr>
            <w:tcW w:type="dxa" w:w="1714"/>
            <w:vAlign w:val="center"/>
          </w:tcPr>
          <w:p>
            <w:r>
              <w:rPr>
                <w:rFonts w:ascii="Aptos" w:hAnsi="Aptos"/>
                <w:sz w:val="14"/>
              </w:rPr>
              <w:t>Red</w:t>
            </w:r>
          </w:p>
        </w:tc>
        <w:tc>
          <w:tcPr>
            <w:tcW w:type="dxa" w:w="1714"/>
            <w:vAlign w:val="center"/>
          </w:tcPr>
          <w:p>
            <w:r>
              <w:rPr>
                <w:rFonts w:ascii="Aptos" w:hAnsi="Aptos"/>
                <w:sz w:val="14"/>
              </w:rPr>
              <w:t>99.2%</w:t>
            </w:r>
          </w:p>
        </w:tc>
        <w:tc>
          <w:tcPr>
            <w:tcW w:type="dxa" w:w="1714"/>
            <w:vAlign w:val="center"/>
          </w:tcPr>
          <w:p>
            <w:r>
              <w:rPr>
                <w:rFonts w:ascii="Aptos" w:hAnsi="Aptos"/>
                <w:sz w:val="14"/>
              </w:rPr>
              <w:t>91.6%</w:t>
            </w:r>
          </w:p>
        </w:tc>
        <w:tc>
          <w:tcPr>
            <w:tcW w:type="dxa" w:w="1714"/>
            <w:vAlign w:val="center"/>
          </w:tcPr>
          <w:p>
            <w:r>
              <w:rPr>
                <w:rFonts w:ascii="Aptos" w:hAnsi="Aptos"/>
                <w:sz w:val="14"/>
              </w:rPr>
              <w:t>90.9%</w:t>
            </w:r>
          </w:p>
        </w:tc>
        <w:tc>
          <w:tcPr>
            <w:tcW w:type="dxa" w:w="1714"/>
            <w:vAlign w:val="center"/>
          </w:tcPr>
          <w:p>
            <w:r>
              <w:rPr>
                <w:rFonts w:ascii="Aptos" w:hAnsi="Aptos"/>
                <w:sz w:val="14"/>
              </w:rPr>
              <w:t>Overdue RFI backlog; Slow RFI response; Workflow risk score</w:t>
            </w:r>
          </w:p>
        </w:tc>
      </w:tr>
      <w:tr>
        <w:trPr>
          <w:cantSplit/>
        </w:trPr>
        <w:tc>
          <w:tcPr>
            <w:tcW w:type="dxa" w:w="1714"/>
            <w:vAlign w:val="center"/>
          </w:tcPr>
          <w:p>
            <w:r>
              <w:rPr>
                <w:rFonts w:ascii="Aptos" w:hAnsi="Aptos"/>
                <w:sz w:val="14"/>
              </w:rPr>
              <w:t>Aspen Corporate Center 702</w:t>
            </w:r>
          </w:p>
        </w:tc>
        <w:tc>
          <w:tcPr>
            <w:tcW w:type="dxa" w:w="1714"/>
            <w:vAlign w:val="center"/>
          </w:tcPr>
          <w:p>
            <w:r>
              <w:rPr>
                <w:rFonts w:ascii="Aptos" w:hAnsi="Aptos"/>
                <w:sz w:val="14"/>
              </w:rPr>
              <w:t>Red</w:t>
            </w:r>
          </w:p>
        </w:tc>
        <w:tc>
          <w:tcPr>
            <w:tcW w:type="dxa" w:w="1714"/>
            <w:vAlign w:val="center"/>
          </w:tcPr>
          <w:p>
            <w:r>
              <w:rPr>
                <w:rFonts w:ascii="Aptos" w:hAnsi="Aptos"/>
                <w:sz w:val="14"/>
              </w:rPr>
              <w:t>99.1%</w:t>
            </w:r>
          </w:p>
        </w:tc>
        <w:tc>
          <w:tcPr>
            <w:tcW w:type="dxa" w:w="1714"/>
            <w:vAlign w:val="center"/>
          </w:tcPr>
          <w:p>
            <w:r>
              <w:rPr>
                <w:rFonts w:ascii="Aptos" w:hAnsi="Aptos"/>
                <w:sz w:val="14"/>
              </w:rPr>
              <w:t>91.8%</w:t>
            </w:r>
          </w:p>
        </w:tc>
        <w:tc>
          <w:tcPr>
            <w:tcW w:type="dxa" w:w="1714"/>
            <w:vAlign w:val="center"/>
          </w:tcPr>
          <w:p>
            <w:r>
              <w:rPr>
                <w:rFonts w:ascii="Aptos" w:hAnsi="Aptos"/>
                <w:sz w:val="14"/>
              </w:rPr>
              <w:t>89.2%</w:t>
            </w:r>
          </w:p>
        </w:tc>
        <w:tc>
          <w:tcPr>
            <w:tcW w:type="dxa" w:w="1714"/>
            <w:vAlign w:val="center"/>
          </w:tcPr>
          <w:p>
            <w:r>
              <w:rPr>
                <w:rFonts w:ascii="Aptos" w:hAnsi="Aptos"/>
                <w:sz w:val="14"/>
              </w:rPr>
              <w:t>Overdue RFI backlog; Slow change approval; Slow RFI response</w:t>
            </w:r>
          </w:p>
        </w:tc>
      </w:tr>
      <w:tr>
        <w:trPr>
          <w:cantSplit/>
        </w:trPr>
        <w:tc>
          <w:tcPr>
            <w:tcW w:type="dxa" w:w="1714"/>
            <w:vAlign w:val="center"/>
          </w:tcPr>
          <w:p>
            <w:r>
              <w:rPr>
                <w:rFonts w:ascii="Aptos" w:hAnsi="Aptos"/>
                <w:sz w:val="14"/>
              </w:rPr>
              <w:t>Northstar Highway Improvements 1925</w:t>
            </w:r>
          </w:p>
        </w:tc>
        <w:tc>
          <w:tcPr>
            <w:tcW w:type="dxa" w:w="1714"/>
            <w:vAlign w:val="center"/>
          </w:tcPr>
          <w:p>
            <w:r>
              <w:rPr>
                <w:rFonts w:ascii="Aptos" w:hAnsi="Aptos"/>
                <w:sz w:val="14"/>
              </w:rPr>
              <w:t>Red</w:t>
            </w:r>
          </w:p>
        </w:tc>
        <w:tc>
          <w:tcPr>
            <w:tcW w:type="dxa" w:w="1714"/>
            <w:vAlign w:val="center"/>
          </w:tcPr>
          <w:p>
            <w:r>
              <w:rPr>
                <w:rFonts w:ascii="Aptos" w:hAnsi="Aptos"/>
                <w:sz w:val="14"/>
              </w:rPr>
              <w:t>99.0%</w:t>
            </w:r>
          </w:p>
        </w:tc>
        <w:tc>
          <w:tcPr>
            <w:tcW w:type="dxa" w:w="1714"/>
            <w:vAlign w:val="center"/>
          </w:tcPr>
          <w:p>
            <w:r>
              <w:rPr>
                <w:rFonts w:ascii="Aptos" w:hAnsi="Aptos"/>
                <w:sz w:val="14"/>
              </w:rPr>
              <w:t>88.1%</w:t>
            </w:r>
          </w:p>
        </w:tc>
        <w:tc>
          <w:tcPr>
            <w:tcW w:type="dxa" w:w="1714"/>
            <w:vAlign w:val="center"/>
          </w:tcPr>
          <w:p>
            <w:r>
              <w:rPr>
                <w:rFonts w:ascii="Aptos" w:hAnsi="Aptos"/>
                <w:sz w:val="14"/>
              </w:rPr>
              <w:t>92.0%</w:t>
            </w:r>
          </w:p>
        </w:tc>
        <w:tc>
          <w:tcPr>
            <w:tcW w:type="dxa" w:w="1714"/>
            <w:vAlign w:val="center"/>
          </w:tcPr>
          <w:p>
            <w:r>
              <w:rPr>
                <w:rFonts w:ascii="Aptos" w:hAnsi="Aptos"/>
                <w:sz w:val="14"/>
              </w:rPr>
              <w:t>Slow change approval; Workflow risk score; Slow RFI response</w:t>
            </w:r>
          </w:p>
        </w:tc>
      </w:tr>
      <w:tr>
        <w:trPr>
          <w:cantSplit/>
        </w:trPr>
        <w:tc>
          <w:tcPr>
            <w:tcW w:type="dxa" w:w="1714"/>
            <w:vAlign w:val="center"/>
          </w:tcPr>
          <w:p>
            <w:r>
              <w:rPr>
                <w:rFonts w:ascii="Aptos" w:hAnsi="Aptos"/>
                <w:sz w:val="14"/>
              </w:rPr>
              <w:t>Pioneer Urban Village 1981</w:t>
            </w:r>
          </w:p>
        </w:tc>
        <w:tc>
          <w:tcPr>
            <w:tcW w:type="dxa" w:w="1714"/>
            <w:vAlign w:val="center"/>
          </w:tcPr>
          <w:p>
            <w:r>
              <w:rPr>
                <w:rFonts w:ascii="Aptos" w:hAnsi="Aptos"/>
                <w:sz w:val="14"/>
              </w:rPr>
              <w:t>Red</w:t>
            </w:r>
          </w:p>
        </w:tc>
        <w:tc>
          <w:tcPr>
            <w:tcW w:type="dxa" w:w="1714"/>
            <w:vAlign w:val="center"/>
          </w:tcPr>
          <w:p>
            <w:r>
              <w:rPr>
                <w:rFonts w:ascii="Aptos" w:hAnsi="Aptos"/>
                <w:sz w:val="14"/>
              </w:rPr>
              <w:t>98.8%</w:t>
            </w:r>
          </w:p>
        </w:tc>
        <w:tc>
          <w:tcPr>
            <w:tcW w:type="dxa" w:w="1714"/>
            <w:vAlign w:val="center"/>
          </w:tcPr>
          <w:p>
            <w:r>
              <w:rPr>
                <w:rFonts w:ascii="Aptos" w:hAnsi="Aptos"/>
                <w:sz w:val="14"/>
              </w:rPr>
              <w:t>94.1%</w:t>
            </w:r>
          </w:p>
        </w:tc>
        <w:tc>
          <w:tcPr>
            <w:tcW w:type="dxa" w:w="1714"/>
            <w:vAlign w:val="center"/>
          </w:tcPr>
          <w:p>
            <w:r>
              <w:rPr>
                <w:rFonts w:ascii="Aptos" w:hAnsi="Aptos"/>
                <w:sz w:val="14"/>
              </w:rPr>
              <w:t>80.4%</w:t>
            </w:r>
          </w:p>
        </w:tc>
        <w:tc>
          <w:tcPr>
            <w:tcW w:type="dxa" w:w="1714"/>
            <w:vAlign w:val="center"/>
          </w:tcPr>
          <w:p>
            <w:r>
              <w:rPr>
                <w:rFonts w:ascii="Aptos" w:hAnsi="Aptos"/>
                <w:sz w:val="14"/>
              </w:rPr>
              <w:t>Overdue RFI backlog; Slow RFI response; Workflow risk score</w:t>
            </w:r>
          </w:p>
        </w:tc>
      </w:tr>
    </w:tbl>
    <w:p>
      <w:pPr>
        <w:pStyle w:val="Heading1"/>
      </w:pPr>
      <w:r>
        <w:t>9. Dashboards and Portfolio Communication</w:t>
      </w:r>
    </w:p>
    <w:p>
      <w:r>
        <w:t>The Share phase produced executive, model-performance, project-risk, and feature-driver dashboards plus Power BI and Tableau build specifications.</w:t>
      </w:r>
    </w:p>
    <w:p>
      <w:pPr>
        <w:jc w:val="center"/>
      </w:pPr>
      <w:r>
        <w:drawing>
          <wp:inline xmlns:a="http://schemas.openxmlformats.org/drawingml/2006/main" xmlns:pic="http://schemas.openxmlformats.org/drawingml/2006/picture">
            <wp:extent cx="6217920" cy="2914650"/>
            <wp:docPr id="4" name="Picture 4"/>
            <wp:cNvGraphicFramePr>
              <a:graphicFrameLocks noChangeAspect="1"/>
            </wp:cNvGraphicFramePr>
            <a:graphic>
              <a:graphicData uri="http://schemas.openxmlformats.org/drawingml/2006/picture">
                <pic:pic>
                  <pic:nvPicPr>
                    <pic:cNvPr id="0" name="project_risk_dashboard.png"/>
                    <pic:cNvPicPr/>
                  </pic:nvPicPr>
                  <pic:blipFill>
                    <a:blip r:embed="rId14"/>
                    <a:stretch>
                      <a:fillRect/>
                    </a:stretch>
                  </pic:blipFill>
                  <pic:spPr>
                    <a:xfrm>
                      <a:off x="0" y="0"/>
                      <a:ext cx="6217920" cy="2914650"/>
                    </a:xfrm>
                    <a:prstGeom prst="rect"/>
                  </pic:spPr>
                </pic:pic>
              </a:graphicData>
            </a:graphic>
          </wp:inline>
        </w:drawing>
      </w:r>
    </w:p>
    <w:p>
      <w:r>
        <w:t>The communication design shows probability and risk band together, labels validation and test periods, and keeps synthetic-data, uncertainty, and human-review warnings visible.</w:t>
      </w:r>
    </w:p>
    <w:p>
      <w:pPr>
        <w:pStyle w:val="Heading1"/>
      </w:pPr>
      <w:r>
        <w:t>10. Act Plan, Human Review, and Monitoring</w:t>
      </w:r>
    </w:p>
    <w:p>
      <w:pPr>
        <w:pStyle w:val="Heading2"/>
      </w:pPr>
      <w:r>
        <w:t>Controlled-pilot roadmap</w:t>
      </w:r>
    </w:p>
    <w:p>
      <w:pPr>
        <w:pStyle w:val="ListBullet"/>
      </w:pPr>
      <w:r>
        <w:t>Days 0–30: approve charter, prohibited uses, independent review, reproducibility, source mapping, and data-quality gates.</w:t>
      </w:r>
    </w:p>
    <w:p>
      <w:pPr>
        <w:pStyle w:val="ListBullet"/>
      </w:pPr>
      <w:r>
        <w:t>Days 31–60: conduct a silent pilot, train reviewers, and review thresholds and monitoring.</w:t>
      </w:r>
    </w:p>
    <w:p>
      <w:pPr>
        <w:pStyle w:val="ListBullet"/>
      </w:pPr>
      <w:r>
        <w:t>Days 61–90: conduct a limited visible pilot, record decisions and overrides, and make a formal go/no-go decision.</w:t>
      </w:r>
    </w:p>
    <w:p>
      <w:pPr>
        <w:pStyle w:val="Heading2"/>
      </w:pPr>
      <w:r>
        <w:t>Human review</w:t>
      </w:r>
    </w:p>
    <w:p>
      <w:pPr>
        <w:pStyle w:val="ListNumber"/>
      </w:pPr>
      <w:r>
        <w:t>Verify input data and snapshot context.</w:t>
      </w:r>
    </w:p>
    <w:p>
      <w:pPr>
        <w:pStyle w:val="ListNumber"/>
      </w:pPr>
      <w:r>
        <w:t>Review cost, schedule, and overall probabilities.</w:t>
      </w:r>
    </w:p>
    <w:p>
      <w:pPr>
        <w:pStyle w:val="ListNumber"/>
      </w:pPr>
      <w:r>
        <w:t>Review model and rule-based drivers.</w:t>
      </w:r>
    </w:p>
    <w:p>
      <w:pPr>
        <w:pStyle w:val="ListNumber"/>
      </w:pPr>
      <w:r>
        <w:t>Consider current project context and known events.</w:t>
      </w:r>
    </w:p>
    <w:p>
      <w:pPr>
        <w:pStyle w:val="ListNumber"/>
      </w:pPr>
      <w:r>
        <w:t>Accept, Override, Escalate, or Defer.</w:t>
      </w:r>
    </w:p>
    <w:p>
      <w:pPr>
        <w:pStyle w:val="ListNumber"/>
      </w:pPr>
      <w:r>
        <w:t>Assign an action, owner, due date, and evidence.</w:t>
      </w:r>
    </w:p>
    <w:p>
      <w:pPr>
        <w:pStyle w:val="ListNumber"/>
      </w:pPr>
      <w:r>
        <w:t>Record later outcomes for monitoring.</w:t>
      </w:r>
    </w:p>
    <w:p>
      <w:pPr>
        <w:pStyle w:val="Heading2"/>
      </w:pPr>
      <w:r>
        <w:t>Proposed monitoring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55F86"/>
            <w:vAlign w:val="center"/>
          </w:tcPr>
          <w:p>
            <w:r>
              <w:rPr>
                <w:b/>
                <w:color w:val="FFFFFF"/>
                <w:sz w:val="16"/>
              </w:rPr>
              <w:t>Metric</w:t>
            </w:r>
          </w:p>
        </w:tc>
        <w:tc>
          <w:tcPr>
            <w:tcW w:type="dxa" w:w="3427"/>
            <w:shd w:fill="155F86"/>
            <w:vAlign w:val="center"/>
          </w:tcPr>
          <w:p>
            <w:r>
              <w:rPr>
                <w:b/>
                <w:color w:val="FFFFFF"/>
                <w:sz w:val="16"/>
              </w:rPr>
              <w:t>Yellow</w:t>
            </w:r>
          </w:p>
        </w:tc>
        <w:tc>
          <w:tcPr>
            <w:tcW w:type="dxa" w:w="3427"/>
            <w:shd w:fill="155F86"/>
            <w:vAlign w:val="center"/>
          </w:tcPr>
          <w:p>
            <w:r>
              <w:rPr>
                <w:b/>
                <w:color w:val="FFFFFF"/>
                <w:sz w:val="16"/>
              </w:rPr>
              <w:t>Red / stop</w:t>
            </w:r>
          </w:p>
        </w:tc>
      </w:tr>
      <w:tr>
        <w:trPr>
          <w:cantSplit/>
        </w:trPr>
        <w:tc>
          <w:tcPr>
            <w:tcW w:type="dxa" w:w="3427"/>
            <w:vAlign w:val="center"/>
          </w:tcPr>
          <w:p>
            <w:r>
              <w:rPr>
                <w:rFonts w:ascii="Aptos" w:hAnsi="Aptos"/>
                <w:sz w:val="16"/>
              </w:rPr>
              <w:t>Cost ROC-AUC</w:t>
            </w:r>
          </w:p>
        </w:tc>
        <w:tc>
          <w:tcPr>
            <w:tcW w:type="dxa" w:w="3427"/>
            <w:vAlign w:val="center"/>
          </w:tcPr>
          <w:p>
            <w:r>
              <w:rPr>
                <w:rFonts w:ascii="Aptos" w:hAnsi="Aptos"/>
                <w:sz w:val="16"/>
              </w:rPr>
              <w:t>Yellow &lt;0.82</w:t>
            </w:r>
          </w:p>
        </w:tc>
        <w:tc>
          <w:tcPr>
            <w:tcW w:type="dxa" w:w="3427"/>
            <w:vAlign w:val="center"/>
          </w:tcPr>
          <w:p>
            <w:r>
              <w:rPr>
                <w:rFonts w:ascii="Aptos" w:hAnsi="Aptos"/>
                <w:sz w:val="16"/>
              </w:rPr>
              <w:t>Red &lt;0.78</w:t>
            </w:r>
          </w:p>
        </w:tc>
      </w:tr>
      <w:tr>
        <w:trPr>
          <w:cantSplit/>
        </w:trPr>
        <w:tc>
          <w:tcPr>
            <w:tcW w:type="dxa" w:w="3427"/>
            <w:vAlign w:val="center"/>
          </w:tcPr>
          <w:p>
            <w:r>
              <w:rPr>
                <w:rFonts w:ascii="Aptos" w:hAnsi="Aptos"/>
                <w:sz w:val="16"/>
              </w:rPr>
              <w:t>Schedule ROC-AUC</w:t>
            </w:r>
          </w:p>
        </w:tc>
        <w:tc>
          <w:tcPr>
            <w:tcW w:type="dxa" w:w="3427"/>
            <w:vAlign w:val="center"/>
          </w:tcPr>
          <w:p>
            <w:r>
              <w:rPr>
                <w:rFonts w:ascii="Aptos" w:hAnsi="Aptos"/>
                <w:sz w:val="16"/>
              </w:rPr>
              <w:t>Yellow &lt;0.75</w:t>
            </w:r>
          </w:p>
        </w:tc>
        <w:tc>
          <w:tcPr>
            <w:tcW w:type="dxa" w:w="3427"/>
            <w:vAlign w:val="center"/>
          </w:tcPr>
          <w:p>
            <w:r>
              <w:rPr>
                <w:rFonts w:ascii="Aptos" w:hAnsi="Aptos"/>
                <w:sz w:val="16"/>
              </w:rPr>
              <w:t>Red &lt;0.70</w:t>
            </w:r>
          </w:p>
        </w:tc>
      </w:tr>
      <w:tr>
        <w:trPr>
          <w:cantSplit/>
        </w:trPr>
        <w:tc>
          <w:tcPr>
            <w:tcW w:type="dxa" w:w="3427"/>
            <w:vAlign w:val="center"/>
          </w:tcPr>
          <w:p>
            <w:r>
              <w:rPr>
                <w:rFonts w:ascii="Aptos" w:hAnsi="Aptos"/>
                <w:sz w:val="16"/>
              </w:rPr>
              <w:t>Probability PSI</w:t>
            </w:r>
          </w:p>
        </w:tc>
        <w:tc>
          <w:tcPr>
            <w:tcW w:type="dxa" w:w="3427"/>
            <w:vAlign w:val="center"/>
          </w:tcPr>
          <w:p>
            <w:r>
              <w:rPr>
                <w:rFonts w:ascii="Aptos" w:hAnsi="Aptos"/>
                <w:sz w:val="16"/>
              </w:rPr>
              <w:t>Yellow &gt;0.10</w:t>
            </w:r>
          </w:p>
        </w:tc>
        <w:tc>
          <w:tcPr>
            <w:tcW w:type="dxa" w:w="3427"/>
            <w:vAlign w:val="center"/>
          </w:tcPr>
          <w:p>
            <w:r>
              <w:rPr>
                <w:rFonts w:ascii="Aptos" w:hAnsi="Aptos"/>
                <w:sz w:val="16"/>
              </w:rPr>
              <w:t>Red &gt;0.20</w:t>
            </w:r>
          </w:p>
        </w:tc>
      </w:tr>
      <w:tr>
        <w:trPr>
          <w:cantSplit/>
        </w:trPr>
        <w:tc>
          <w:tcPr>
            <w:tcW w:type="dxa" w:w="3427"/>
            <w:vAlign w:val="center"/>
          </w:tcPr>
          <w:p>
            <w:r>
              <w:rPr>
                <w:rFonts w:ascii="Aptos" w:hAnsi="Aptos"/>
                <w:sz w:val="16"/>
              </w:rPr>
              <w:t>Critical data quality</w:t>
            </w:r>
          </w:p>
        </w:tc>
        <w:tc>
          <w:tcPr>
            <w:tcW w:type="dxa" w:w="3427"/>
            <w:vAlign w:val="center"/>
          </w:tcPr>
          <w:p>
            <w:r>
              <w:rPr>
                <w:rFonts w:ascii="Aptos" w:hAnsi="Aptos"/>
                <w:sz w:val="16"/>
              </w:rPr>
              <w:t>Any failure</w:t>
            </w:r>
          </w:p>
        </w:tc>
        <w:tc>
          <w:tcPr>
            <w:tcW w:type="dxa" w:w="3427"/>
            <w:vAlign w:val="center"/>
          </w:tcPr>
          <w:p>
            <w:r>
              <w:rPr>
                <w:rFonts w:ascii="Aptos" w:hAnsi="Aptos"/>
                <w:sz w:val="16"/>
              </w:rPr>
              <w:t>Stop scoring</w:t>
            </w:r>
          </w:p>
        </w:tc>
      </w:tr>
      <w:tr>
        <w:trPr>
          <w:cantSplit/>
        </w:trPr>
        <w:tc>
          <w:tcPr>
            <w:tcW w:type="dxa" w:w="3427"/>
            <w:vAlign w:val="center"/>
          </w:tcPr>
          <w:p>
            <w:r>
              <w:rPr>
                <w:rFonts w:ascii="Aptos" w:hAnsi="Aptos"/>
                <w:sz w:val="16"/>
              </w:rPr>
              <w:t>Segment AUC gap</w:t>
            </w:r>
          </w:p>
        </w:tc>
        <w:tc>
          <w:tcPr>
            <w:tcW w:type="dxa" w:w="3427"/>
            <w:vAlign w:val="center"/>
          </w:tcPr>
          <w:p>
            <w:r>
              <w:rPr>
                <w:rFonts w:ascii="Aptos" w:hAnsi="Aptos"/>
                <w:sz w:val="16"/>
              </w:rPr>
              <w:t>Yellow &gt;0.10</w:t>
            </w:r>
          </w:p>
        </w:tc>
        <w:tc>
          <w:tcPr>
            <w:tcW w:type="dxa" w:w="3427"/>
            <w:vAlign w:val="center"/>
          </w:tcPr>
          <w:p>
            <w:r>
              <w:rPr>
                <w:rFonts w:ascii="Aptos" w:hAnsi="Aptos"/>
                <w:sz w:val="16"/>
              </w:rPr>
              <w:t>Red &gt;0.15</w:t>
            </w:r>
          </w:p>
        </w:tc>
      </w:tr>
      <w:tr>
        <w:trPr>
          <w:cantSplit/>
        </w:trPr>
        <w:tc>
          <w:tcPr>
            <w:tcW w:type="dxa" w:w="3427"/>
            <w:vAlign w:val="center"/>
          </w:tcPr>
          <w:p>
            <w:r>
              <w:rPr>
                <w:rFonts w:ascii="Aptos" w:hAnsi="Aptos"/>
                <w:sz w:val="16"/>
              </w:rPr>
              <w:t>Override rate</w:t>
            </w:r>
          </w:p>
        </w:tc>
        <w:tc>
          <w:tcPr>
            <w:tcW w:type="dxa" w:w="3427"/>
            <w:vAlign w:val="center"/>
          </w:tcPr>
          <w:p>
            <w:r>
              <w:rPr>
                <w:rFonts w:ascii="Aptos" w:hAnsi="Aptos"/>
                <w:sz w:val="16"/>
              </w:rPr>
              <w:t>Yellow &gt;30%</w:t>
            </w:r>
          </w:p>
        </w:tc>
        <w:tc>
          <w:tcPr>
            <w:tcW w:type="dxa" w:w="3427"/>
            <w:vAlign w:val="center"/>
          </w:tcPr>
          <w:p>
            <w:r>
              <w:rPr>
                <w:rFonts w:ascii="Aptos" w:hAnsi="Aptos"/>
                <w:sz w:val="16"/>
              </w:rPr>
              <w:t>Red &gt;50%</w:t>
            </w:r>
          </w:p>
        </w:tc>
      </w:tr>
      <w:tr>
        <w:trPr>
          <w:cantSplit/>
        </w:trPr>
        <w:tc>
          <w:tcPr>
            <w:tcW w:type="dxa" w:w="3427"/>
            <w:vAlign w:val="center"/>
          </w:tcPr>
          <w:p>
            <w:r>
              <w:rPr>
                <w:rFonts w:ascii="Aptos" w:hAnsi="Aptos"/>
                <w:sz w:val="16"/>
              </w:rPr>
              <w:t>Model age</w:t>
            </w:r>
          </w:p>
        </w:tc>
        <w:tc>
          <w:tcPr>
            <w:tcW w:type="dxa" w:w="3427"/>
            <w:vAlign w:val="center"/>
          </w:tcPr>
          <w:p>
            <w:r>
              <w:rPr>
                <w:rFonts w:ascii="Aptos" w:hAnsi="Aptos"/>
                <w:sz w:val="16"/>
              </w:rPr>
              <w:t>Review at 12 months</w:t>
            </w:r>
          </w:p>
        </w:tc>
        <w:tc>
          <w:tcPr>
            <w:tcW w:type="dxa" w:w="3427"/>
            <w:vAlign w:val="center"/>
          </w:tcPr>
          <w:p>
            <w:r>
              <w:rPr>
                <w:rFonts w:ascii="Aptos" w:hAnsi="Aptos"/>
                <w:sz w:val="16"/>
              </w:rPr>
              <w:t>Mandatory decision at 18 months</w:t>
            </w:r>
          </w:p>
        </w:tc>
      </w:tr>
    </w:tbl>
    <w:p>
      <w:pPr>
        <w:pStyle w:val="Heading1"/>
      </w:pPr>
      <w:r>
        <w:t>11. Limitations, Responsible AI, and Conclusion</w:t>
      </w:r>
    </w:p>
    <w:p>
      <w:pPr>
        <w:pStyle w:val="ListBullet"/>
      </w:pPr>
      <w:r>
        <w:t>All data is synthetic and may not represent real project distributions.</w:t>
      </w:r>
    </w:p>
    <w:p>
      <w:pPr>
        <w:pStyle w:val="ListBullet"/>
      </w:pPr>
      <w:r>
        <w:t>Performance is not an industry benchmark.</w:t>
      </w:r>
    </w:p>
    <w:p>
      <w:pPr>
        <w:pStyle w:val="ListBullet"/>
      </w:pPr>
      <w:r>
        <w:t>Target thresholds are case-study definitions.</w:t>
      </w:r>
    </w:p>
    <w:p>
      <w:pPr>
        <w:pStyle w:val="ListBullet"/>
      </w:pPr>
      <w:r>
        <w:t>Feature importance is predictive, not causal.</w:t>
      </w:r>
    </w:p>
    <w:p>
      <w:pPr>
        <w:pStyle w:val="ListBullet"/>
      </w:pPr>
      <w:r>
        <w:t>The schedule model shows temporal degradation.</w:t>
      </w:r>
    </w:p>
    <w:p>
      <w:pPr>
        <w:pStyle w:val="ListBullet"/>
      </w:pPr>
      <w:r>
        <w:t>Segment results have limited sample sizes.</w:t>
      </w:r>
    </w:p>
    <w:p>
      <w:pPr>
        <w:pStyle w:val="ListBullet"/>
      </w:pPr>
      <w:r>
        <w:t>Real deployment requires approved data, independent validation, calibration, drift review, human oversight, access controls, and incident response.</w:t>
      </w:r>
    </w:p>
    <w:p>
      <w:pPr>
        <w:pStyle w:val="ListBullet"/>
      </w:pPr>
      <w:r>
        <w:t>The model may not be used for contractual, legal, safety-critical, or personnel decisions.</w:t>
      </w:r>
    </w:p>
    <w:p>
      <w:pPr>
        <w:pStyle w:val="Heading2"/>
      </w:pPr>
      <w:r>
        <w:t>Conclusion</w:t>
      </w:r>
    </w:p>
    <w:p>
      <w:r>
        <w:t>Project 3 completes a three-project construction analytics portfolio progression from descriptive project controls, to diagnostic workflow analytics, to predictive early warning. The project demonstrates technical modeling and business governance together, including the discipline to retain unfavorable temporal results and restrict unvalidated production use.</w:t>
      </w:r>
    </w:p>
    <w:p>
      <w:pPr>
        <w:pStyle w:val="Heading1"/>
      </w:pPr>
      <w:r>
        <w:t>12. Sources and Deliverables</w:t>
      </w:r>
    </w:p>
    <w:p>
      <w:pPr>
        <w:pStyle w:val="Heading2"/>
      </w:pPr>
      <w:r>
        <w:t>Professional references</w:t>
      </w:r>
    </w:p>
    <w:p>
      <w:r>
        <w:t>IBM CRISP-DM overview: https://www.ibm.com/docs/en/spss-modeler/18.6.0?topic=dm-crisp-help-overview</w:t>
      </w:r>
    </w:p>
    <w:p>
      <w:r>
        <w:t>ASQ DMAIC: https://asq.org/quality-resources/dmaic</w:t>
      </w:r>
    </w:p>
    <w:p>
      <w:r>
        <w:t>Microsoft Data Science Lifecycle: https://learn.microsoft.com/en-us/shows/dev-intro-to-data-science/what-is-the-data-science-lifecycle-2-of-28</w:t>
      </w:r>
    </w:p>
    <w:p>
      <w:r>
        <w:t>PMI Process Groups: https://www.pmi.org/standards/process-groups</w:t>
      </w:r>
    </w:p>
    <w:p>
      <w:pPr>
        <w:pStyle w:val="Heading2"/>
      </w:pPr>
      <w:r>
        <w:t>Primary project deliverables</w:t>
      </w:r>
    </w:p>
    <w:p>
      <w:pPr>
        <w:pStyle w:val="ListBullet"/>
      </w:pPr>
      <w:r>
        <w:t>Analysis workbook and model-performance tables</w:t>
      </w:r>
    </w:p>
    <w:p>
      <w:pPr>
        <w:pStyle w:val="ListBullet"/>
      </w:pPr>
      <w:r>
        <w:t>Saved classification and regression pipelines</w:t>
      </w:r>
    </w:p>
    <w:p>
      <w:pPr>
        <w:pStyle w:val="ListBullet"/>
      </w:pPr>
      <w:r>
        <w:t>Feature manifest and model card</w:t>
      </w:r>
    </w:p>
    <w:p>
      <w:pPr>
        <w:pStyle w:val="ListBullet"/>
      </w:pPr>
      <w:r>
        <w:t>Executive and operational dashboards</w:t>
      </w:r>
    </w:p>
    <w:p>
      <w:pPr>
        <w:pStyle w:val="ListBullet"/>
      </w:pPr>
      <w:r>
        <w:t>Power BI and Tableau specifications</w:t>
      </w:r>
    </w:p>
    <w:p>
      <w:pPr>
        <w:pStyle w:val="ListBullet"/>
      </w:pPr>
      <w:r>
        <w:t>Batch scoring and model-monitoring scripts</w:t>
      </w:r>
    </w:p>
    <w:p>
      <w:pPr>
        <w:pStyle w:val="ListBullet"/>
      </w:pPr>
      <w:r>
        <w:t>Controlled-pilot Act plan, risk register, RACI, and override log</w:t>
      </w:r>
    </w:p>
    <w:p>
      <w:pPr>
        <w:pStyle w:val="ListBullet"/>
      </w:pPr>
      <w:r>
        <w:t>Complete Ask–Prepare–Process–Analyze–Share–Act documentation</w:t>
      </w:r>
    </w:p>
    <w:p>
      <w:pPr>
        <w:jc w:val="center"/>
      </w:pPr>
      <w:r>
        <w:rPr>
          <w:b/>
          <w:color w:val="071A2C"/>
        </w:rPr>
        <w:t>End of Report</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7889"/>
        <w:sz w:val="16"/>
      </w:rPr>
      <w:t>Predictive Construction Project Overrun Model | IP-DA-003</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07889"/>
        <w:sz w:val="16"/>
      </w:rPr>
      <w:t>IN PROJECT LLC | PREDICTIVE CONSTRUCTION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A2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55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5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1A2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