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9EE1" w14:textId="77777777" w:rsidR="008A6581" w:rsidRDefault="00000000">
      <w:pPr>
        <w:rPr>
          <w:b/>
          <w:bCs/>
        </w:rPr>
      </w:pPr>
      <w:r>
        <w:rPr>
          <w:b/>
          <w:bCs/>
          <w:lang w:val="en-US"/>
        </w:rPr>
        <w:br/>
      </w:r>
      <w:r>
        <w:rPr>
          <w:b/>
          <w:bCs/>
        </w:rPr>
        <w:t>why human FEP runs are shorter than mouse? Can we have a justification to add in the paper?</w:t>
      </w:r>
    </w:p>
    <w:p w14:paraId="5081E020" w14:textId="43B734F4" w:rsidR="008A6581" w:rsidRDefault="00000000">
      <w:r>
        <w:rPr>
          <w:lang w:val="en-US"/>
        </w:rPr>
        <w:br/>
      </w:r>
      <w:r>
        <w:t xml:space="preserve">In the mouse system, FEP calculations were performed exhaustively from the wild-type C49 background, where T54Q was first evaluated at level 0 </w:t>
      </w:r>
      <w:r w:rsidR="00571C5E">
        <w:t xml:space="preserve">, so for level0, the wild type was revisited with all mutants and </w:t>
      </w:r>
      <w:r>
        <w:t>C49U</w:t>
      </w:r>
      <w:r w:rsidR="00571C5E">
        <w:t xml:space="preserve"> was selected</w:t>
      </w:r>
      <w:r>
        <w:t xml:space="preserve"> at level 1, resulting in a broader mutational exploration, whereas in the human system the native presence of U49 eliminated reverse mutations such as U49C due to their unfavourable free-energy profiles, thereby restricting sampling to energetically and evolutionarily relevant FEP pathways.</w:t>
      </w:r>
    </w:p>
    <w:p w14:paraId="31663E3D" w14:textId="1970FD85" w:rsidR="00A86D7D" w:rsidRDefault="00000000">
      <w:r>
        <w:br/>
      </w:r>
      <w:r>
        <w:rPr>
          <w:b/>
          <w:bCs/>
        </w:rPr>
        <w:t>can you clarify how the alpha and Hij where parameterized? clarify what is the source for the reference values for the EVB free energy values</w:t>
      </w:r>
      <w:r>
        <w:br/>
      </w:r>
      <w:r>
        <w:br/>
        <w:t xml:space="preserve">The EVB parameters </w:t>
      </w:r>
      <m:oMath>
        <m:r>
          <w:rPr>
            <w:rFonts w:ascii="Cambria Math" w:hAnsi="Cambria Math"/>
          </w:rPr>
          <m:t>α</m:t>
        </m:r>
      </m:oMath>
      <w:r>
        <w:t xml:space="preserve">and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were parameterized by fitting to the quantum mechanical free energy profile of human Sec-containing glutathione peroxidase reported in \cite{prabhakar_is_2006}, which provides reference values of 16.40 kcal/mol for the activation free energy and −60.52 kcal/mol for the reaction free energy. These QM-derived quantities were used as benchmarks to optimize </w:t>
      </w:r>
      <m:oMath>
        <m:r>
          <w:rPr>
            <w:rFonts w:ascii="Cambria Math" w:hAnsi="Cambria Math"/>
          </w:rPr>
          <m:t>α</m:t>
        </m:r>
      </m:oMath>
      <w:r>
        <w:t xml:space="preserve">(diabatic energy shift) and </w:t>
      </w:r>
      <m:oMath>
        <m:sSub>
          <m:sSubPr>
            <m:ctrlPr>
              <w:rPr>
                <w:rFonts w:ascii="Cambria Math" w:hAnsi="Cambria Math"/>
              </w:rPr>
            </m:ctrlPr>
          </m:sSubPr>
          <m:e>
            <m:r>
              <w:rPr>
                <w:rFonts w:ascii="Cambria Math" w:hAnsi="Cambria Math"/>
              </w:rPr>
              <m:t>H</m:t>
            </m:r>
          </m:e>
          <m:sub>
            <m:r>
              <w:rPr>
                <w:rFonts w:ascii="Cambria Math" w:hAnsi="Cambria Math"/>
              </w:rPr>
              <m:t>ij</m:t>
            </m:r>
          </m:sub>
        </m:sSub>
      </m:oMath>
      <w:r>
        <w:t>(off-diagonal coupling) such that the EVB model reproduces the corresponding wild-type free energy surface. The resulting calibrated parameter set was then held fixed and applied consistently across all mutant calculations to quantify mutation-induced perturbations relative to the same reference baseline.</w:t>
      </w:r>
      <w:r>
        <w:br/>
      </w:r>
      <w:r>
        <w:br/>
      </w:r>
      <w:r>
        <w:rPr>
          <w:b/>
          <w:bCs/>
        </w:rPr>
        <w:t>what are the flat potencials used for? What are the values of K for each bond?</w:t>
      </w:r>
      <w:r>
        <w:br/>
      </w:r>
      <w:r>
        <w:br/>
        <w:t>Distance restraints were represented using flat-bottom harmonic potentials with interaction-specific force constants. Stronger restraints (10 kcal mol⁻¹ Å⁻²) were applied to heavy-atom donor–acceptor distances to preserve catalytic geometry, moderate restraints (5 kcal mol⁻¹ Å⁻²) were used for proton donor bonds, and weaker restraints (0.5 kcal mol⁻¹ Å⁻²) were assigned to labile S–H</w:t>
      </w:r>
      <w:r w:rsidR="00A86D7D">
        <w:t xml:space="preserve">/ Se-H </w:t>
      </w:r>
      <w:r>
        <w:t>coordinates to allow proton transfer flexibility.</w:t>
      </w:r>
      <w:r w:rsidR="00A86D7D">
        <w:br/>
      </w:r>
      <w:r w:rsidR="00A86D7D">
        <w:br/>
      </w:r>
      <w:r w:rsidR="00A86D7D" w:rsidRPr="00A86D7D">
        <w:t>\caption{Distance restraints were represented using flat-bottom harmonic potentials with interaction-specific force constants. Stronger restraints ($10\ \mathrm{kcal\ mol^{-1}\ \AA^{-2}}$) were applied to heavy-atom donor--acceptor distances to preserve catalytic geometry, moderate restraints ($5\ \mathrm{kcal\ mol^{-1}\ \AA^{-2}}$) were used for proton donor bonds, and weaker restraints ($0.5\ \mathrm{kcal\ mol^{-1}\ \AA^{-2}}$) were assigned to labile S--H/Se--H coordinates to allow proton transfer flexibility.}</w:t>
      </w:r>
    </w:p>
    <w:p w14:paraId="122C30AD" w14:textId="2A9A389E" w:rsidR="00200E1B" w:rsidRPr="00EC49D7" w:rsidRDefault="00200E1B">
      <w:pPr>
        <w:rPr>
          <w:b/>
          <w:bCs/>
        </w:rPr>
      </w:pPr>
      <w:r w:rsidRPr="00200E1B">
        <w:rPr>
          <w:b/>
          <w:bCs/>
        </w:rPr>
        <w:t xml:space="preserve">how sequences from proteinmPNN were obtained? from </w:t>
      </w:r>
      <w:r>
        <w:rPr>
          <w:b/>
          <w:bCs/>
        </w:rPr>
        <w:t>which</w:t>
      </w:r>
      <w:r w:rsidRPr="00200E1B">
        <w:rPr>
          <w:b/>
          <w:bCs/>
        </w:rPr>
        <w:t xml:space="preserve"> structures? lambda = 0.5?</w:t>
      </w:r>
    </w:p>
    <w:p w14:paraId="270B0302" w14:textId="3BFFCE37" w:rsidR="00EC49D7" w:rsidRPr="00EC49D7" w:rsidRDefault="00EC49D7" w:rsidP="00EC49D7">
      <w:r w:rsidRPr="00EC49D7">
        <w:t xml:space="preserve">We generated ProteinMPNN sequences for all mutants at each level </w:t>
      </w:r>
      <w:r>
        <w:t>a</w:t>
      </w:r>
      <w:r w:rsidRPr="00EC49D7">
        <w:t>long the EVB trajectories</w:t>
      </w:r>
      <w:r>
        <w:t xml:space="preserve">. </w:t>
      </w:r>
      <w:r w:rsidRPr="00EC49D7">
        <w:t>For every cleaned backbone structure, we ran ProteinMPNN in fixed-backbone mode with the soluble-protein model, producing 1</w:t>
      </w:r>
      <w:r>
        <w:t>0</w:t>
      </w:r>
      <w:r w:rsidRPr="00EC49D7">
        <w:t>0 sequences per structure.</w:t>
      </w:r>
      <w:r>
        <w:t xml:space="preserve"> </w:t>
      </w:r>
      <w:r w:rsidRPr="00EC49D7">
        <w:t xml:space="preserve">Importantly, we used </w:t>
      </w:r>
      <w:r>
        <w:t>transition state</w:t>
      </w:r>
      <w:r w:rsidRPr="00EC49D7">
        <w:t xml:space="preserve"> </w:t>
      </w:r>
      <w:r>
        <w:t>structures</w:t>
      </w:r>
      <w:r w:rsidRPr="00EC49D7">
        <w:t xml:space="preserve">  (i.e., structures corresponding to the λ = 0.5 window along the EVB path) for all mutants at each level. This choice focuses on the intermediate region of the transformation while still covering the full set of available backbones.</w:t>
      </w:r>
      <w:r>
        <w:t xml:space="preserve"> </w:t>
      </w:r>
      <w:r w:rsidRPr="00EC49D7">
        <w:t xml:space="preserve">Sequence generation was performed on cleaned PDBs (non-protein residues removed, chain IDs fixed, non-standard residues renamed: CYX→CYS, HID/HIE/HIP→HIS, PRX→SEC). </w:t>
      </w:r>
    </w:p>
    <w:p w14:paraId="573DEA2A" w14:textId="77777777" w:rsidR="00700FC1" w:rsidRPr="00700FC1" w:rsidRDefault="00700FC1" w:rsidP="00700FC1">
      <w:pPr>
        <w:rPr>
          <w:b/>
          <w:bCs/>
          <w:lang w:val="en-US"/>
        </w:rPr>
      </w:pPr>
      <w:r w:rsidRPr="00700FC1">
        <w:rPr>
          <w:b/>
          <w:bCs/>
          <w:lang w:val="en-US"/>
        </w:rPr>
        <w:lastRenderedPageBreak/>
        <w:t>Explanation for Fig6</w:t>
      </w:r>
    </w:p>
    <w:p w14:paraId="57C9C588" w14:textId="32774AEC" w:rsidR="00BA4FC2" w:rsidRDefault="00700FC1">
      <w:r w:rsidRPr="008627FD">
        <w:t>In the human $\rightarrow$ mouse pathway (Fig.~4</w:t>
      </w:r>
      <w:r w:rsidR="00C05938">
        <w:t>b</w:t>
      </w:r>
      <w:r w:rsidRPr="008627FD">
        <w:t>, top), early introduction of U49C creates a strongly destabilizing baseline (prominent red regions in the $\Delta G^*$ map) that propagates through nearly all subsequent mutations, resulting in widespread energetic strain. In contrast, in the mouse $\rightarrow$ human pathway (Fig.~4</w:t>
      </w:r>
      <w:r w:rsidR="00C05938">
        <w:t>a</w:t>
      </w:r>
      <w:r w:rsidRPr="008627FD">
        <w:t>, bottom), the compensatory C49U mutation occurs at level 1, resetting the energetic landscape early and largely preventing the accumulation of destabilizing effects.</w:t>
      </w:r>
    </w:p>
    <w:p w14:paraId="32BEEC38" w14:textId="067E4689" w:rsidR="00BA4FC2" w:rsidRPr="00C05938" w:rsidRDefault="00BA4FC2" w:rsidP="00BA4FC2">
      <w:pPr>
        <w:rPr>
          <w:b/>
          <w:bCs/>
          <w:lang w:val="en-US"/>
        </w:rPr>
      </w:pPr>
      <w:r w:rsidRPr="00C05938">
        <w:rPr>
          <w:b/>
          <w:bCs/>
          <w:lang w:val="en-US"/>
        </w:rPr>
        <w:t>Explanation for FigS4</w:t>
      </w:r>
    </w:p>
    <w:p w14:paraId="1549DDDB" w14:textId="77777777" w:rsidR="00511B34" w:rsidRPr="00511B34" w:rsidRDefault="00511B34" w:rsidP="00C05938">
      <w:pPr>
        <w:spacing w:after="0"/>
        <w:rPr>
          <w:lang w:val="en-US"/>
        </w:rPr>
      </w:pPr>
      <w:r w:rsidRPr="00511B34">
        <w:rPr>
          <w:lang w:val="en-US"/>
        </w:rPr>
        <w:t xml:space="preserve">The stability landscape of accumulated mutations in GPX6 is summarized in Figure~\ref{fig:S4}. </w:t>
      </w:r>
    </w:p>
    <w:p w14:paraId="4DD0E616" w14:textId="77777777" w:rsidR="00511B34" w:rsidRPr="00511B34" w:rsidRDefault="00511B34" w:rsidP="00C05938">
      <w:pPr>
        <w:spacing w:after="0"/>
        <w:rPr>
          <w:lang w:val="en-US"/>
        </w:rPr>
      </w:pPr>
      <w:r w:rsidRPr="00511B34">
        <w:rPr>
          <w:lang w:val="en-US"/>
        </w:rPr>
        <w:t xml:space="preserve">Positive $\Delta\Delta G^*$ values (red/orange) denote a destabilizing effect on the folded state </w:t>
      </w:r>
    </w:p>
    <w:p w14:paraId="6217B76D" w14:textId="77777777" w:rsidR="00511B34" w:rsidRPr="00511B34" w:rsidRDefault="00511B34" w:rsidP="00C05938">
      <w:pPr>
        <w:spacing w:after="0"/>
        <w:rPr>
          <w:lang w:val="en-US"/>
        </w:rPr>
      </w:pPr>
      <w:r w:rsidRPr="00511B34">
        <w:rPr>
          <w:lang w:val="en-US"/>
        </w:rPr>
        <w:t xml:space="preserve">(higher free energy, less stable protein), whereas negative values (blue) indicate a stabilizing effect. </w:t>
      </w:r>
    </w:p>
    <w:p w14:paraId="42E4BDD8" w14:textId="04D2EDC9" w:rsidR="00511B34" w:rsidRPr="00511B34" w:rsidRDefault="00511B34" w:rsidP="00C05938">
      <w:pPr>
        <w:spacing w:after="0"/>
        <w:rPr>
          <w:lang w:val="en-US"/>
        </w:rPr>
      </w:pPr>
      <w:r w:rsidRPr="00511B34">
        <w:rPr>
          <w:lang w:val="en-US"/>
        </w:rPr>
        <w:t>In the human (Figure~\ref{fig:S4}</w:t>
      </w:r>
      <w:r w:rsidR="00B31B22">
        <w:rPr>
          <w:lang w:val="en-US"/>
        </w:rPr>
        <w:t>b</w:t>
      </w:r>
      <w:r w:rsidRPr="00511B34">
        <w:rPr>
          <w:lang w:val="en-US"/>
        </w:rPr>
        <w:t xml:space="preserve">), the majority of mutations are destabilizing when </w:t>
      </w:r>
    </w:p>
    <w:p w14:paraId="5C53DADD" w14:textId="77777777" w:rsidR="00511B34" w:rsidRPr="00511B34" w:rsidRDefault="00511B34" w:rsidP="00C05938">
      <w:pPr>
        <w:spacing w:after="0"/>
        <w:rPr>
          <w:lang w:val="en-US"/>
        </w:rPr>
      </w:pPr>
      <w:r w:rsidRPr="00511B34">
        <w:rPr>
          <w:lang w:val="en-US"/>
        </w:rPr>
        <w:t xml:space="preserve">introduced individually (Level 0), with some active-site mutants showing strong penalties </w:t>
      </w:r>
    </w:p>
    <w:p w14:paraId="1800307F" w14:textId="77777777" w:rsidR="00511B34" w:rsidRPr="00511B34" w:rsidRDefault="00511B34" w:rsidP="00C05938">
      <w:pPr>
        <w:spacing w:after="0"/>
        <w:rPr>
          <w:lang w:val="en-US"/>
        </w:rPr>
      </w:pPr>
      <w:r w:rsidRPr="00511B34">
        <w:rPr>
          <w:lang w:val="en-US"/>
        </w:rPr>
        <w:t xml:space="preserve">(e.g., $&gt; +5$ kcal mol$^{-1}$). Although partial compensation occurs at higher mutation levels, </w:t>
      </w:r>
    </w:p>
    <w:p w14:paraId="5A51344E" w14:textId="26DC14CE" w:rsidR="00511B34" w:rsidRPr="00511B34" w:rsidRDefault="00511B34" w:rsidP="00C05938">
      <w:pPr>
        <w:spacing w:after="0"/>
        <w:rPr>
          <w:lang w:val="en-US"/>
        </w:rPr>
      </w:pPr>
      <w:r w:rsidRPr="00511B34">
        <w:rPr>
          <w:lang w:val="en-US"/>
        </w:rPr>
        <w:t xml:space="preserve">many combinations retain net positive $\Delta\Delta G^*$. In contrast, the mouse </w:t>
      </w:r>
    </w:p>
    <w:p w14:paraId="785068B4" w14:textId="603DC72F" w:rsidR="00511B34" w:rsidRPr="00511B34" w:rsidRDefault="00511B34" w:rsidP="00C05938">
      <w:pPr>
        <w:spacing w:after="0"/>
        <w:rPr>
          <w:lang w:val="en-US"/>
        </w:rPr>
      </w:pPr>
      <w:r w:rsidRPr="00511B34">
        <w:rPr>
          <w:lang w:val="en-US"/>
        </w:rPr>
        <w:t>(Figure~\ref{fig:S4}</w:t>
      </w:r>
      <w:r w:rsidR="00B31B22">
        <w:rPr>
          <w:lang w:val="en-US"/>
        </w:rPr>
        <w:t>a</w:t>
      </w:r>
      <w:r w:rsidRPr="00511B34">
        <w:rPr>
          <w:lang w:val="en-US"/>
        </w:rPr>
        <w:t xml:space="preserve">) exhibits a more robust profile, with several stabilizing or near-neutral </w:t>
      </w:r>
    </w:p>
    <w:p w14:paraId="00298B8D" w14:textId="7E743CB2" w:rsidR="00511B34" w:rsidRPr="00511B34" w:rsidRDefault="00511B34" w:rsidP="00C05938">
      <w:pPr>
        <w:spacing w:after="0"/>
        <w:rPr>
          <w:lang w:val="en-US"/>
        </w:rPr>
      </w:pPr>
      <w:r w:rsidRPr="00511B34">
        <w:rPr>
          <w:lang w:val="en-US"/>
        </w:rPr>
        <w:t xml:space="preserve">mutations at Level 0 and better tolerance to high mutational loads. Importantly, the observed $\Delta\Delta G^*$ values represent the overall thermodynamic outcome </w:t>
      </w:r>
    </w:p>
    <w:p w14:paraId="743BCAD8" w14:textId="54DB5C64" w:rsidR="00BA4FC2" w:rsidRPr="00511B34" w:rsidRDefault="00511B34" w:rsidP="00C05938">
      <w:pPr>
        <w:spacing w:after="0"/>
        <w:rPr>
          <w:lang w:val="en-US"/>
        </w:rPr>
      </w:pPr>
      <w:r w:rsidRPr="00511B34">
        <w:rPr>
          <w:lang w:val="en-US"/>
        </w:rPr>
        <w:t>and do not directly decompose individual energy terms such as electrostatic interactions.</w:t>
      </w:r>
    </w:p>
    <w:p w14:paraId="4556EC95" w14:textId="77777777" w:rsidR="00BA4FC2" w:rsidRDefault="00BA4FC2"/>
    <w:p w14:paraId="4576E931" w14:textId="6B87EC25" w:rsidR="00A86D7D" w:rsidRPr="00A86D7D" w:rsidRDefault="00A86D7D">
      <w:pPr>
        <w:rPr>
          <w:b/>
          <w:bCs/>
        </w:rPr>
      </w:pPr>
      <w:r w:rsidRPr="00A86D7D">
        <w:rPr>
          <w:b/>
          <w:bCs/>
        </w:rPr>
        <w:t>MOUSE</w:t>
      </w:r>
    </w:p>
    <w:p w14:paraId="1765D946" w14:textId="77777777" w:rsidR="008A6581" w:rsidRPr="00700FC1" w:rsidRDefault="00000000">
      <w:pPr>
        <w:rPr>
          <w:sz w:val="18"/>
          <w:szCs w:val="18"/>
        </w:rPr>
      </w:pPr>
      <w:r w:rsidRPr="00700FC1">
        <w:rPr>
          <w:sz w:val="18"/>
          <w:szCs w:val="18"/>
        </w:rPr>
        <w:t>\begin{table}[htbp]</w:t>
      </w:r>
    </w:p>
    <w:p w14:paraId="394D1305" w14:textId="77777777" w:rsidR="008A6581" w:rsidRPr="00700FC1" w:rsidRDefault="00000000">
      <w:pPr>
        <w:rPr>
          <w:sz w:val="18"/>
          <w:szCs w:val="18"/>
        </w:rPr>
      </w:pPr>
      <w:r w:rsidRPr="00700FC1">
        <w:rPr>
          <w:sz w:val="18"/>
          <w:szCs w:val="18"/>
        </w:rPr>
        <w:t>\centering</w:t>
      </w:r>
    </w:p>
    <w:p w14:paraId="5CDF8753" w14:textId="2BA71D64" w:rsidR="008A6581" w:rsidRPr="00700FC1" w:rsidRDefault="00000000">
      <w:pPr>
        <w:rPr>
          <w:sz w:val="18"/>
          <w:szCs w:val="18"/>
        </w:rPr>
      </w:pPr>
      <w:r w:rsidRPr="00700FC1">
        <w:rPr>
          <w:sz w:val="18"/>
          <w:szCs w:val="18"/>
        </w:rPr>
        <w:t xml:space="preserve">\caption{Mouse mutations and corresponding distances </w:t>
      </w:r>
      <w:r w:rsidR="00EC6897" w:rsidRPr="00700FC1">
        <w:rPr>
          <w:sz w:val="18"/>
          <w:szCs w:val="18"/>
        </w:rPr>
        <w:t>from residue 49</w:t>
      </w:r>
      <w:r w:rsidRPr="00700FC1">
        <w:rPr>
          <w:sz w:val="18"/>
          <w:szCs w:val="18"/>
        </w:rPr>
        <w:t>}</w:t>
      </w:r>
    </w:p>
    <w:p w14:paraId="06575332" w14:textId="77777777" w:rsidR="008A6581" w:rsidRPr="00700FC1" w:rsidRDefault="00000000">
      <w:pPr>
        <w:rPr>
          <w:sz w:val="18"/>
          <w:szCs w:val="18"/>
        </w:rPr>
      </w:pPr>
      <w:r w:rsidRPr="00700FC1">
        <w:rPr>
          <w:sz w:val="18"/>
          <w:szCs w:val="18"/>
        </w:rPr>
        <w:t>\label{tab:mouse_mutation_distance}</w:t>
      </w:r>
    </w:p>
    <w:p w14:paraId="5F1F690C" w14:textId="77777777" w:rsidR="008A6581" w:rsidRPr="00700FC1" w:rsidRDefault="00000000">
      <w:pPr>
        <w:rPr>
          <w:sz w:val="18"/>
          <w:szCs w:val="18"/>
        </w:rPr>
      </w:pPr>
      <w:r w:rsidRPr="00700FC1">
        <w:rPr>
          <w:sz w:val="18"/>
          <w:szCs w:val="18"/>
        </w:rPr>
        <w:t>\begin{tabular}{lc}</w:t>
      </w:r>
    </w:p>
    <w:p w14:paraId="530DE0ED" w14:textId="77777777" w:rsidR="008A6581" w:rsidRPr="00700FC1" w:rsidRDefault="00000000">
      <w:pPr>
        <w:rPr>
          <w:sz w:val="18"/>
          <w:szCs w:val="18"/>
        </w:rPr>
      </w:pPr>
      <w:r w:rsidRPr="00700FC1">
        <w:rPr>
          <w:sz w:val="18"/>
          <w:szCs w:val="18"/>
        </w:rPr>
        <w:t>\hline</w:t>
      </w:r>
    </w:p>
    <w:p w14:paraId="567ACFB2" w14:textId="77777777" w:rsidR="008A6581" w:rsidRPr="00700FC1" w:rsidRDefault="00000000">
      <w:pPr>
        <w:rPr>
          <w:sz w:val="18"/>
          <w:szCs w:val="18"/>
        </w:rPr>
      </w:pPr>
      <w:r w:rsidRPr="00700FC1">
        <w:rPr>
          <w:sz w:val="18"/>
          <w:szCs w:val="18"/>
        </w:rPr>
        <w:t>\textbf{Mutation} &amp; \textbf{Distance (\AA)} \\</w:t>
      </w:r>
    </w:p>
    <w:p w14:paraId="407EB336" w14:textId="77777777" w:rsidR="008A6581" w:rsidRPr="00700FC1" w:rsidRDefault="00000000">
      <w:pPr>
        <w:rPr>
          <w:sz w:val="18"/>
          <w:szCs w:val="18"/>
        </w:rPr>
      </w:pPr>
      <w:r w:rsidRPr="00700FC1">
        <w:rPr>
          <w:sz w:val="18"/>
          <w:szCs w:val="18"/>
        </w:rPr>
        <w:t>\hline</w:t>
      </w:r>
    </w:p>
    <w:p w14:paraId="57ADE666" w14:textId="77777777" w:rsidR="008A6581" w:rsidRPr="00700FC1" w:rsidRDefault="00000000">
      <w:pPr>
        <w:rPr>
          <w:sz w:val="18"/>
          <w:szCs w:val="18"/>
        </w:rPr>
      </w:pPr>
      <w:r w:rsidRPr="00700FC1">
        <w:rPr>
          <w:sz w:val="18"/>
          <w:szCs w:val="18"/>
        </w:rPr>
        <w:t>C49U   &amp; 0.0 \\</w:t>
      </w:r>
    </w:p>
    <w:p w14:paraId="456CB158" w14:textId="77777777" w:rsidR="008A6581" w:rsidRPr="00700FC1" w:rsidRDefault="00000000">
      <w:pPr>
        <w:rPr>
          <w:sz w:val="18"/>
          <w:szCs w:val="18"/>
        </w:rPr>
      </w:pPr>
      <w:r w:rsidRPr="00700FC1">
        <w:rPr>
          <w:sz w:val="18"/>
          <w:szCs w:val="18"/>
        </w:rPr>
        <w:t>F48Y   &amp; 3.9 \\</w:t>
      </w:r>
    </w:p>
    <w:p w14:paraId="75DC5216" w14:textId="77777777" w:rsidR="008A6581" w:rsidRPr="00700FC1" w:rsidRDefault="00000000">
      <w:pPr>
        <w:rPr>
          <w:sz w:val="18"/>
          <w:szCs w:val="18"/>
        </w:rPr>
      </w:pPr>
      <w:r w:rsidRPr="00700FC1">
        <w:rPr>
          <w:sz w:val="18"/>
          <w:szCs w:val="18"/>
        </w:rPr>
        <w:t>T52A   &amp; 5.2 \\</w:t>
      </w:r>
    </w:p>
    <w:p w14:paraId="2045FD05" w14:textId="77777777" w:rsidR="008A6581" w:rsidRPr="00700FC1" w:rsidRDefault="00000000">
      <w:pPr>
        <w:rPr>
          <w:sz w:val="18"/>
          <w:szCs w:val="18"/>
        </w:rPr>
      </w:pPr>
      <w:r w:rsidRPr="00700FC1">
        <w:rPr>
          <w:sz w:val="18"/>
          <w:szCs w:val="18"/>
        </w:rPr>
        <w:t>S47A   &amp; 5.6 \\</w:t>
      </w:r>
    </w:p>
    <w:p w14:paraId="3808795D" w14:textId="77777777" w:rsidR="008A6581" w:rsidRPr="00700FC1" w:rsidRDefault="00000000">
      <w:pPr>
        <w:rPr>
          <w:sz w:val="18"/>
          <w:szCs w:val="18"/>
          <w:lang w:val="pt-BR"/>
        </w:rPr>
      </w:pPr>
      <w:r w:rsidRPr="00700FC1">
        <w:rPr>
          <w:sz w:val="18"/>
          <w:szCs w:val="18"/>
          <w:lang w:val="pt-BR"/>
        </w:rPr>
        <w:t>R99C   &amp; 9.5 \\</w:t>
      </w:r>
    </w:p>
    <w:p w14:paraId="3824C8BE" w14:textId="77777777" w:rsidR="008A6581" w:rsidRPr="00700FC1" w:rsidRDefault="00000000">
      <w:pPr>
        <w:rPr>
          <w:sz w:val="18"/>
          <w:szCs w:val="18"/>
          <w:lang w:val="pt-BR"/>
        </w:rPr>
      </w:pPr>
      <w:r w:rsidRPr="00700FC1">
        <w:rPr>
          <w:sz w:val="18"/>
          <w:szCs w:val="18"/>
          <w:lang w:val="pt-BR"/>
        </w:rPr>
        <w:t>T54Q   &amp; 10.0 \\</w:t>
      </w:r>
    </w:p>
    <w:p w14:paraId="7635E056" w14:textId="77777777" w:rsidR="008A6581" w:rsidRPr="00700FC1" w:rsidRDefault="00000000">
      <w:pPr>
        <w:rPr>
          <w:sz w:val="18"/>
          <w:szCs w:val="18"/>
          <w:lang w:val="pt-BR"/>
        </w:rPr>
      </w:pPr>
      <w:r w:rsidRPr="00700FC1">
        <w:rPr>
          <w:sz w:val="18"/>
          <w:szCs w:val="18"/>
          <w:lang w:val="pt-BR"/>
        </w:rPr>
        <w:t>H144Q  &amp; 11.6 \\</w:t>
      </w:r>
    </w:p>
    <w:p w14:paraId="0BEC2FBE" w14:textId="77777777" w:rsidR="008A6581" w:rsidRPr="00700FC1" w:rsidRDefault="00000000">
      <w:pPr>
        <w:rPr>
          <w:sz w:val="18"/>
          <w:szCs w:val="18"/>
          <w:lang w:val="pt-BR"/>
        </w:rPr>
      </w:pPr>
      <w:r w:rsidRPr="00700FC1">
        <w:rPr>
          <w:sz w:val="18"/>
          <w:szCs w:val="18"/>
          <w:lang w:val="pt-BR"/>
        </w:rPr>
        <w:t>H177Q  &amp; 11.5 \\</w:t>
      </w:r>
    </w:p>
    <w:p w14:paraId="7EF04018" w14:textId="77777777" w:rsidR="008A6581" w:rsidRPr="00700FC1" w:rsidRDefault="00000000">
      <w:pPr>
        <w:rPr>
          <w:sz w:val="18"/>
          <w:szCs w:val="18"/>
          <w:lang w:val="pt-BR"/>
        </w:rPr>
      </w:pPr>
      <w:r w:rsidRPr="00700FC1">
        <w:rPr>
          <w:sz w:val="18"/>
          <w:szCs w:val="18"/>
          <w:lang w:val="pt-BR"/>
        </w:rPr>
        <w:t>G74A   &amp; 14.3 \\</w:t>
      </w:r>
    </w:p>
    <w:p w14:paraId="61D7E223" w14:textId="77777777" w:rsidR="008A6581" w:rsidRPr="00700FC1" w:rsidRDefault="00000000">
      <w:pPr>
        <w:rPr>
          <w:sz w:val="18"/>
          <w:szCs w:val="18"/>
          <w:lang w:val="pt-BR"/>
        </w:rPr>
      </w:pPr>
      <w:r w:rsidRPr="00700FC1">
        <w:rPr>
          <w:sz w:val="18"/>
          <w:szCs w:val="18"/>
          <w:lang w:val="pt-BR"/>
        </w:rPr>
        <w:t>T178A  &amp; 14.8 \\</w:t>
      </w:r>
    </w:p>
    <w:p w14:paraId="320B37A6" w14:textId="77777777" w:rsidR="008A6581" w:rsidRPr="00700FC1" w:rsidRDefault="00000000">
      <w:pPr>
        <w:rPr>
          <w:sz w:val="18"/>
          <w:szCs w:val="18"/>
          <w:lang w:val="pt-BR"/>
        </w:rPr>
      </w:pPr>
      <w:r w:rsidRPr="00700FC1">
        <w:rPr>
          <w:sz w:val="18"/>
          <w:szCs w:val="18"/>
          <w:lang w:val="pt-BR"/>
        </w:rPr>
        <w:lastRenderedPageBreak/>
        <w:t>E143S  &amp; 15.3 \\</w:t>
      </w:r>
    </w:p>
    <w:p w14:paraId="7362BA76" w14:textId="77777777" w:rsidR="008A6581" w:rsidRPr="00700FC1" w:rsidRDefault="00000000">
      <w:pPr>
        <w:rPr>
          <w:sz w:val="18"/>
          <w:szCs w:val="18"/>
          <w:lang w:val="pt-BR"/>
        </w:rPr>
      </w:pPr>
      <w:r w:rsidRPr="00700FC1">
        <w:rPr>
          <w:sz w:val="18"/>
          <w:szCs w:val="18"/>
          <w:lang w:val="pt-BR"/>
        </w:rPr>
        <w:t>P142S  &amp; 16.4 \\</w:t>
      </w:r>
    </w:p>
    <w:p w14:paraId="2D9834EF" w14:textId="77777777" w:rsidR="008A6581" w:rsidRPr="00700FC1" w:rsidRDefault="00000000">
      <w:pPr>
        <w:rPr>
          <w:sz w:val="18"/>
          <w:szCs w:val="18"/>
          <w:lang w:val="pt-BR"/>
        </w:rPr>
      </w:pPr>
      <w:r w:rsidRPr="00700FC1">
        <w:rPr>
          <w:sz w:val="18"/>
          <w:szCs w:val="18"/>
          <w:lang w:val="pt-BR"/>
        </w:rPr>
        <w:t>F139L  &amp; 16.3 \\</w:t>
      </w:r>
    </w:p>
    <w:p w14:paraId="4333763D" w14:textId="77777777" w:rsidR="008A6581" w:rsidRPr="00700FC1" w:rsidRDefault="00000000">
      <w:pPr>
        <w:rPr>
          <w:sz w:val="18"/>
          <w:szCs w:val="18"/>
          <w:lang w:val="pt-BR"/>
        </w:rPr>
      </w:pPr>
      <w:r w:rsidRPr="00700FC1">
        <w:rPr>
          <w:sz w:val="18"/>
          <w:szCs w:val="18"/>
          <w:lang w:val="pt-BR"/>
        </w:rPr>
        <w:t>K87T   &amp; 16.4 \\</w:t>
      </w:r>
    </w:p>
    <w:p w14:paraId="284BCB97" w14:textId="77777777" w:rsidR="008A6581" w:rsidRPr="00700FC1" w:rsidRDefault="00000000">
      <w:pPr>
        <w:rPr>
          <w:sz w:val="18"/>
          <w:szCs w:val="18"/>
          <w:lang w:val="pt-BR"/>
        </w:rPr>
      </w:pPr>
      <w:r w:rsidRPr="00700FC1">
        <w:rPr>
          <w:sz w:val="18"/>
          <w:szCs w:val="18"/>
          <w:lang w:val="pt-BR"/>
        </w:rPr>
        <w:t>Y104F  &amp; 16.1 \\</w:t>
      </w:r>
    </w:p>
    <w:p w14:paraId="7ECE39FE" w14:textId="77777777" w:rsidR="008A6581" w:rsidRPr="00700FC1" w:rsidRDefault="00000000">
      <w:pPr>
        <w:rPr>
          <w:sz w:val="18"/>
          <w:szCs w:val="18"/>
          <w:lang w:val="pt-BR"/>
        </w:rPr>
      </w:pPr>
      <w:r w:rsidRPr="00700FC1">
        <w:rPr>
          <w:sz w:val="18"/>
          <w:szCs w:val="18"/>
          <w:lang w:val="pt-BR"/>
        </w:rPr>
        <w:t>G102S  &amp; 16.8 \\</w:t>
      </w:r>
    </w:p>
    <w:p w14:paraId="4893B2D2" w14:textId="77777777" w:rsidR="008A6581" w:rsidRPr="00700FC1" w:rsidRDefault="00000000">
      <w:pPr>
        <w:rPr>
          <w:sz w:val="18"/>
          <w:szCs w:val="18"/>
          <w:lang w:val="pt-BR"/>
        </w:rPr>
      </w:pPr>
      <w:r w:rsidRPr="00700FC1">
        <w:rPr>
          <w:sz w:val="18"/>
          <w:szCs w:val="18"/>
          <w:lang w:val="pt-BR"/>
        </w:rPr>
        <w:t>L24I   &amp; 18.7 \\</w:t>
      </w:r>
    </w:p>
    <w:p w14:paraId="653FEB58" w14:textId="77777777" w:rsidR="008A6581" w:rsidRPr="00700FC1" w:rsidRDefault="00000000">
      <w:pPr>
        <w:rPr>
          <w:sz w:val="18"/>
          <w:szCs w:val="18"/>
          <w:lang w:val="pt-BR"/>
        </w:rPr>
      </w:pPr>
      <w:r w:rsidRPr="00700FC1">
        <w:rPr>
          <w:sz w:val="18"/>
          <w:szCs w:val="18"/>
          <w:lang w:val="pt-BR"/>
        </w:rPr>
        <w:t>T60A   &amp; 19.1 \\</w:t>
      </w:r>
    </w:p>
    <w:p w14:paraId="60346CA1" w14:textId="77777777" w:rsidR="008A6581" w:rsidRPr="00700FC1" w:rsidRDefault="00000000">
      <w:pPr>
        <w:rPr>
          <w:sz w:val="18"/>
          <w:szCs w:val="18"/>
          <w:lang w:val="pt-BR"/>
        </w:rPr>
      </w:pPr>
      <w:r w:rsidRPr="00700FC1">
        <w:rPr>
          <w:sz w:val="18"/>
          <w:szCs w:val="18"/>
          <w:lang w:val="pt-BR"/>
        </w:rPr>
        <w:t>S4R    &amp; 19.6 \\</w:t>
      </w:r>
    </w:p>
    <w:p w14:paraId="56383846" w14:textId="77777777" w:rsidR="008A6581" w:rsidRPr="00700FC1" w:rsidRDefault="00000000">
      <w:pPr>
        <w:rPr>
          <w:sz w:val="18"/>
          <w:szCs w:val="18"/>
          <w:lang w:val="pt-BR"/>
        </w:rPr>
      </w:pPr>
      <w:r w:rsidRPr="00700FC1">
        <w:rPr>
          <w:sz w:val="18"/>
          <w:szCs w:val="18"/>
          <w:lang w:val="pt-BR"/>
        </w:rPr>
        <w:t>N107S  &amp; 19.8 \\</w:t>
      </w:r>
    </w:p>
    <w:p w14:paraId="45D3C2D3" w14:textId="77777777" w:rsidR="008A6581" w:rsidRPr="00700FC1" w:rsidRDefault="00000000">
      <w:pPr>
        <w:rPr>
          <w:sz w:val="18"/>
          <w:szCs w:val="18"/>
          <w:lang w:val="pt-BR"/>
        </w:rPr>
      </w:pPr>
      <w:r w:rsidRPr="00700FC1">
        <w:rPr>
          <w:sz w:val="18"/>
          <w:szCs w:val="18"/>
          <w:lang w:val="pt-BR"/>
        </w:rPr>
        <w:t>R181S  &amp; 19.5 \\</w:t>
      </w:r>
    </w:p>
    <w:p w14:paraId="67E5F9FB" w14:textId="77777777" w:rsidR="008A6581" w:rsidRPr="00700FC1" w:rsidRDefault="00000000">
      <w:pPr>
        <w:rPr>
          <w:sz w:val="18"/>
          <w:szCs w:val="18"/>
          <w:lang w:val="pt-BR"/>
        </w:rPr>
      </w:pPr>
      <w:r w:rsidRPr="00700FC1">
        <w:rPr>
          <w:sz w:val="18"/>
          <w:szCs w:val="18"/>
          <w:lang w:val="pt-BR"/>
        </w:rPr>
        <w:t>\hline</w:t>
      </w:r>
    </w:p>
    <w:p w14:paraId="7CB41082" w14:textId="76BC8453" w:rsidR="008A6581" w:rsidRPr="00700FC1" w:rsidRDefault="00000000">
      <w:pPr>
        <w:rPr>
          <w:sz w:val="18"/>
          <w:szCs w:val="18"/>
          <w:lang w:val="pt-BR"/>
        </w:rPr>
      </w:pPr>
      <w:r w:rsidRPr="00700FC1">
        <w:rPr>
          <w:sz w:val="18"/>
          <w:szCs w:val="18"/>
          <w:lang w:val="pt-BR"/>
        </w:rPr>
        <w:t>\end{tabular}</w:t>
      </w:r>
    </w:p>
    <w:p w14:paraId="12C6BC6A" w14:textId="451F556D" w:rsidR="008A6581" w:rsidRPr="00700FC1" w:rsidRDefault="00000000">
      <w:pPr>
        <w:rPr>
          <w:sz w:val="18"/>
          <w:szCs w:val="18"/>
        </w:rPr>
      </w:pPr>
      <w:r w:rsidRPr="00700FC1">
        <w:rPr>
          <w:sz w:val="18"/>
          <w:szCs w:val="18"/>
        </w:rPr>
        <w:t>\end{table}</w:t>
      </w:r>
    </w:p>
    <w:p w14:paraId="6A0D5663" w14:textId="5ABCD474" w:rsidR="00EC6897" w:rsidRPr="00A86D7D" w:rsidRDefault="00A86D7D">
      <w:pPr>
        <w:rPr>
          <w:b/>
          <w:bCs/>
          <w:sz w:val="18"/>
          <w:szCs w:val="18"/>
        </w:rPr>
      </w:pPr>
      <w:r>
        <w:rPr>
          <w:sz w:val="18"/>
          <w:szCs w:val="18"/>
        </w:rPr>
        <w:br/>
      </w:r>
      <w:r w:rsidRPr="00A86D7D">
        <w:rPr>
          <w:b/>
          <w:bCs/>
          <w:sz w:val="18"/>
          <w:szCs w:val="18"/>
        </w:rPr>
        <w:t>HUMAN</w:t>
      </w:r>
    </w:p>
    <w:p w14:paraId="6D36FA55" w14:textId="77777777" w:rsidR="008A6581" w:rsidRPr="00700FC1" w:rsidRDefault="00000000">
      <w:pPr>
        <w:rPr>
          <w:sz w:val="18"/>
          <w:szCs w:val="18"/>
        </w:rPr>
      </w:pPr>
      <w:r w:rsidRPr="00700FC1">
        <w:rPr>
          <w:sz w:val="18"/>
          <w:szCs w:val="18"/>
        </w:rPr>
        <w:t>\begin{table}[htbp]</w:t>
      </w:r>
    </w:p>
    <w:p w14:paraId="712E882F" w14:textId="77777777" w:rsidR="008A6581" w:rsidRPr="00700FC1" w:rsidRDefault="00000000">
      <w:pPr>
        <w:rPr>
          <w:sz w:val="18"/>
          <w:szCs w:val="18"/>
        </w:rPr>
      </w:pPr>
      <w:r w:rsidRPr="00700FC1">
        <w:rPr>
          <w:sz w:val="18"/>
          <w:szCs w:val="18"/>
        </w:rPr>
        <w:t>\centering</w:t>
      </w:r>
    </w:p>
    <w:p w14:paraId="0B0D2703" w14:textId="7304CC87" w:rsidR="00EC6897" w:rsidRPr="00700FC1" w:rsidRDefault="00EC6897" w:rsidP="00EC6897">
      <w:pPr>
        <w:rPr>
          <w:sz w:val="18"/>
          <w:szCs w:val="18"/>
        </w:rPr>
      </w:pPr>
      <w:r w:rsidRPr="00700FC1">
        <w:rPr>
          <w:sz w:val="18"/>
          <w:szCs w:val="18"/>
        </w:rPr>
        <w:t>\caption{Human mutations and corresponding distances from residue 49}</w:t>
      </w:r>
    </w:p>
    <w:p w14:paraId="1B65375F" w14:textId="77777777" w:rsidR="008A6581" w:rsidRPr="00700FC1" w:rsidRDefault="00000000">
      <w:pPr>
        <w:rPr>
          <w:sz w:val="18"/>
          <w:szCs w:val="18"/>
        </w:rPr>
      </w:pPr>
      <w:r w:rsidRPr="00700FC1">
        <w:rPr>
          <w:sz w:val="18"/>
          <w:szCs w:val="18"/>
        </w:rPr>
        <w:t>\label{tab:human_mutation_distance}</w:t>
      </w:r>
    </w:p>
    <w:p w14:paraId="1509E61F" w14:textId="77777777" w:rsidR="008A6581" w:rsidRPr="00700FC1" w:rsidRDefault="00000000">
      <w:pPr>
        <w:rPr>
          <w:sz w:val="18"/>
          <w:szCs w:val="18"/>
        </w:rPr>
      </w:pPr>
      <w:r w:rsidRPr="00700FC1">
        <w:rPr>
          <w:sz w:val="18"/>
          <w:szCs w:val="18"/>
        </w:rPr>
        <w:t>\begin{tabular}{lc}</w:t>
      </w:r>
    </w:p>
    <w:p w14:paraId="37CDE5FD" w14:textId="77777777" w:rsidR="008A6581" w:rsidRPr="00700FC1" w:rsidRDefault="00000000">
      <w:pPr>
        <w:rPr>
          <w:sz w:val="18"/>
          <w:szCs w:val="18"/>
        </w:rPr>
      </w:pPr>
      <w:r w:rsidRPr="00700FC1">
        <w:rPr>
          <w:sz w:val="18"/>
          <w:szCs w:val="18"/>
        </w:rPr>
        <w:t>\hline</w:t>
      </w:r>
    </w:p>
    <w:p w14:paraId="70FCF39F" w14:textId="77777777" w:rsidR="008A6581" w:rsidRPr="00700FC1" w:rsidRDefault="00000000">
      <w:pPr>
        <w:rPr>
          <w:sz w:val="18"/>
          <w:szCs w:val="18"/>
        </w:rPr>
      </w:pPr>
      <w:r w:rsidRPr="00700FC1">
        <w:rPr>
          <w:sz w:val="18"/>
          <w:szCs w:val="18"/>
        </w:rPr>
        <w:t>\textbf{Mutation} &amp; \textbf{Distance (\AA)} \\</w:t>
      </w:r>
    </w:p>
    <w:p w14:paraId="331B1D5D" w14:textId="77777777" w:rsidR="008A6581" w:rsidRPr="00700FC1" w:rsidRDefault="00000000">
      <w:pPr>
        <w:rPr>
          <w:sz w:val="18"/>
          <w:szCs w:val="18"/>
        </w:rPr>
      </w:pPr>
      <w:r w:rsidRPr="00700FC1">
        <w:rPr>
          <w:sz w:val="18"/>
          <w:szCs w:val="18"/>
        </w:rPr>
        <w:t>\hline</w:t>
      </w:r>
    </w:p>
    <w:p w14:paraId="32424357" w14:textId="77777777" w:rsidR="008A6581" w:rsidRPr="00700FC1" w:rsidRDefault="00000000">
      <w:pPr>
        <w:rPr>
          <w:sz w:val="18"/>
          <w:szCs w:val="18"/>
        </w:rPr>
      </w:pPr>
      <w:r w:rsidRPr="00700FC1">
        <w:rPr>
          <w:sz w:val="18"/>
          <w:szCs w:val="18"/>
        </w:rPr>
        <w:t>U49C   &amp; 0.0 \\</w:t>
      </w:r>
    </w:p>
    <w:p w14:paraId="331E302E" w14:textId="77777777" w:rsidR="008A6581" w:rsidRPr="00700FC1" w:rsidRDefault="00000000">
      <w:pPr>
        <w:rPr>
          <w:sz w:val="18"/>
          <w:szCs w:val="18"/>
        </w:rPr>
      </w:pPr>
      <w:r w:rsidRPr="00700FC1">
        <w:rPr>
          <w:sz w:val="18"/>
          <w:szCs w:val="18"/>
        </w:rPr>
        <w:t>Y48F   &amp; 3.8 \\</w:t>
      </w:r>
    </w:p>
    <w:p w14:paraId="282B2ACE" w14:textId="77777777" w:rsidR="008A6581" w:rsidRPr="00700FC1" w:rsidRDefault="00000000">
      <w:pPr>
        <w:rPr>
          <w:sz w:val="18"/>
          <w:szCs w:val="18"/>
        </w:rPr>
      </w:pPr>
      <w:r w:rsidRPr="00700FC1">
        <w:rPr>
          <w:sz w:val="18"/>
          <w:szCs w:val="18"/>
        </w:rPr>
        <w:t>A52T   &amp; 5.5 \\</w:t>
      </w:r>
    </w:p>
    <w:p w14:paraId="1B15EF5D" w14:textId="77777777" w:rsidR="008A6581" w:rsidRPr="00700FC1" w:rsidRDefault="00000000">
      <w:pPr>
        <w:rPr>
          <w:sz w:val="18"/>
          <w:szCs w:val="18"/>
        </w:rPr>
      </w:pPr>
      <w:r w:rsidRPr="00700FC1">
        <w:rPr>
          <w:sz w:val="18"/>
          <w:szCs w:val="18"/>
        </w:rPr>
        <w:t>A47S   &amp; 5.6 \\</w:t>
      </w:r>
    </w:p>
    <w:p w14:paraId="338C840C" w14:textId="77777777" w:rsidR="008A6581" w:rsidRPr="00700FC1" w:rsidRDefault="00000000">
      <w:pPr>
        <w:rPr>
          <w:sz w:val="18"/>
          <w:szCs w:val="18"/>
          <w:lang w:val="pt-BR"/>
        </w:rPr>
      </w:pPr>
      <w:r w:rsidRPr="00700FC1">
        <w:rPr>
          <w:sz w:val="18"/>
          <w:szCs w:val="18"/>
          <w:lang w:val="pt-BR"/>
        </w:rPr>
        <w:t>Q54T   &amp; 10.4 \\</w:t>
      </w:r>
    </w:p>
    <w:p w14:paraId="30B2A238" w14:textId="77777777" w:rsidR="008A6581" w:rsidRPr="00700FC1" w:rsidRDefault="00000000">
      <w:pPr>
        <w:rPr>
          <w:sz w:val="18"/>
          <w:szCs w:val="18"/>
          <w:lang w:val="pt-BR"/>
        </w:rPr>
      </w:pPr>
      <w:r w:rsidRPr="00700FC1">
        <w:rPr>
          <w:sz w:val="18"/>
          <w:szCs w:val="18"/>
          <w:lang w:val="pt-BR"/>
        </w:rPr>
        <w:t>C99R   &amp; 9.7 \\</w:t>
      </w:r>
    </w:p>
    <w:p w14:paraId="5005FA5C" w14:textId="77777777" w:rsidR="008A6581" w:rsidRPr="00700FC1" w:rsidRDefault="00000000">
      <w:pPr>
        <w:rPr>
          <w:sz w:val="18"/>
          <w:szCs w:val="18"/>
          <w:lang w:val="pt-BR"/>
        </w:rPr>
      </w:pPr>
      <w:r w:rsidRPr="00700FC1">
        <w:rPr>
          <w:sz w:val="18"/>
          <w:szCs w:val="18"/>
          <w:lang w:val="pt-BR"/>
        </w:rPr>
        <w:t>Q144H  &amp; 11.5 \\</w:t>
      </w:r>
    </w:p>
    <w:p w14:paraId="10628839" w14:textId="77777777" w:rsidR="008A6581" w:rsidRPr="00700FC1" w:rsidRDefault="00000000">
      <w:pPr>
        <w:rPr>
          <w:sz w:val="18"/>
          <w:szCs w:val="18"/>
          <w:lang w:val="pt-BR"/>
        </w:rPr>
      </w:pPr>
      <w:r w:rsidRPr="00700FC1">
        <w:rPr>
          <w:sz w:val="18"/>
          <w:szCs w:val="18"/>
          <w:lang w:val="pt-BR"/>
        </w:rPr>
        <w:t>Q177H  &amp; 11.5 \\</w:t>
      </w:r>
    </w:p>
    <w:p w14:paraId="2F109C4B" w14:textId="77777777" w:rsidR="008A6581" w:rsidRPr="00700FC1" w:rsidRDefault="00000000">
      <w:pPr>
        <w:rPr>
          <w:sz w:val="18"/>
          <w:szCs w:val="18"/>
          <w:lang w:val="pt-BR"/>
        </w:rPr>
      </w:pPr>
      <w:r w:rsidRPr="00700FC1">
        <w:rPr>
          <w:sz w:val="18"/>
          <w:szCs w:val="18"/>
          <w:lang w:val="pt-BR"/>
        </w:rPr>
        <w:t>A178T  &amp; 14.2 \\</w:t>
      </w:r>
    </w:p>
    <w:p w14:paraId="2B48BBD2" w14:textId="77777777" w:rsidR="008A6581" w:rsidRPr="00700FC1" w:rsidRDefault="00000000">
      <w:pPr>
        <w:rPr>
          <w:sz w:val="18"/>
          <w:szCs w:val="18"/>
          <w:lang w:val="pt-BR"/>
        </w:rPr>
      </w:pPr>
      <w:r w:rsidRPr="00700FC1">
        <w:rPr>
          <w:sz w:val="18"/>
          <w:szCs w:val="18"/>
          <w:lang w:val="pt-BR"/>
        </w:rPr>
        <w:t>T87K   &amp; 16.8 \\</w:t>
      </w:r>
    </w:p>
    <w:p w14:paraId="205A2136" w14:textId="77777777" w:rsidR="008A6581" w:rsidRPr="00700FC1" w:rsidRDefault="00000000">
      <w:pPr>
        <w:rPr>
          <w:sz w:val="18"/>
          <w:szCs w:val="18"/>
          <w:lang w:val="pt-BR"/>
        </w:rPr>
      </w:pPr>
      <w:r w:rsidRPr="00700FC1">
        <w:rPr>
          <w:sz w:val="18"/>
          <w:szCs w:val="18"/>
          <w:lang w:val="pt-BR"/>
        </w:rPr>
        <w:t>A74G   &amp; 14.6 \\</w:t>
      </w:r>
    </w:p>
    <w:p w14:paraId="3CB8D7C1" w14:textId="77777777" w:rsidR="008A6581" w:rsidRPr="00700FC1" w:rsidRDefault="00000000">
      <w:pPr>
        <w:rPr>
          <w:sz w:val="18"/>
          <w:szCs w:val="18"/>
          <w:lang w:val="pt-BR"/>
        </w:rPr>
      </w:pPr>
      <w:r w:rsidRPr="00700FC1">
        <w:rPr>
          <w:sz w:val="18"/>
          <w:szCs w:val="18"/>
          <w:lang w:val="pt-BR"/>
        </w:rPr>
        <w:lastRenderedPageBreak/>
        <w:t>S143E  &amp; 15.1 \\</w:t>
      </w:r>
    </w:p>
    <w:p w14:paraId="1A39D75D" w14:textId="77777777" w:rsidR="008A6581" w:rsidRPr="00700FC1" w:rsidRDefault="00000000">
      <w:pPr>
        <w:rPr>
          <w:sz w:val="18"/>
          <w:szCs w:val="18"/>
          <w:lang w:val="pt-BR"/>
        </w:rPr>
      </w:pPr>
      <w:r w:rsidRPr="00700FC1">
        <w:rPr>
          <w:sz w:val="18"/>
          <w:szCs w:val="18"/>
          <w:lang w:val="pt-BR"/>
        </w:rPr>
        <w:t>S142P  &amp; 16.6 \\</w:t>
      </w:r>
    </w:p>
    <w:p w14:paraId="3807D2DE" w14:textId="77777777" w:rsidR="008A6581" w:rsidRPr="00700FC1" w:rsidRDefault="00000000">
      <w:pPr>
        <w:rPr>
          <w:sz w:val="18"/>
          <w:szCs w:val="18"/>
          <w:lang w:val="pt-BR"/>
        </w:rPr>
      </w:pPr>
      <w:r w:rsidRPr="00700FC1">
        <w:rPr>
          <w:sz w:val="18"/>
          <w:szCs w:val="18"/>
          <w:lang w:val="pt-BR"/>
        </w:rPr>
        <w:t>N3K    &amp; 17.7 \\</w:t>
      </w:r>
    </w:p>
    <w:p w14:paraId="1F315E73" w14:textId="77777777" w:rsidR="008A6581" w:rsidRPr="00700FC1" w:rsidRDefault="00000000">
      <w:pPr>
        <w:rPr>
          <w:sz w:val="18"/>
          <w:szCs w:val="18"/>
          <w:lang w:val="pt-BR"/>
        </w:rPr>
      </w:pPr>
      <w:r w:rsidRPr="00700FC1">
        <w:rPr>
          <w:sz w:val="18"/>
          <w:szCs w:val="18"/>
          <w:lang w:val="pt-BR"/>
        </w:rPr>
        <w:t>L139F  &amp; 16.5 \\</w:t>
      </w:r>
    </w:p>
    <w:p w14:paraId="44012669" w14:textId="77777777" w:rsidR="008A6581" w:rsidRPr="00700FC1" w:rsidRDefault="00000000">
      <w:pPr>
        <w:rPr>
          <w:sz w:val="18"/>
          <w:szCs w:val="18"/>
          <w:lang w:val="pt-BR"/>
        </w:rPr>
      </w:pPr>
      <w:r w:rsidRPr="00700FC1">
        <w:rPr>
          <w:sz w:val="18"/>
          <w:szCs w:val="18"/>
          <w:lang w:val="pt-BR"/>
        </w:rPr>
        <w:t>F104Y  &amp; 17.1 \\</w:t>
      </w:r>
    </w:p>
    <w:p w14:paraId="7B2B72AB" w14:textId="77777777" w:rsidR="008A6581" w:rsidRPr="00700FC1" w:rsidRDefault="00000000">
      <w:pPr>
        <w:rPr>
          <w:sz w:val="18"/>
          <w:szCs w:val="18"/>
          <w:lang w:val="pt-BR"/>
        </w:rPr>
      </w:pPr>
      <w:r w:rsidRPr="00700FC1">
        <w:rPr>
          <w:sz w:val="18"/>
          <w:szCs w:val="18"/>
          <w:lang w:val="pt-BR"/>
        </w:rPr>
        <w:t>A60T   &amp; 19.8 \\</w:t>
      </w:r>
    </w:p>
    <w:p w14:paraId="4CDAF2DF" w14:textId="77777777" w:rsidR="008A6581" w:rsidRPr="00700FC1" w:rsidRDefault="00000000">
      <w:pPr>
        <w:rPr>
          <w:sz w:val="18"/>
          <w:szCs w:val="18"/>
          <w:lang w:val="pt-BR"/>
        </w:rPr>
      </w:pPr>
      <w:r w:rsidRPr="00700FC1">
        <w:rPr>
          <w:sz w:val="18"/>
          <w:szCs w:val="18"/>
          <w:lang w:val="pt-BR"/>
        </w:rPr>
        <w:t>L24I   &amp; 18.5 \\</w:t>
      </w:r>
    </w:p>
    <w:p w14:paraId="06A42C75" w14:textId="77777777" w:rsidR="008A6581" w:rsidRPr="00700FC1" w:rsidRDefault="00000000">
      <w:pPr>
        <w:rPr>
          <w:sz w:val="18"/>
          <w:szCs w:val="18"/>
          <w:lang w:val="pt-BR"/>
        </w:rPr>
      </w:pPr>
      <w:r w:rsidRPr="00700FC1">
        <w:rPr>
          <w:sz w:val="18"/>
          <w:szCs w:val="18"/>
          <w:lang w:val="pt-BR"/>
        </w:rPr>
        <w:t>S102G  &amp; 18.1 \\</w:t>
      </w:r>
    </w:p>
    <w:p w14:paraId="634A3701" w14:textId="77777777" w:rsidR="008A6581" w:rsidRPr="00700FC1" w:rsidRDefault="00000000">
      <w:pPr>
        <w:rPr>
          <w:sz w:val="18"/>
          <w:szCs w:val="18"/>
          <w:lang w:val="pt-BR"/>
        </w:rPr>
      </w:pPr>
      <w:r w:rsidRPr="00700FC1">
        <w:rPr>
          <w:sz w:val="18"/>
          <w:szCs w:val="18"/>
          <w:lang w:val="pt-BR"/>
        </w:rPr>
        <w:t>H173R  &amp; 19.6 \\</w:t>
      </w:r>
    </w:p>
    <w:p w14:paraId="312D0B8A" w14:textId="77777777" w:rsidR="008A6581" w:rsidRPr="00700FC1" w:rsidRDefault="00000000">
      <w:pPr>
        <w:rPr>
          <w:sz w:val="18"/>
          <w:szCs w:val="18"/>
        </w:rPr>
      </w:pPr>
      <w:r w:rsidRPr="00700FC1">
        <w:rPr>
          <w:sz w:val="18"/>
          <w:szCs w:val="18"/>
        </w:rPr>
        <w:t>S181R  &amp; 19.2 \\</w:t>
      </w:r>
    </w:p>
    <w:p w14:paraId="28206F5F" w14:textId="77777777" w:rsidR="008A6581" w:rsidRPr="00700FC1" w:rsidRDefault="00000000">
      <w:pPr>
        <w:rPr>
          <w:sz w:val="18"/>
          <w:szCs w:val="18"/>
        </w:rPr>
      </w:pPr>
      <w:r w:rsidRPr="00700FC1">
        <w:rPr>
          <w:sz w:val="18"/>
          <w:szCs w:val="18"/>
        </w:rPr>
        <w:t>\hline</w:t>
      </w:r>
    </w:p>
    <w:p w14:paraId="7F5D58DD" w14:textId="77777777" w:rsidR="008A6581" w:rsidRPr="00700FC1" w:rsidRDefault="00000000">
      <w:pPr>
        <w:rPr>
          <w:sz w:val="18"/>
          <w:szCs w:val="18"/>
        </w:rPr>
      </w:pPr>
      <w:r w:rsidRPr="00700FC1">
        <w:rPr>
          <w:sz w:val="18"/>
          <w:szCs w:val="18"/>
        </w:rPr>
        <w:t>\end{tabular}</w:t>
      </w:r>
    </w:p>
    <w:p w14:paraId="3B270FD2" w14:textId="77777777" w:rsidR="008A6581" w:rsidRPr="00700FC1" w:rsidRDefault="00000000">
      <w:pPr>
        <w:rPr>
          <w:sz w:val="18"/>
          <w:szCs w:val="18"/>
        </w:rPr>
      </w:pPr>
      <w:r w:rsidRPr="00700FC1">
        <w:rPr>
          <w:sz w:val="18"/>
          <w:szCs w:val="18"/>
        </w:rPr>
        <w:t>\end{table}</w:t>
      </w:r>
    </w:p>
    <w:p w14:paraId="11421B2C" w14:textId="77777777" w:rsidR="00700FC1" w:rsidRDefault="00700FC1"/>
    <w:p w14:paraId="5824DE41" w14:textId="587B33C9" w:rsidR="00EC6897" w:rsidRDefault="00000000">
      <w:pPr>
        <w:rPr>
          <w:b/>
          <w:bCs/>
          <w:lang w:val="en-US"/>
        </w:rPr>
      </w:pPr>
      <w:r>
        <w:rPr>
          <w:b/>
          <w:bCs/>
          <w:lang w:val="en-US"/>
        </w:rPr>
        <w:t>CAPTIONS</w:t>
      </w:r>
    </w:p>
    <w:p w14:paraId="4C9B4B57" w14:textId="2D1945B6" w:rsidR="008F6FF9" w:rsidRDefault="00EC6897">
      <w:pPr>
        <w:rPr>
          <w:lang w:val="en-US"/>
        </w:rPr>
      </w:pPr>
      <w:r w:rsidRPr="00EC6897">
        <w:rPr>
          <w:lang w:val="en-US"/>
        </w:rPr>
        <w:t>Fig1.</w:t>
      </w:r>
      <w:r w:rsidR="000D7327">
        <w:rPr>
          <w:lang w:val="en-US"/>
        </w:rPr>
        <w:t xml:space="preserve"> </w:t>
      </w:r>
      <w:r w:rsidR="000D7327" w:rsidRPr="000D7327">
        <w:rPr>
          <w:lang w:val="en-US"/>
        </w:rPr>
        <w:t>\caption{\textbf{Catalytic cycle and proposed reaction mechanisms of Sec-GPX6.} \textbf{(a)} Overall catalytic cycle illustrating the interconversion of selenium redox states during the reduction of H$_2$O$_2$. The catalytic intermediates include selenol (SeH, \textbf{I}), selenolate (Se$^{-}$, \textbf{II}), selenenic acid (SeOH, \textbf{III}), and selenosulfide (Se--SG, \textbf{IV}). Glutathione (GSH) functions as the reducing cosubstrate, whereas H$_2$O$_2$ acts as the oxidizing substrate. \textbf{(b)} Comparison of the stepwise and concerted pathways for H$_2$O$_2$ reduction. In the stepwise mechanism, oxidation proceeds from the reactant state (\textbf{I}) via transition states TS I--II and TS II--III, involving a transient selenolate intermediate (\textbf{II}), to yield the selenenic acid product (\textbf{III}). In the concerted mechanism, the reactant state (\textbf{I}) is converted directly to the product state (\textbf{III}) through a single transition state (TS I--III), without formation of a stable intermediate.}</w:t>
      </w:r>
      <w:r w:rsidR="000D7327">
        <w:rPr>
          <w:lang w:val="en-US"/>
        </w:rPr>
        <w:br/>
      </w:r>
      <w:r w:rsidR="000D7327">
        <w:rPr>
          <w:lang w:val="en-US"/>
        </w:rPr>
        <w:br/>
      </w:r>
      <w:r w:rsidR="008F6FF9">
        <w:rPr>
          <w:lang w:val="en-US"/>
        </w:rPr>
        <w:t xml:space="preserve">Fig2. </w:t>
      </w:r>
      <w:r w:rsidR="008F6FF9" w:rsidRPr="008F6FF9">
        <w:rPr>
          <w:lang w:val="en-US"/>
        </w:rPr>
        <w:t>\caption{\textbf{Three-dimensional structure of GPX6} shown in cartoon representation, with the substitution sites analyzed in this study highlighted in yellow. These sites were selected based on their distance from the active-site chalcogen, ranging from proximal positions to residues located up to 20~\AA\ away. The overall structure illustrates the spatial organization surrounding the catalytic core, while the inset provides an enlarged view of the reaction site</w:t>
      </w:r>
      <w:r w:rsidR="008F6FF9">
        <w:rPr>
          <w:lang w:val="en-US"/>
        </w:rPr>
        <w:t>.</w:t>
      </w:r>
      <w:r w:rsidR="008F6FF9" w:rsidRPr="008F6FF9">
        <w:rPr>
          <w:lang w:val="en-US"/>
        </w:rPr>
        <w:t>}</w:t>
      </w:r>
    </w:p>
    <w:p w14:paraId="598C01D0" w14:textId="77777777" w:rsidR="008F6FF9" w:rsidRDefault="008F6FF9">
      <w:pPr>
        <w:rPr>
          <w:lang w:val="en-US"/>
        </w:rPr>
      </w:pPr>
    </w:p>
    <w:p w14:paraId="47073A65" w14:textId="7B5819D7" w:rsidR="008F6FF9" w:rsidRDefault="008F6FF9">
      <w:pPr>
        <w:rPr>
          <w:lang w:val="en-US"/>
        </w:rPr>
      </w:pPr>
      <w:r>
        <w:rPr>
          <w:lang w:val="en-US"/>
        </w:rPr>
        <w:t xml:space="preserve">Fig4. </w:t>
      </w:r>
      <w:r w:rsidRPr="008F6FF9">
        <w:rPr>
          <w:lang w:val="en-US"/>
        </w:rPr>
        <w:t>\caption{\textbf{Cumulative free-energy changes along the greedy GPX6 substitution pathways.} Heatmaps show changes in activation free energy ($\Delta G^{\ddagger}$) and reaction free energy ($\Delta G^\circ$) as substitutions are added along the mouse-to-human and human-to-mouse trajectories. Columns correspond to successive mutational levels, rows correspond to individual substitutions tracked across the trajectory, negative values indicate stabilization, and positive values indicate destabilization relative to the corresponding catalytic-residue-swapped background</w:t>
      </w:r>
      <w:r>
        <w:rPr>
          <w:lang w:val="en-US"/>
        </w:rPr>
        <w:t xml:space="preserve">, </w:t>
      </w:r>
      <w:r w:rsidRPr="008F6FF9">
        <w:t>colors denote distance from catalytic residue 49</w:t>
      </w:r>
      <w:r>
        <w:t>.</w:t>
      </w:r>
      <w:r w:rsidRPr="008F6FF9">
        <w:rPr>
          <w:lang w:val="en-US"/>
        </w:rPr>
        <w:t>}</w:t>
      </w:r>
    </w:p>
    <w:p w14:paraId="192180AB" w14:textId="77777777" w:rsidR="008F6FF9" w:rsidRDefault="008F6FF9">
      <w:pPr>
        <w:rPr>
          <w:lang w:val="en-US"/>
        </w:rPr>
      </w:pPr>
    </w:p>
    <w:p w14:paraId="215FD51A" w14:textId="7957B719" w:rsidR="008F6FF9" w:rsidRDefault="008F6FF9">
      <w:pPr>
        <w:rPr>
          <w:lang w:val="en-US"/>
        </w:rPr>
      </w:pPr>
      <w:r>
        <w:rPr>
          <w:lang w:val="en-US"/>
        </w:rPr>
        <w:t xml:space="preserve">Fig5. </w:t>
      </w:r>
      <w:r w:rsidRPr="008F6FF9">
        <w:rPr>
          <w:lang w:val="en-US"/>
        </w:rPr>
        <w:t>\caption{\textbf{Linear free-energy relationships for mouse and human GPX6 variants.} Each panel correlates the change in reaction free energy ($\Delta G^\circ$) with the change in activation free energy ($\Delta G^{\ddagger}$). Grey points represent individual simulation replicas, colored points show mutation averages with standard errors, colors denote distance from catalytic residue 49, and the red line shows the linear regression fit. The correlations are moderate in both homologs ($R^2 = 0.51$ for mouse and $R^2 = 0.54$ for human), indicating that thermodynamic perturbations are partly, but not completely, propagated into the catalytic barrier.}</w:t>
      </w:r>
    </w:p>
    <w:p w14:paraId="2A463286" w14:textId="77777777" w:rsidR="00BA4FC2" w:rsidRDefault="00BA4FC2">
      <w:pPr>
        <w:rPr>
          <w:lang w:val="en-US"/>
        </w:rPr>
      </w:pPr>
    </w:p>
    <w:p w14:paraId="3401F14E" w14:textId="097E990A" w:rsidR="00BA4FC2" w:rsidRDefault="008F6FF9">
      <w:pPr>
        <w:rPr>
          <w:lang w:val="en-US"/>
        </w:rPr>
      </w:pPr>
      <w:r>
        <w:rPr>
          <w:lang w:val="en-US"/>
        </w:rPr>
        <w:t>Fig6.</w:t>
      </w:r>
      <w:r w:rsidR="008627FD" w:rsidRPr="008627FD">
        <w:rPr>
          <w:lang w:val="en-US"/>
        </w:rPr>
        <w:t>\caption{Activation free-energy ($\Delta G^\ddagger$) profile along the human-to-mouse mutational pathway</w:t>
      </w:r>
      <w:r w:rsidR="008627FD">
        <w:rPr>
          <w:lang w:val="en-US"/>
        </w:rPr>
        <w:t xml:space="preserve"> showing free energy fluctuations</w:t>
      </w:r>
      <w:r w:rsidR="008627FD" w:rsidRPr="008627FD">
        <w:rPr>
          <w:lang w:val="en-US"/>
        </w:rPr>
        <w:t xml:space="preserve"> </w:t>
      </w:r>
      <w:r w:rsidR="008627FD">
        <w:rPr>
          <w:lang w:val="en-US"/>
        </w:rPr>
        <w:t xml:space="preserve">when mutating </w:t>
      </w:r>
      <w:r w:rsidR="008627FD" w:rsidRPr="008627FD">
        <w:rPr>
          <w:lang w:val="en-US"/>
        </w:rPr>
        <w:t>U49C . Error bars indicate standard deviation. The profile shows moderate fluctuations in the activation barrier across the</w:t>
      </w:r>
      <w:r w:rsidR="008627FD">
        <w:rPr>
          <w:lang w:val="en-US"/>
        </w:rPr>
        <w:t xml:space="preserve"> </w:t>
      </w:r>
      <w:r w:rsidR="008627FD" w:rsidRPr="008627FD">
        <w:rPr>
          <w:lang w:val="en-US"/>
        </w:rPr>
        <w:t>trajectory, consistent with the energetic landscape observed in Fig.~4</w:t>
      </w:r>
      <w:r w:rsidR="008627FD">
        <w:rPr>
          <w:lang w:val="en-US"/>
        </w:rPr>
        <w:t>b</w:t>
      </w:r>
      <w:r w:rsidR="008627FD" w:rsidRPr="008627FD">
        <w:rPr>
          <w:lang w:val="en-US"/>
        </w:rPr>
        <w:t>.}</w:t>
      </w:r>
    </w:p>
    <w:p w14:paraId="7D60A755" w14:textId="2A57F0BE" w:rsidR="006B5AA7" w:rsidRDefault="006B5AA7">
      <w:pPr>
        <w:rPr>
          <w:lang w:val="en-US"/>
        </w:rPr>
      </w:pPr>
      <w:r w:rsidRPr="006B5AA7">
        <w:rPr>
          <w:lang w:val="en-US"/>
        </w:rPr>
        <w:t xml:space="preserve">Fig.S4 </w:t>
      </w:r>
      <w:r>
        <w:rPr>
          <w:lang w:val="en-US"/>
        </w:rPr>
        <w:t>\caption{\textbf{</w:t>
      </w:r>
      <w:r w:rsidRPr="006B5AA7">
        <w:rPr>
          <w:lang w:val="en-US"/>
        </w:rPr>
        <w:t>Stability effects of cumulative mutations during directed evolution of mouse and human GPX6. Heatmaps display $\Delta\Delta G^{*}$ (kcal mol$^{-1}$) for (a) Mouse and (b) Human GPX6 variants across mutation levels. Positive values (red) indicate destabilizing mutations, while negative values (blue) indicate stabilizing mutations relative to the wild-type enzyme. Rows represent individual mutations, sorted by increasing distance from the active site (Cys/Sec49). Columns show cumulative mutation levels (Level~0 = single mutant; higher levels include all preceding mutations). The coloured badges on the right indicate the number of local hydrogen bonds formed by each mutation when introduced alone. Grey cells denote combinations not observed at that level.</w:t>
      </w:r>
      <w:r>
        <w:rPr>
          <w:lang w:val="en-US"/>
        </w:rPr>
        <w:t>}</w:t>
      </w:r>
    </w:p>
    <w:p w14:paraId="210CC153" w14:textId="77777777" w:rsidR="001F023C" w:rsidRDefault="006B4E9E" w:rsidP="001F023C">
      <w:pPr>
        <w:rPr>
          <w:lang w:val="en-US"/>
        </w:rPr>
      </w:pPr>
      <w:r>
        <w:rPr>
          <w:lang w:val="en-US"/>
        </w:rPr>
        <w:t>F</w:t>
      </w:r>
      <w:r w:rsidR="00700FC1">
        <w:rPr>
          <w:lang w:val="en-US"/>
        </w:rPr>
        <w:t>i</w:t>
      </w:r>
      <w:r>
        <w:rPr>
          <w:lang w:val="en-US"/>
        </w:rPr>
        <w:t>gS9.</w:t>
      </w:r>
      <w:r w:rsidRPr="006B4E9E">
        <w:rPr>
          <w:lang w:val="en-US"/>
        </w:rPr>
        <w:t>\caption{\textbf{Complete set of EVB-measured mutational pathways connecting human and mouse GPX6.} Activation free energies are shown as a function of mutational level for all pathways evaluated in the two evolutionary directions. \textbf{(a)} Trajectories initiated from human GPX6 and progressing toward mouse-like sequences. \textbf{(b)} Trajectories initiated from mouse GPX6 and progressing toward human-like sequences. Thin light-blue lines represent the full set of EVB-evaluated pathways, whereas the dark blue line with error bars highlights the greedy pathway obtained by selecting, at each level, the mutation that produced the lowest activation barrier. Horizontal dashed lines indicate the activation free energies of the four reference systems, allowing direct comparison between the pathway ensemble and the wild-type Sec- and Cys-containing states.}</w:t>
      </w:r>
      <w:r w:rsidR="001F023C">
        <w:rPr>
          <w:lang w:val="en-US"/>
        </w:rPr>
        <w:br/>
      </w:r>
      <w:r w:rsidR="001F023C">
        <w:rPr>
          <w:lang w:val="en-US"/>
        </w:rPr>
        <w:br/>
        <w:t xml:space="preserve">Mechanism </w:t>
      </w:r>
      <w:r w:rsidR="001F023C">
        <w:rPr>
          <w:lang w:val="en-US"/>
        </w:rPr>
        <w:br/>
      </w:r>
    </w:p>
    <w:p w14:paraId="0C74A118" w14:textId="77777777" w:rsidR="001F023C" w:rsidRDefault="001F023C" w:rsidP="001F023C">
      <w:pPr>
        <w:rPr>
          <w:lang w:val="en-US"/>
        </w:rPr>
      </w:pPr>
    </w:p>
    <w:p w14:paraId="386DE5A5" w14:textId="474F5663" w:rsidR="001F023C" w:rsidRPr="001F023C" w:rsidRDefault="001F023C" w:rsidP="001F023C">
      <w:r w:rsidRPr="001F023C">
        <w:t>Mechanistic studies of seleno-GPXs indicate that peroxide reduction proceeds predominantly through a stepwise pathway in which the resting selenol is first deprotonated to the reactive selenolate, followed by O–O bond cleavage and formation of selenenic acid. In this framework, formation of the selenolate carries a substantial free-energy barrier and precedes peroxide bond cleavage</w:t>
      </w:r>
      <w:r>
        <w:t xml:space="preserve">. </w:t>
      </w:r>
      <w:r w:rsidRPr="001F023C">
        <w:t>A concerted mechanism, in which the Se–H bond breaking and the O–O bond cleavage of H₂O₂ occur simultaneously with the assistance of a bridging water molecule, was found to have a significantly higher energy barrier</w:t>
      </w:r>
      <w:r>
        <w:t xml:space="preserve"> that is why the </w:t>
      </w:r>
      <w:r w:rsidRPr="001F023C">
        <w:t>concerted pathway is much less favorable</w:t>
      </w:r>
      <w:r>
        <w:t>.</w:t>
      </w:r>
    </w:p>
    <w:p w14:paraId="2E71A269" w14:textId="6B0FD018" w:rsidR="008F6FF9" w:rsidRPr="00EC6897" w:rsidRDefault="001F023C">
      <w:pPr>
        <w:rPr>
          <w:lang w:val="en-US"/>
        </w:rPr>
      </w:pPr>
      <w:r>
        <w:rPr>
          <w:lang w:val="en-US"/>
        </w:rPr>
        <w:lastRenderedPageBreak/>
        <w:br/>
      </w:r>
      <w:r>
        <w:rPr>
          <w:lang w:val="en-US"/>
        </w:rPr>
        <w:br/>
      </w:r>
    </w:p>
    <w:sectPr w:rsidR="008F6FF9" w:rsidRPr="00EC68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C8365" w14:textId="77777777" w:rsidR="00CB2E5F" w:rsidRDefault="00CB2E5F">
      <w:pPr>
        <w:spacing w:line="240" w:lineRule="auto"/>
      </w:pPr>
      <w:r>
        <w:separator/>
      </w:r>
    </w:p>
  </w:endnote>
  <w:endnote w:type="continuationSeparator" w:id="0">
    <w:p w14:paraId="4E6F7CF0" w14:textId="77777777" w:rsidR="00CB2E5F" w:rsidRDefault="00CB2E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416C" w14:textId="77777777" w:rsidR="00CB2E5F" w:rsidRDefault="00CB2E5F">
      <w:pPr>
        <w:spacing w:after="0"/>
      </w:pPr>
      <w:r>
        <w:separator/>
      </w:r>
    </w:p>
  </w:footnote>
  <w:footnote w:type="continuationSeparator" w:id="0">
    <w:p w14:paraId="207217AC" w14:textId="77777777" w:rsidR="00CB2E5F" w:rsidRDefault="00CB2E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31A41"/>
    <w:multiLevelType w:val="multilevel"/>
    <w:tmpl w:val="B404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54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2A0"/>
    <w:rsid w:val="000153EA"/>
    <w:rsid w:val="00034189"/>
    <w:rsid w:val="00052D31"/>
    <w:rsid w:val="00094AF1"/>
    <w:rsid w:val="000B2DF2"/>
    <w:rsid w:val="000D7327"/>
    <w:rsid w:val="000E3AC2"/>
    <w:rsid w:val="00163694"/>
    <w:rsid w:val="001A105C"/>
    <w:rsid w:val="001F023C"/>
    <w:rsid w:val="00200E1B"/>
    <w:rsid w:val="0028178F"/>
    <w:rsid w:val="0031435F"/>
    <w:rsid w:val="0033741E"/>
    <w:rsid w:val="004722B3"/>
    <w:rsid w:val="005072DE"/>
    <w:rsid w:val="00510A48"/>
    <w:rsid w:val="00511B34"/>
    <w:rsid w:val="00550E32"/>
    <w:rsid w:val="00571C5E"/>
    <w:rsid w:val="0058172C"/>
    <w:rsid w:val="006205F4"/>
    <w:rsid w:val="00674BC4"/>
    <w:rsid w:val="006B4E9E"/>
    <w:rsid w:val="006B5AA7"/>
    <w:rsid w:val="006D6A17"/>
    <w:rsid w:val="00700FC1"/>
    <w:rsid w:val="0081179A"/>
    <w:rsid w:val="00855B05"/>
    <w:rsid w:val="008627FD"/>
    <w:rsid w:val="008A6581"/>
    <w:rsid w:val="008F53CD"/>
    <w:rsid w:val="008F6FF9"/>
    <w:rsid w:val="009505E6"/>
    <w:rsid w:val="009B67E4"/>
    <w:rsid w:val="00A40EF2"/>
    <w:rsid w:val="00A86D7D"/>
    <w:rsid w:val="00B31B22"/>
    <w:rsid w:val="00B57D69"/>
    <w:rsid w:val="00B65701"/>
    <w:rsid w:val="00BA4FC2"/>
    <w:rsid w:val="00C05938"/>
    <w:rsid w:val="00CB2E5F"/>
    <w:rsid w:val="00D862A0"/>
    <w:rsid w:val="00EC49D7"/>
    <w:rsid w:val="00EC6897"/>
    <w:rsid w:val="00FC6D05"/>
    <w:rsid w:val="7F6C29A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DB9E"/>
  <w15:docId w15:val="{D88F598E-64F6-4AF8-90A7-DBCD5CCC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913</TotalTime>
  <Pages>6</Pages>
  <Words>1733</Words>
  <Characters>9881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Nayanika Das</dc:creator>
  <cp:lastModifiedBy>Nayanika Das</cp:lastModifiedBy>
  <cp:revision>18</cp:revision>
  <dcterms:created xsi:type="dcterms:W3CDTF">2026-04-30T01:02:00Z</dcterms:created>
  <dcterms:modified xsi:type="dcterms:W3CDTF">2026-05-06T00:02:00Z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d96348b8-03e0-4ae7-92ff-37f9d9edcd68</vt:lpwstr>
  </property>
  <property fmtid="{D5CDD505-2E9C-101B-9397-08002B2CF9AE}" pid="3" name="KSOProductBuildVer">
    <vt:lpwstr>1033-12.2.0.23155</vt:lpwstr>
  </property>
  <property fmtid="{D5CDD505-2E9C-101B-9397-08002B2CF9AE}" pid="4" name="ICV">
    <vt:lpwstr>619100D4CE8A4AF9976BE0EA82A53971_12</vt:lpwstr>
  </property>
</Properties>
</file>