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Submission Cover Letter and Author Checklist</w:t>
        <w:br/>
        <w:t>Journal of Chemical Information and Modeling</w:t>
      </w:r>
    </w:p>
    <w:p>
      <w:r>
        <w:rPr>
          <w:b/>
        </w:rPr>
        <w:t>General Manuscript Information</w:t>
      </w:r>
    </w:p>
    <w:tbl>
      <w:tblPr>
        <w:tblStyle w:val="TableGrid"/>
        <w:tblW w:type="auto" w:w="0"/>
        <w:tblLook w:firstColumn="1" w:firstRow="1" w:lastColumn="0" w:lastRow="0" w:noHBand="0" w:noVBand="1" w:val="04A0"/>
      </w:tblPr>
      <w:tblGrid>
        <w:gridCol w:w="5040"/>
        <w:gridCol w:w="5040"/>
      </w:tblGrid>
      <w:tr>
        <w:tc>
          <w:tcPr>
            <w:tcW w:type="dxa" w:w="5040"/>
          </w:tcPr>
          <w:p>
            <w:r/>
            <w:r>
              <w:rPr>
                <w:b/>
                <w:sz w:val="20"/>
              </w:rPr>
              <w:t>Title</w:t>
            </w:r>
          </w:p>
        </w:tc>
        <w:tc>
          <w:tcPr>
            <w:tcW w:type="dxa" w:w="5040"/>
          </w:tcPr>
          <w:p>
            <w:r/>
            <w:r>
              <w:rPr>
                <w:b w:val="0"/>
                <w:sz w:val="20"/>
              </w:rPr>
              <w:t>Epistatic Modulation of Sec/Cys Catalysis in GPX6 Revealed by EVB Free-Energy Landscapes</w:t>
            </w:r>
          </w:p>
        </w:tc>
      </w:tr>
      <w:tr>
        <w:tc>
          <w:tcPr>
            <w:tcW w:type="dxa" w:w="5040"/>
          </w:tcPr>
          <w:p>
            <w:r/>
            <w:r>
              <w:rPr>
                <w:b/>
                <w:sz w:val="20"/>
              </w:rPr>
              <w:t>Manuscript type</w:t>
            </w:r>
          </w:p>
        </w:tc>
        <w:tc>
          <w:tcPr>
            <w:tcW w:type="dxa" w:w="5040"/>
          </w:tcPr>
          <w:p>
            <w:r/>
            <w:r>
              <w:rPr>
                <w:b w:val="0"/>
                <w:sz w:val="20"/>
              </w:rPr>
              <w:t>Article</w:t>
            </w:r>
          </w:p>
        </w:tc>
      </w:tr>
      <w:tr>
        <w:tc>
          <w:tcPr>
            <w:tcW w:type="dxa" w:w="5040"/>
          </w:tcPr>
          <w:p>
            <w:r/>
            <w:r>
              <w:rPr>
                <w:b/>
                <w:sz w:val="20"/>
              </w:rPr>
              <w:t>Corresponding author</w:t>
            </w:r>
          </w:p>
        </w:tc>
        <w:tc>
          <w:tcPr>
            <w:tcW w:type="dxa" w:w="5040"/>
          </w:tcPr>
          <w:p>
            <w:r/>
            <w:r>
              <w:rPr>
                <w:b w:val="0"/>
                <w:sz w:val="20"/>
              </w:rPr>
              <w:t>Jordi Villà-Freixa</w:t>
            </w:r>
          </w:p>
        </w:tc>
      </w:tr>
      <w:tr>
        <w:tc>
          <w:tcPr>
            <w:tcW w:type="dxa" w:w="5040"/>
          </w:tcPr>
          <w:p>
            <w:r/>
            <w:r>
              <w:rPr>
                <w:b/>
                <w:sz w:val="20"/>
              </w:rPr>
              <w:t>Corresponding author email</w:t>
            </w:r>
          </w:p>
        </w:tc>
        <w:tc>
          <w:tcPr>
            <w:tcW w:type="dxa" w:w="5040"/>
          </w:tcPr>
          <w:p>
            <w:r/>
            <w:r>
              <w:rPr>
                <w:b w:val="0"/>
                <w:sz w:val="20"/>
              </w:rPr>
              <w:t>jordi.villa@uvic.cat</w:t>
            </w:r>
          </w:p>
        </w:tc>
      </w:tr>
      <w:tr>
        <w:tc>
          <w:tcPr>
            <w:tcW w:type="dxa" w:w="5040"/>
          </w:tcPr>
          <w:p>
            <w:r/>
            <w:r>
              <w:rPr>
                <w:b/>
                <w:sz w:val="20"/>
              </w:rPr>
              <w:t>Journal</w:t>
            </w:r>
          </w:p>
        </w:tc>
        <w:tc>
          <w:tcPr>
            <w:tcW w:type="dxa" w:w="5040"/>
          </w:tcPr>
          <w:p>
            <w:r/>
            <w:r>
              <w:rPr>
                <w:b w:val="0"/>
                <w:sz w:val="20"/>
              </w:rPr>
              <w:t>Journal of Chemical Information and Modeling</w:t>
            </w:r>
          </w:p>
        </w:tc>
      </w:tr>
    </w:tbl>
    <w:p>
      <w:r>
        <w:rPr>
          <w:b/>
        </w:rPr>
        <w:t>Reason for Submission to JCIM</w:t>
      </w:r>
    </w:p>
    <w:p>
      <w:r>
        <w:t>The manuscript combines molecular simulation, empirical valence bond free-energy modeling, sequence analysis, and structural interpretation to connect enzyme catalysis with evolutionary sequence background. It fits JCIM topics including molecular dynamics and free-energy methods, molecular modeling of biological systems, and computational analysis of chemical and physical data.</w:t>
      </w:r>
    </w:p>
    <w:p>
      <w:r>
        <w:rPr>
          <w:b/>
        </w:rPr>
        <w:t>Major Findings</w:t>
      </w:r>
    </w:p>
    <w:p>
      <w:pPr>
        <w:ind w:left="360"/>
      </w:pPr>
      <w:r>
        <w:t>• The energetic advantage of Sec over Cys in GPX6 is modulated by homologous sequence background rather than being a fixed local property of the catalytic residue.</w:t>
      </w:r>
    </w:p>
    <w:p>
      <w:pPr>
        <w:ind w:left="360"/>
      </w:pPr>
      <w:r>
        <w:t>• Introducing Sec into mouse GPX6 lowers the proton-transfer barrier by 2.84 kcal/mol, whereas replacing Sec with Cys in human GPX6 raises it by 1.43 kcal/mol.</w:t>
      </w:r>
    </w:p>
    <w:p>
      <w:pPr>
        <w:ind w:left="360"/>
      </w:pPr>
      <w:r>
        <w:t>• Greedy pathway calculations across 20 active-site-proximal substitutions reveal direction-dependent and epistatic energetic effects.</w:t>
      </w:r>
    </w:p>
    <w:p>
      <w:pPr>
        <w:ind w:left="360"/>
      </w:pPr>
      <w:r>
        <w:t>• Projection onto the GPX6 phylogeny supports a compensatory catalytic regime in rodent Cys-GPX6.</w:t>
      </w:r>
    </w:p>
    <w:p>
      <w:r>
        <w:rPr>
          <w:b/>
        </w:rPr>
        <w:t>Data Requirements</w:t>
      </w:r>
    </w:p>
    <w:tbl>
      <w:tblPr>
        <w:tblStyle w:val="TableGrid"/>
        <w:tblW w:type="auto" w:w="0"/>
        <w:tblLook w:firstColumn="1" w:firstRow="1" w:lastColumn="0" w:lastRow="0" w:noHBand="0" w:noVBand="1" w:val="04A0"/>
      </w:tblPr>
      <w:tblGrid>
        <w:gridCol w:w="5040"/>
        <w:gridCol w:w="5040"/>
      </w:tblGrid>
      <w:tr>
        <w:tc>
          <w:tcPr>
            <w:tcW w:type="dxa" w:w="5040"/>
          </w:tcPr>
          <w:p>
            <w:r/>
            <w:r>
              <w:rPr>
                <w:b/>
                <w:sz w:val="20"/>
              </w:rPr>
              <w:t>Data and Software Availability section included?</w:t>
            </w:r>
          </w:p>
        </w:tc>
        <w:tc>
          <w:tcPr>
            <w:tcW w:type="dxa" w:w="5040"/>
          </w:tcPr>
          <w:p>
            <w:r/>
            <w:r>
              <w:rPr>
                <w:b w:val="0"/>
                <w:sz w:val="20"/>
              </w:rPr>
              <w:t>Yes. A dedicated section has been added to the manuscript.</w:t>
            </w:r>
          </w:p>
        </w:tc>
      </w:tr>
      <w:tr>
        <w:tc>
          <w:tcPr>
            <w:tcW w:type="dxa" w:w="5040"/>
          </w:tcPr>
          <w:p>
            <w:r/>
            <w:r>
              <w:rPr>
                <w:b/>
                <w:sz w:val="20"/>
              </w:rPr>
              <w:t>Input files and scripts</w:t>
            </w:r>
          </w:p>
        </w:tc>
        <w:tc>
          <w:tcPr>
            <w:tcW w:type="dxa" w:w="5040"/>
          </w:tcPr>
          <w:p>
            <w:r/>
            <w:r>
              <w:rPr>
                <w:b w:val="0"/>
                <w:sz w:val="20"/>
              </w:rPr>
              <w:t>Available at https://github.com/ND7996/GPX6.</w:t>
            </w:r>
          </w:p>
        </w:tc>
      </w:tr>
      <w:tr>
        <w:tc>
          <w:tcPr>
            <w:tcW w:type="dxa" w:w="5040"/>
          </w:tcPr>
          <w:p>
            <w:r/>
            <w:r>
              <w:rPr>
                <w:b/>
                <w:sz w:val="20"/>
              </w:rPr>
              <w:t>Simulation data</w:t>
            </w:r>
          </w:p>
        </w:tc>
        <w:tc>
          <w:tcPr>
            <w:tcW w:type="dxa" w:w="5040"/>
          </w:tcPr>
          <w:p>
            <w:r/>
            <w:r>
              <w:rPr>
                <w:b w:val="0"/>
                <w:sz w:val="20"/>
              </w:rPr>
              <w:t>Hosted by CSUC and to be made available through the final public data repository associated with the manuscript.</w:t>
            </w:r>
          </w:p>
        </w:tc>
      </w:tr>
      <w:tr>
        <w:tc>
          <w:tcPr>
            <w:tcW w:type="dxa" w:w="5040"/>
          </w:tcPr>
          <w:p>
            <w:r/>
            <w:r>
              <w:rPr>
                <w:b/>
                <w:sz w:val="20"/>
              </w:rPr>
              <w:t>New biological activity of compounds?</w:t>
            </w:r>
          </w:p>
        </w:tc>
        <w:tc>
          <w:tcPr>
            <w:tcW w:type="dxa" w:w="5040"/>
          </w:tcPr>
          <w:p>
            <w:r/>
            <w:r>
              <w:rPr>
                <w:b w:val="0"/>
                <w:sz w:val="20"/>
              </w:rPr>
              <w:t>Not applicable.</w:t>
            </w:r>
          </w:p>
        </w:tc>
      </w:tr>
      <w:tr>
        <w:tc>
          <w:tcPr>
            <w:tcW w:type="dxa" w:w="5040"/>
          </w:tcPr>
          <w:p>
            <w:r/>
            <w:r>
              <w:rPr>
                <w:b/>
                <w:sz w:val="20"/>
              </w:rPr>
              <w:t>PAINS/aggregator validation?</w:t>
            </w:r>
          </w:p>
        </w:tc>
        <w:tc>
          <w:tcPr>
            <w:tcW w:type="dxa" w:w="5040"/>
          </w:tcPr>
          <w:p>
            <w:r/>
            <w:r>
              <w:rPr>
                <w:b w:val="0"/>
                <w:sz w:val="20"/>
              </w:rPr>
              <w:t>Not applicable.</w:t>
            </w:r>
          </w:p>
        </w:tc>
      </w:tr>
      <w:tr>
        <w:tc>
          <w:tcPr>
            <w:tcW w:type="dxa" w:w="5040"/>
          </w:tcPr>
          <w:p>
            <w:r/>
            <w:r>
              <w:rPr>
                <w:b/>
                <w:sz w:val="20"/>
              </w:rPr>
              <w:t>SMILES file required?</w:t>
            </w:r>
          </w:p>
        </w:tc>
        <w:tc>
          <w:tcPr>
            <w:tcW w:type="dxa" w:w="5040"/>
          </w:tcPr>
          <w:p>
            <w:r/>
            <w:r>
              <w:rPr>
                <w:b w:val="0"/>
                <w:sz w:val="20"/>
              </w:rPr>
              <w:t>Not applicable; no small-molecule activity series is reported.</w:t>
            </w:r>
          </w:p>
        </w:tc>
      </w:tr>
    </w:tbl>
    <w:p>
      <w:r>
        <w:rPr>
          <w:b/>
        </w:rPr>
        <w:t>Preparation and Submission Checklist</w:t>
      </w:r>
    </w:p>
    <w:p>
      <w:pPr>
        <w:ind w:left="360"/>
      </w:pPr>
      <w:r>
        <w:t>☑ Graphical Table of Contents entry is included in the manuscript using the achemso tocentry environment.</w:t>
      </w:r>
    </w:p>
    <w:p>
      <w:pPr>
        <w:ind w:left="360"/>
      </w:pPr>
      <w:r>
        <w:t>☑ Figures, charts, tables, schemes, and equations are embedded in the manuscript text.</w:t>
      </w:r>
    </w:p>
    <w:p>
      <w:pPr>
        <w:ind w:left="360"/>
      </w:pPr>
      <w:r>
        <w:t>☑ Supporting Information is prepared as a separate PDF file.</w:t>
      </w:r>
    </w:p>
    <w:p>
      <w:pPr>
        <w:ind w:left="360"/>
      </w:pPr>
      <w:r>
        <w:t>☑ References include article titles and DOI metadata has been validated against Crossref/DOI records.</w:t>
      </w:r>
    </w:p>
    <w:p>
      <w:pPr>
        <w:ind w:left="360"/>
      </w:pPr>
      <w:r>
        <w:t>☑ The previous-submissions question in the ACS portal should be answered accurately by the submitting author.</w:t>
      </w:r>
    </w:p>
    <w:p>
      <w:pPr>
        <w:ind w:left="360"/>
      </w:pPr>
      <w:r>
        <w:t>☑ All authors must be entered in the ACS portal in the same order as in the manuscript.</w:t>
      </w:r>
    </w:p>
    <w:p>
      <w:pPr>
        <w:ind w:left="360"/>
      </w:pPr>
      <w:r>
        <w:t>☑ No preprint has been deposited, based on the current manuscript files; confirm this before upload.</w:t>
      </w:r>
    </w:p>
    <w:p>
      <w:r>
        <w:rPr>
          <w:b/>
        </w:rPr>
        <w:t>Suggested Reviewers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20"/>
              </w:rPr>
              <w:t>Name</w:t>
            </w:r>
          </w:p>
        </w:tc>
        <w:tc>
          <w:tcPr>
            <w:tcW w:type="dxa" w:w="2520"/>
          </w:tcPr>
          <w:p>
            <w:r/>
            <w:r>
              <w:rPr>
                <w:b/>
                <w:sz w:val="20"/>
              </w:rPr>
              <w:t>Affiliation</w:t>
            </w:r>
          </w:p>
        </w:tc>
        <w:tc>
          <w:tcPr>
            <w:tcW w:type="dxa" w:w="2520"/>
          </w:tcPr>
          <w:p>
            <w:r/>
            <w:r>
              <w:rPr>
                <w:b/>
                <w:sz w:val="20"/>
              </w:rPr>
              <w:t>Email</w:t>
            </w:r>
          </w:p>
        </w:tc>
        <w:tc>
          <w:tcPr>
            <w:tcW w:type="dxa" w:w="2520"/>
          </w:tcPr>
          <w:p>
            <w:r/>
            <w:r>
              <w:rPr>
                <w:b/>
                <w:sz w:val="20"/>
              </w:rPr>
              <w:t>Expertise</w:t>
            </w:r>
          </w:p>
        </w:tc>
      </w:tr>
      <w:tr>
        <w:tc>
          <w:tcPr>
            <w:tcW w:type="dxa" w:w="2520"/>
          </w:tcPr>
          <w:p>
            <w:r/>
            <w:r>
              <w:rPr>
                <w:b w:val="0"/>
                <w:sz w:val="20"/>
              </w:rPr>
              <w:t>Professor Johan Åqvist</w:t>
            </w:r>
          </w:p>
        </w:tc>
        <w:tc>
          <w:tcPr>
            <w:tcW w:type="dxa" w:w="2520"/>
          </w:tcPr>
          <w:p>
            <w:r/>
            <w:r>
              <w:rPr>
                <w:b w:val="0"/>
                <w:sz w:val="20"/>
              </w:rPr>
              <w:t>Department of Cell and Molecular Biology, Uppsala University, Sweden</w:t>
            </w:r>
          </w:p>
        </w:tc>
        <w:tc>
          <w:tcPr>
            <w:tcW w:type="dxa" w:w="2520"/>
          </w:tcPr>
          <w:p>
            <w:r/>
            <w:r>
              <w:rPr>
                <w:b w:val="0"/>
                <w:sz w:val="20"/>
              </w:rPr>
              <w:t>Johan.Aqvist@icm.uu.se</w:t>
            </w:r>
          </w:p>
        </w:tc>
        <w:tc>
          <w:tcPr>
            <w:tcW w:type="dxa" w:w="2520"/>
          </w:tcPr>
          <w:p>
            <w:r/>
            <w:r>
              <w:rPr>
                <w:b w:val="0"/>
                <w:sz w:val="20"/>
              </w:rPr>
              <w:t>Empirical valence bond simulations, enzyme catalysis, free-energy calculations, and the Q simulation framework.</w:t>
            </w:r>
          </w:p>
        </w:tc>
      </w:tr>
      <w:tr>
        <w:tc>
          <w:tcPr>
            <w:tcW w:type="dxa" w:w="2520"/>
          </w:tcPr>
          <w:p>
            <w:r/>
            <w:r>
              <w:rPr>
                <w:b w:val="0"/>
                <w:sz w:val="20"/>
              </w:rPr>
              <w:t>Professor Shina C. L. (Lynn) Kamerlin</w:t>
            </w:r>
          </w:p>
        </w:tc>
        <w:tc>
          <w:tcPr>
            <w:tcW w:type="dxa" w:w="2520"/>
          </w:tcPr>
          <w:p>
            <w:r/>
            <w:r>
              <w:rPr>
                <w:b w:val="0"/>
                <w:sz w:val="20"/>
              </w:rPr>
              <w:t>School of Chemistry and Biochemistry, Georgia Institute of Technology, USA</w:t>
            </w:r>
          </w:p>
        </w:tc>
        <w:tc>
          <w:tcPr>
            <w:tcW w:type="dxa" w:w="2520"/>
          </w:tcPr>
          <w:p>
            <w:r/>
            <w:r>
              <w:rPr>
                <w:b w:val="0"/>
                <w:sz w:val="20"/>
              </w:rPr>
              <w:t>shina.kamerlin@chemistry.gatech.edu</w:t>
            </w:r>
          </w:p>
        </w:tc>
        <w:tc>
          <w:tcPr>
            <w:tcW w:type="dxa" w:w="2520"/>
          </w:tcPr>
          <w:p>
            <w:r/>
            <w:r>
              <w:rPr>
                <w:b w:val="0"/>
                <w:sz w:val="20"/>
              </w:rPr>
              <w:t>Computational enzymology, enzyme evolution, protein dynamics, and free-energy modeling of catalytic mechanisms.</w:t>
            </w:r>
          </w:p>
        </w:tc>
      </w:tr>
    </w:tbl>
    <w:p>
      <w:r>
        <w:rPr>
          <w:b/>
        </w:rPr>
        <w:t>Declarations</w:t>
      </w:r>
    </w:p>
    <w:p>
      <w:r>
        <w:t>The manuscript is original, has not been published elsewhere, and is not under consideration by another journal. All authors have approved the submitted version and declare no competing financial interests. An AI-based language tool was used only for language editing and improvement of the manuscript text; all scientific content was reviewed and approved by the authors.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