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108" w:type="dxa"/>
        <w:tblBorders>
          <w:top w:val="none" w:sz="0" w:space="0" w:color="auto"/>
          <w:left w:val="none" w:sz="0" w:space="0" w:color="auto"/>
          <w:bottom w:val="thinThickSmallGap" w:sz="12" w:space="0" w:color="auto"/>
          <w:right w:val="none" w:sz="0" w:space="0" w:color="auto"/>
          <w:insideH w:val="none" w:sz="0" w:space="0" w:color="auto"/>
          <w:insideV w:val="none" w:sz="0" w:space="0" w:color="auto"/>
        </w:tblBorders>
        <w:tblLook w:val="04A0" w:firstRow="1" w:lastRow="0" w:firstColumn="1" w:lastColumn="0" w:noHBand="0" w:noVBand="1"/>
      </w:tblPr>
      <w:tblGrid>
        <w:gridCol w:w="6810"/>
        <w:gridCol w:w="1196"/>
      </w:tblGrid>
      <w:tr w:rsidR="004631AB" w14:paraId="5DFD4929" w14:textId="77777777">
        <w:tc>
          <w:tcPr>
            <w:tcW w:w="6810" w:type="dxa"/>
            <w:vAlign w:val="center"/>
          </w:tcPr>
          <w:p w14:paraId="58730711" w14:textId="77777777" w:rsidR="004631AB" w:rsidRDefault="004631AB">
            <w:pPr>
              <w:pStyle w:val="Footer"/>
              <w:rPr>
                <w:b/>
                <w:sz w:val="28"/>
                <w:szCs w:val="14"/>
                <w:lang w:val="en-US"/>
              </w:rPr>
            </w:pPr>
            <w:bookmarkStart w:id="0" w:name="_Hlk23005139"/>
            <w:bookmarkEnd w:id="0"/>
          </w:p>
          <w:p w14:paraId="4FE30BEA" w14:textId="77777777" w:rsidR="004631AB" w:rsidRDefault="00000000">
            <w:pPr>
              <w:pStyle w:val="Footer"/>
              <w:rPr>
                <w:b/>
                <w:sz w:val="28"/>
                <w:szCs w:val="14"/>
                <w:lang w:val="en-US"/>
              </w:rPr>
            </w:pPr>
            <w:r>
              <w:rPr>
                <w:b/>
                <w:sz w:val="28"/>
                <w:szCs w:val="14"/>
                <w:lang w:val="en-US"/>
              </w:rPr>
              <w:t>International Journal of Chemistry and Technology</w:t>
            </w:r>
          </w:p>
          <w:p w14:paraId="544CE9B2" w14:textId="77777777" w:rsidR="004631AB" w:rsidRDefault="004631AB">
            <w:pPr>
              <w:pStyle w:val="Footer"/>
              <w:rPr>
                <w:sz w:val="18"/>
                <w:szCs w:val="18"/>
                <w:lang w:val="en-US"/>
              </w:rPr>
            </w:pPr>
          </w:p>
          <w:p w14:paraId="25AE3BC4" w14:textId="77777777" w:rsidR="004631AB" w:rsidRDefault="004631AB">
            <w:pPr>
              <w:pStyle w:val="Footer"/>
              <w:rPr>
                <w:color w:val="0070C0"/>
                <w:sz w:val="18"/>
                <w:szCs w:val="18"/>
                <w:u w:val="single"/>
                <w:lang w:val="en-US"/>
              </w:rPr>
            </w:pPr>
            <w:hyperlink r:id="rId7" w:history="1">
              <w:r>
                <w:rPr>
                  <w:rStyle w:val="Hyperlink"/>
                  <w:rFonts w:eastAsiaTheme="majorEastAsia"/>
                  <w:color w:val="0070C0"/>
                  <w:sz w:val="18"/>
                  <w:szCs w:val="18"/>
                  <w:lang w:val="en-US"/>
                </w:rPr>
                <w:t>http://dergipark.org.tr/ijct</w:t>
              </w:r>
            </w:hyperlink>
          </w:p>
          <w:p w14:paraId="28378979" w14:textId="77777777" w:rsidR="004631AB" w:rsidRDefault="004631AB">
            <w:pPr>
              <w:pStyle w:val="Footer"/>
              <w:rPr>
                <w:sz w:val="18"/>
                <w:szCs w:val="18"/>
                <w:lang w:val="en-US"/>
              </w:rPr>
            </w:pPr>
          </w:p>
          <w:p w14:paraId="75A1B46E" w14:textId="77777777" w:rsidR="004631AB" w:rsidRDefault="00000000">
            <w:pPr>
              <w:pStyle w:val="Footer"/>
              <w:rPr>
                <w:sz w:val="18"/>
                <w:szCs w:val="18"/>
                <w:lang w:val="en-US"/>
              </w:rPr>
            </w:pPr>
            <w:r>
              <w:rPr>
                <w:sz w:val="18"/>
                <w:szCs w:val="18"/>
                <w:lang w:val="en-US"/>
              </w:rPr>
              <w:t>Research Article</w:t>
            </w:r>
          </w:p>
        </w:tc>
        <w:tc>
          <w:tcPr>
            <w:tcW w:w="1196" w:type="dxa"/>
            <w:vAlign w:val="center"/>
          </w:tcPr>
          <w:p w14:paraId="5793D91E" w14:textId="77777777" w:rsidR="004631AB" w:rsidRDefault="00000000">
            <w:pPr>
              <w:pStyle w:val="Footer"/>
              <w:rPr>
                <w:b/>
                <w:sz w:val="28"/>
                <w:szCs w:val="28"/>
                <w:lang w:val="en-US"/>
              </w:rPr>
            </w:pPr>
            <w:r>
              <w:rPr>
                <w:noProof/>
                <w:sz w:val="21"/>
                <w:szCs w:val="21"/>
                <w:shd w:val="clear" w:color="auto" w:fill="FFFFFF"/>
              </w:rPr>
              <w:drawing>
                <wp:inline distT="0" distB="0" distL="0" distR="0" wp14:anchorId="1FE70854" wp14:editId="7D373177">
                  <wp:extent cx="530225" cy="755015"/>
                  <wp:effectExtent l="0" t="0" r="3175" b="6985"/>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pic:cNvPicPr>
                            <a:picLocks noChangeAspect="1"/>
                          </pic:cNvPicPr>
                        </pic:nvPicPr>
                        <pic:blipFill>
                          <a:blip r:embed="rId8" cstate="print"/>
                          <a:stretch>
                            <a:fillRect/>
                          </a:stretch>
                        </pic:blipFill>
                        <pic:spPr>
                          <a:xfrm>
                            <a:off x="0" y="0"/>
                            <a:ext cx="533969" cy="760491"/>
                          </a:xfrm>
                          <a:prstGeom prst="rect">
                            <a:avLst/>
                          </a:prstGeom>
                        </pic:spPr>
                      </pic:pic>
                    </a:graphicData>
                  </a:graphic>
                </wp:inline>
              </w:drawing>
            </w:r>
          </w:p>
        </w:tc>
      </w:tr>
    </w:tbl>
    <w:p w14:paraId="58EC8DFF" w14:textId="77777777" w:rsidR="004631AB" w:rsidRDefault="004631AB">
      <w:pPr>
        <w:rPr>
          <w:sz w:val="18"/>
          <w:szCs w:val="18"/>
          <w:lang w:val="en-US"/>
        </w:rPr>
      </w:pPr>
    </w:p>
    <w:p w14:paraId="06106341" w14:textId="78C78E37" w:rsidR="004631AB" w:rsidRDefault="00000000">
      <w:pPr>
        <w:spacing w:line="276" w:lineRule="auto"/>
        <w:rPr>
          <w:b/>
          <w:bCs/>
          <w:sz w:val="28"/>
          <w:szCs w:val="28"/>
          <w:lang w:val="en-IN"/>
        </w:rPr>
      </w:pPr>
      <w:r w:rsidRPr="00863569">
        <w:rPr>
          <w:b/>
          <w:bCs/>
          <w:sz w:val="28"/>
          <w:szCs w:val="28"/>
          <w:lang w:val="en-IN"/>
        </w:rPr>
        <w:t xml:space="preserve">Virtual Screening and </w:t>
      </w:r>
      <w:r w:rsidR="00420E09" w:rsidRPr="00863569">
        <w:rPr>
          <w:b/>
          <w:bCs/>
          <w:sz w:val="28"/>
          <w:szCs w:val="28"/>
          <w:lang w:val="en-IN"/>
        </w:rPr>
        <w:t xml:space="preserve">Molecular </w:t>
      </w:r>
      <w:r w:rsidRPr="00863569">
        <w:rPr>
          <w:b/>
          <w:bCs/>
          <w:sz w:val="28"/>
          <w:szCs w:val="28"/>
          <w:lang w:val="en-IN"/>
        </w:rPr>
        <w:t>Docking of Natural Compounds as Selective Inhibitors of Mutant NRAS in Melanoma.</w:t>
      </w:r>
    </w:p>
    <w:tbl>
      <w:tblPr>
        <w:tblW w:w="9434" w:type="dxa"/>
        <w:tblInd w:w="399" w:type="dxa"/>
        <w:tblCellMar>
          <w:left w:w="70" w:type="dxa"/>
          <w:right w:w="70" w:type="dxa"/>
        </w:tblCellMar>
        <w:tblLook w:val="04A0" w:firstRow="1" w:lastRow="0" w:firstColumn="1" w:lastColumn="0" w:noHBand="0" w:noVBand="1"/>
      </w:tblPr>
      <w:tblGrid>
        <w:gridCol w:w="9434"/>
      </w:tblGrid>
      <w:tr w:rsidR="004631AB" w14:paraId="24BB863B" w14:textId="77777777">
        <w:trPr>
          <w:trHeight w:val="718"/>
        </w:trPr>
        <w:tc>
          <w:tcPr>
            <w:tcW w:w="9434" w:type="dxa"/>
          </w:tcPr>
          <w:p w14:paraId="3DBC7281" w14:textId="77777777" w:rsidR="004631AB" w:rsidRDefault="004631AB">
            <w:pPr>
              <w:pStyle w:val="NoSpacing"/>
              <w:jc w:val="center"/>
              <w:rPr>
                <w:rFonts w:ascii="Times New Roman" w:hAnsi="Times New Roman" w:cs="Times New Roman"/>
                <w:sz w:val="18"/>
                <w:lang w:val="en-IN"/>
              </w:rPr>
            </w:pPr>
          </w:p>
          <w:p w14:paraId="01819A0E" w14:textId="77777777" w:rsidR="004631AB" w:rsidRDefault="00000000">
            <w:pPr>
              <w:tabs>
                <w:tab w:val="left" w:pos="0"/>
              </w:tabs>
              <w:jc w:val="center"/>
              <w:rPr>
                <w:b/>
                <w:sz w:val="18"/>
                <w:szCs w:val="18"/>
                <w:vertAlign w:val="superscript"/>
              </w:rPr>
            </w:pPr>
            <w:r>
              <w:rPr>
                <w:b/>
                <w:noProof/>
                <w:sz w:val="18"/>
                <w:szCs w:val="18"/>
                <w:vertAlign w:val="superscript"/>
              </w:rPr>
              <w:drawing>
                <wp:inline distT="0" distB="0" distL="0" distR="0" wp14:anchorId="49718FDA" wp14:editId="24A86E25">
                  <wp:extent cx="137160" cy="137160"/>
                  <wp:effectExtent l="0" t="0" r="0" b="0"/>
                  <wp:docPr id="3" name="Resim 3">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37160" cy="137160"/>
                          </a:xfrm>
                          <a:prstGeom prst="rect">
                            <a:avLst/>
                          </a:prstGeom>
                          <a:noFill/>
                        </pic:spPr>
                      </pic:pic>
                    </a:graphicData>
                  </a:graphic>
                </wp:inline>
              </w:drawing>
            </w:r>
            <w:r>
              <w:t>Nayanika DAS</w:t>
            </w:r>
            <w:r>
              <w:rPr>
                <w:b/>
                <w:sz w:val="18"/>
                <w:szCs w:val="18"/>
                <w:vertAlign w:val="superscript"/>
              </w:rPr>
              <w:t>1</w:t>
            </w:r>
            <w:r>
              <w:rPr>
                <w:b/>
                <w:sz w:val="18"/>
                <w:szCs w:val="18"/>
              </w:rPr>
              <w:t xml:space="preserve">,      </w:t>
            </w:r>
            <w:r>
              <w:rPr>
                <w:b/>
                <w:noProof/>
                <w:sz w:val="18"/>
                <w:szCs w:val="18"/>
                <w:vertAlign w:val="superscript"/>
              </w:rPr>
              <w:drawing>
                <wp:inline distT="0" distB="0" distL="0" distR="0" wp14:anchorId="6C965403" wp14:editId="5E21D75F">
                  <wp:extent cx="157480" cy="157480"/>
                  <wp:effectExtent l="0" t="0" r="0" b="0"/>
                  <wp:docPr id="4" name="Resim 4">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sim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57480" cy="157480"/>
                          </a:xfrm>
                          <a:prstGeom prst="rect">
                            <a:avLst/>
                          </a:prstGeom>
                          <a:noFill/>
                        </pic:spPr>
                      </pic:pic>
                    </a:graphicData>
                  </a:graphic>
                </wp:inline>
              </w:drawing>
            </w:r>
            <w:r>
              <w:t>Vijay BALADHYE</w:t>
            </w:r>
            <w:r>
              <w:rPr>
                <w:b/>
                <w:sz w:val="18"/>
                <w:szCs w:val="18"/>
                <w:vertAlign w:val="superscript"/>
              </w:rPr>
              <w:t>1</w:t>
            </w:r>
            <w:r>
              <w:rPr>
                <w:i/>
                <w:sz w:val="18"/>
                <w:szCs w:val="18"/>
                <w:lang w:val="es-ES"/>
              </w:rPr>
              <w:t>*</w:t>
            </w:r>
          </w:p>
          <w:p w14:paraId="63FFC0BC" w14:textId="77777777" w:rsidR="004631AB" w:rsidRDefault="004631AB">
            <w:pPr>
              <w:pStyle w:val="NoSpacing"/>
              <w:jc w:val="center"/>
              <w:rPr>
                <w:rFonts w:ascii="Times New Roman" w:hAnsi="Times New Roman" w:cs="Times New Roman"/>
                <w:sz w:val="18"/>
                <w:lang w:val="en-US"/>
              </w:rPr>
            </w:pPr>
          </w:p>
          <w:p w14:paraId="6591C83C" w14:textId="77777777" w:rsidR="004631AB" w:rsidRDefault="004631AB">
            <w:pPr>
              <w:pStyle w:val="NoSpacing"/>
              <w:jc w:val="center"/>
              <w:rPr>
                <w:rFonts w:ascii="Times New Roman" w:hAnsi="Times New Roman" w:cs="Times New Roman"/>
                <w:sz w:val="18"/>
                <w:lang w:val="en-US"/>
              </w:rPr>
            </w:pPr>
          </w:p>
        </w:tc>
      </w:tr>
    </w:tbl>
    <w:p w14:paraId="49195681" w14:textId="77777777" w:rsidR="004631AB" w:rsidRDefault="00000000">
      <w:pPr>
        <w:tabs>
          <w:tab w:val="left" w:pos="0"/>
        </w:tabs>
        <w:jc w:val="center"/>
        <w:rPr>
          <w:i/>
          <w:sz w:val="28"/>
          <w:szCs w:val="28"/>
          <w:lang w:val="es-ES"/>
        </w:rPr>
      </w:pPr>
      <w:r>
        <w:rPr>
          <w:i/>
          <w:sz w:val="28"/>
          <w:szCs w:val="28"/>
          <w:vertAlign w:val="superscript"/>
          <w:lang w:val="es-ES"/>
        </w:rPr>
        <w:t xml:space="preserve">¹ </w:t>
      </w:r>
      <w:proofErr w:type="spellStart"/>
      <w:r>
        <w:rPr>
          <w:i/>
          <w:sz w:val="28"/>
          <w:szCs w:val="28"/>
          <w:vertAlign w:val="superscript"/>
          <w:lang w:val="es-ES"/>
        </w:rPr>
        <w:t>Bioinformatics</w:t>
      </w:r>
      <w:proofErr w:type="spellEnd"/>
      <w:r>
        <w:rPr>
          <w:i/>
          <w:sz w:val="28"/>
          <w:szCs w:val="28"/>
          <w:vertAlign w:val="superscript"/>
          <w:lang w:val="es-ES"/>
        </w:rPr>
        <w:t xml:space="preserve"> Centre, </w:t>
      </w:r>
      <w:proofErr w:type="spellStart"/>
      <w:r>
        <w:rPr>
          <w:i/>
          <w:sz w:val="28"/>
          <w:szCs w:val="28"/>
          <w:vertAlign w:val="superscript"/>
          <w:lang w:val="es-ES"/>
        </w:rPr>
        <w:t>Savitribai</w:t>
      </w:r>
      <w:proofErr w:type="spellEnd"/>
      <w:r>
        <w:rPr>
          <w:i/>
          <w:sz w:val="28"/>
          <w:szCs w:val="28"/>
          <w:vertAlign w:val="superscript"/>
          <w:lang w:val="es-ES"/>
        </w:rPr>
        <w:t xml:space="preserve"> </w:t>
      </w:r>
      <w:proofErr w:type="spellStart"/>
      <w:r>
        <w:rPr>
          <w:i/>
          <w:sz w:val="28"/>
          <w:szCs w:val="28"/>
          <w:vertAlign w:val="superscript"/>
          <w:lang w:val="es-ES"/>
        </w:rPr>
        <w:t>Phule</w:t>
      </w:r>
      <w:proofErr w:type="spellEnd"/>
      <w:r>
        <w:rPr>
          <w:i/>
          <w:sz w:val="28"/>
          <w:szCs w:val="28"/>
          <w:vertAlign w:val="superscript"/>
          <w:lang w:val="es-ES"/>
        </w:rPr>
        <w:t xml:space="preserve"> Pune </w:t>
      </w:r>
      <w:proofErr w:type="spellStart"/>
      <w:r>
        <w:rPr>
          <w:i/>
          <w:sz w:val="28"/>
          <w:szCs w:val="28"/>
          <w:vertAlign w:val="superscript"/>
          <w:lang w:val="es-ES"/>
        </w:rPr>
        <w:t>University</w:t>
      </w:r>
      <w:proofErr w:type="spellEnd"/>
      <w:r>
        <w:rPr>
          <w:i/>
          <w:sz w:val="28"/>
          <w:szCs w:val="28"/>
          <w:vertAlign w:val="superscript"/>
          <w:lang w:val="es-ES"/>
        </w:rPr>
        <w:t>, Pune 411007 (MS), India.</w:t>
      </w:r>
    </w:p>
    <w:p w14:paraId="6C18813B" w14:textId="77777777" w:rsidR="004631AB" w:rsidRDefault="004631AB">
      <w:pPr>
        <w:spacing w:after="96"/>
        <w:ind w:left="3276" w:right="96"/>
        <w:jc w:val="both"/>
        <w:rPr>
          <w:i/>
          <w:sz w:val="18"/>
          <w:szCs w:val="18"/>
          <w:lang w:val="es-ES"/>
        </w:rPr>
      </w:pPr>
    </w:p>
    <w:p w14:paraId="0322A3A2" w14:textId="77777777" w:rsidR="004631AB" w:rsidRDefault="00000000">
      <w:pPr>
        <w:spacing w:after="96"/>
        <w:ind w:left="3276" w:right="96"/>
        <w:jc w:val="both"/>
        <w:rPr>
          <w:color w:val="1155CC"/>
          <w:sz w:val="15"/>
          <w:szCs w:val="15"/>
          <w:u w:val="single"/>
        </w:rPr>
      </w:pPr>
      <w:r>
        <w:rPr>
          <w:i/>
          <w:sz w:val="18"/>
          <w:szCs w:val="18"/>
          <w:lang w:val="es-ES"/>
        </w:rPr>
        <w:t>*</w:t>
      </w:r>
      <w:proofErr w:type="spellStart"/>
      <w:r>
        <w:rPr>
          <w:i/>
          <w:sz w:val="18"/>
          <w:szCs w:val="18"/>
          <w:lang w:val="es-ES"/>
        </w:rPr>
        <w:t>Corresponding</w:t>
      </w:r>
      <w:proofErr w:type="spellEnd"/>
      <w:r>
        <w:rPr>
          <w:i/>
          <w:sz w:val="18"/>
          <w:szCs w:val="18"/>
          <w:lang w:val="es-ES"/>
        </w:rPr>
        <w:t xml:space="preserve"> </w:t>
      </w:r>
      <w:proofErr w:type="spellStart"/>
      <w:proofErr w:type="gramStart"/>
      <w:r>
        <w:rPr>
          <w:i/>
          <w:sz w:val="18"/>
          <w:szCs w:val="18"/>
          <w:lang w:val="es-ES"/>
        </w:rPr>
        <w:t>author</w:t>
      </w:r>
      <w:proofErr w:type="spellEnd"/>
      <w:r>
        <w:rPr>
          <w:i/>
          <w:sz w:val="18"/>
          <w:szCs w:val="18"/>
          <w:lang w:val="es-ES"/>
        </w:rPr>
        <w:t xml:space="preserve"> :</w:t>
      </w:r>
      <w:proofErr w:type="gramEnd"/>
      <w:r>
        <w:rPr>
          <w:i/>
          <w:sz w:val="18"/>
          <w:szCs w:val="18"/>
          <w:lang w:val="es-ES"/>
        </w:rPr>
        <w:t xml:space="preserve"> </w:t>
      </w:r>
      <w:r>
        <w:rPr>
          <w:rFonts w:ascii="SimSun" w:eastAsia="SimSun" w:hAnsi="SimSun" w:cs="SimSun"/>
          <w:noProof/>
          <w:color w:val="202124"/>
          <w:sz w:val="18"/>
          <w:szCs w:val="18"/>
          <w:lang w:val="en-US" w:eastAsia="zh-CN" w:bidi="ar"/>
        </w:rPr>
        <w:drawing>
          <wp:inline distT="0" distB="0" distL="114300" distR="114300" wp14:anchorId="53504116" wp14:editId="48DDC035">
            <wp:extent cx="9525" cy="9525"/>
            <wp:effectExtent l="0" t="0" r="0" b="0"/>
            <wp:docPr id="6"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IMG_256"/>
                    <pic:cNvPicPr>
                      <a:picLocks noChangeAspect="1"/>
                    </pic:cNvPicPr>
                  </pic:nvPicPr>
                  <pic:blipFill>
                    <a:blip r:embed="rId12"/>
                    <a:stretch>
                      <a:fillRect/>
                    </a:stretch>
                  </pic:blipFill>
                  <pic:spPr>
                    <a:xfrm>
                      <a:off x="0" y="0"/>
                      <a:ext cx="9525" cy="9525"/>
                    </a:xfrm>
                    <a:prstGeom prst="rect">
                      <a:avLst/>
                    </a:prstGeom>
                    <a:noFill/>
                    <a:ln w="9525">
                      <a:noFill/>
                    </a:ln>
                  </pic:spPr>
                </pic:pic>
              </a:graphicData>
            </a:graphic>
          </wp:inline>
        </w:drawing>
      </w:r>
      <w:r>
        <w:rPr>
          <w:rFonts w:eastAsia="SimSun"/>
          <w:color w:val="1155CC"/>
          <w:sz w:val="16"/>
          <w:szCs w:val="16"/>
          <w:u w:val="single"/>
          <w:lang w:val="en-US" w:eastAsia="zh-CN" w:bidi="ar"/>
        </w:rPr>
        <w:t>vijaybaladhye@gmail.com</w:t>
      </w:r>
    </w:p>
    <w:p w14:paraId="62EC203E" w14:textId="77777777" w:rsidR="004631AB" w:rsidRDefault="004631AB">
      <w:pPr>
        <w:tabs>
          <w:tab w:val="left" w:pos="0"/>
        </w:tabs>
        <w:rPr>
          <w:rFonts w:ascii="Cambria" w:hAnsi="Cambria"/>
          <w:sz w:val="20"/>
          <w:szCs w:val="20"/>
          <w:lang w:val="es-ES"/>
        </w:rPr>
      </w:pPr>
    </w:p>
    <w:p w14:paraId="179DD2AE" w14:textId="77777777" w:rsidR="004631AB" w:rsidRDefault="00000000">
      <w:pPr>
        <w:shd w:val="clear" w:color="auto" w:fill="FFFFFF"/>
        <w:rPr>
          <w:sz w:val="15"/>
          <w:szCs w:val="15"/>
          <w:lang w:val="en-US"/>
        </w:rPr>
      </w:pPr>
      <w:r>
        <w:rPr>
          <w:sz w:val="15"/>
          <w:szCs w:val="15"/>
          <w:lang w:val="en-US"/>
        </w:rPr>
        <w:t>------------------------------------------------------------------------------------------------------------------------------------------------------------------------------------------------</w:t>
      </w:r>
    </w:p>
    <w:p w14:paraId="1CA813C3" w14:textId="77777777" w:rsidR="004631AB" w:rsidRDefault="004631AB">
      <w:pPr>
        <w:spacing w:after="120"/>
        <w:rPr>
          <w:b/>
          <w:sz w:val="18"/>
          <w:szCs w:val="18"/>
          <w:lang w:val="en-US"/>
        </w:rPr>
        <w:sectPr w:rsidR="004631AB">
          <w:headerReference w:type="default" r:id="rId13"/>
          <w:footerReference w:type="default" r:id="rId14"/>
          <w:pgSz w:w="11907" w:h="16839"/>
          <w:pgMar w:top="1701" w:right="1134" w:bottom="1418" w:left="1134" w:header="709" w:footer="709" w:gutter="0"/>
          <w:pgNumType w:start="1"/>
          <w:cols w:space="708"/>
          <w:docGrid w:linePitch="360"/>
        </w:sectPr>
      </w:pPr>
    </w:p>
    <w:p w14:paraId="770ADC4E" w14:textId="77777777" w:rsidR="004631AB" w:rsidRDefault="004631AB">
      <w:pPr>
        <w:rPr>
          <w:b/>
          <w:color w:val="0070C0"/>
          <w:sz w:val="20"/>
          <w:szCs w:val="20"/>
          <w:lang w:val="en-US"/>
        </w:rPr>
      </w:pPr>
    </w:p>
    <w:p w14:paraId="76B28C93" w14:textId="77777777" w:rsidR="004631AB" w:rsidRDefault="004631AB">
      <w:pPr>
        <w:rPr>
          <w:b/>
          <w:color w:val="0070C0"/>
          <w:sz w:val="20"/>
          <w:szCs w:val="20"/>
          <w:lang w:val="en-US"/>
        </w:rPr>
      </w:pPr>
    </w:p>
    <w:p w14:paraId="3AC7E780" w14:textId="77777777" w:rsidR="004631AB" w:rsidRDefault="004631AB">
      <w:pPr>
        <w:rPr>
          <w:b/>
          <w:color w:val="0070C0"/>
          <w:sz w:val="20"/>
          <w:szCs w:val="20"/>
          <w:lang w:val="en-US"/>
        </w:rPr>
        <w:sectPr w:rsidR="004631AB">
          <w:type w:val="continuous"/>
          <w:pgSz w:w="11907" w:h="16839"/>
          <w:pgMar w:top="1701" w:right="1134" w:bottom="1135" w:left="1134" w:header="709" w:footer="709" w:gutter="0"/>
          <w:pgNumType w:start="176"/>
          <w:cols w:num="2" w:space="567"/>
          <w:docGrid w:linePitch="360"/>
        </w:sectPr>
      </w:pPr>
    </w:p>
    <w:p w14:paraId="2208FC55" w14:textId="77777777" w:rsidR="004631AB" w:rsidRDefault="00000000">
      <w:pPr>
        <w:rPr>
          <w:b/>
          <w:color w:val="0070C0"/>
          <w:sz w:val="18"/>
          <w:szCs w:val="18"/>
          <w:lang w:val="en-US"/>
        </w:rPr>
      </w:pPr>
      <w:r>
        <w:rPr>
          <w:b/>
          <w:color w:val="0070C0"/>
          <w:sz w:val="18"/>
          <w:szCs w:val="18"/>
          <w:lang w:val="en-US"/>
        </w:rPr>
        <w:t xml:space="preserve">ABSTRACT </w:t>
      </w:r>
    </w:p>
    <w:p w14:paraId="4DC512C2" w14:textId="77777777" w:rsidR="004631AB" w:rsidRDefault="004631AB">
      <w:pPr>
        <w:rPr>
          <w:b/>
          <w:color w:val="0070C0"/>
          <w:sz w:val="18"/>
          <w:szCs w:val="18"/>
          <w:lang w:val="en-US"/>
        </w:rPr>
      </w:pPr>
    </w:p>
    <w:p w14:paraId="1C6D7A11" w14:textId="77777777" w:rsidR="004631AB" w:rsidRDefault="00000000">
      <w:pPr>
        <w:jc w:val="both"/>
        <w:rPr>
          <w:sz w:val="18"/>
          <w:szCs w:val="18"/>
        </w:rPr>
      </w:pPr>
      <w:r>
        <w:rPr>
          <w:sz w:val="18"/>
          <w:szCs w:val="18"/>
        </w:rPr>
        <w:t>Melanoma is an aggressive and currently incurable skin cancer, primarily affecting individuals with light skin pigmentation. Key oncogenic drivers include mutations in BRAF, NRAS, CDK4 and MITF, with signaling mediated mainly through the MAPK and PI3K–Akt pathways. MEK inhibitors have shown limited clinical success, emphasizing the need for novel therapeutic agents. In this study, structure-based virtual screening and molecular docking were employed to identify natural products that inhibit mutant NRAS. The crystal structure of wild-type NRAS was obtained from the Protein Data Bank and clinically relevant mutations (Gly12, Gly13, Gln61) were introduced computationally. A library of natural compounds from the ZINC database was screened, identifying candidates based on binding free energy. Eleven top-ranking compounds were further analyzed for binding interactions, revealing stabilizing hydrogen bonds and hydrophobic contacts, particularly involving residues Phe28 and Asp119. These compounds exhibited strong predicted affinity for the NRAS mutant binding site, representing promising scaffolds for further development. The results demonstrate the utility of computational approaches to accelerate early-stage drug discovery targeting oncogenic NRAS in melanoma.</w:t>
      </w:r>
    </w:p>
    <w:p w14:paraId="2EF08CA2" w14:textId="77777777" w:rsidR="004631AB" w:rsidRDefault="004631AB">
      <w:pPr>
        <w:jc w:val="both"/>
        <w:rPr>
          <w:rFonts w:eastAsia="Calibri"/>
          <w:sz w:val="18"/>
          <w:szCs w:val="18"/>
          <w:lang w:val="en"/>
        </w:rPr>
      </w:pPr>
    </w:p>
    <w:p w14:paraId="5D4FEE01" w14:textId="77777777" w:rsidR="004631AB" w:rsidRDefault="00000000">
      <w:pPr>
        <w:jc w:val="both"/>
        <w:rPr>
          <w:rFonts w:eastAsia="Calibri"/>
          <w:sz w:val="18"/>
          <w:szCs w:val="18"/>
          <w:lang w:val="en-US"/>
        </w:rPr>
        <w:sectPr w:rsidR="004631AB">
          <w:type w:val="continuous"/>
          <w:pgSz w:w="11907" w:h="16839"/>
          <w:pgMar w:top="1701" w:right="1134" w:bottom="1135" w:left="1134" w:header="709" w:footer="709" w:gutter="0"/>
          <w:pgNumType w:start="176"/>
          <w:cols w:space="567"/>
          <w:docGrid w:linePitch="360"/>
        </w:sectPr>
      </w:pPr>
      <w:r>
        <w:rPr>
          <w:b/>
          <w:color w:val="0070C0"/>
          <w:sz w:val="18"/>
          <w:szCs w:val="18"/>
          <w:lang w:val="en-US"/>
        </w:rPr>
        <w:t>Keywords:</w:t>
      </w:r>
      <w:r>
        <w:rPr>
          <w:b/>
          <w:color w:val="4472C4" w:themeColor="accent1"/>
          <w:sz w:val="18"/>
          <w:szCs w:val="18"/>
          <w:lang w:val="en-US"/>
        </w:rPr>
        <w:t xml:space="preserve"> </w:t>
      </w:r>
      <w:r>
        <w:rPr>
          <w:sz w:val="18"/>
          <w:szCs w:val="18"/>
        </w:rPr>
        <w:t xml:space="preserve">NRAS, melanoma, molecular docking, MEK inhibitor, natural compounds etc. </w:t>
      </w:r>
    </w:p>
    <w:p w14:paraId="5E6A7D52" w14:textId="77777777" w:rsidR="004631AB" w:rsidRDefault="004631AB">
      <w:pPr>
        <w:rPr>
          <w:b/>
          <w:color w:val="0070C0"/>
          <w:sz w:val="20"/>
          <w:szCs w:val="20"/>
          <w:lang w:val="en-US"/>
        </w:rPr>
      </w:pPr>
    </w:p>
    <w:p w14:paraId="36568E47" w14:textId="77777777" w:rsidR="004631AB" w:rsidRDefault="004631AB">
      <w:pPr>
        <w:pStyle w:val="PlainText"/>
        <w:rPr>
          <w:rFonts w:ascii="Times New Roman" w:hAnsi="Times New Roman"/>
          <w:sz w:val="15"/>
          <w:szCs w:val="15"/>
        </w:rPr>
        <w:sectPr w:rsidR="004631AB">
          <w:type w:val="continuous"/>
          <w:pgSz w:w="11907" w:h="16839"/>
          <w:pgMar w:top="1701" w:right="1134" w:bottom="1135" w:left="1134" w:header="709" w:footer="709" w:gutter="0"/>
          <w:pgNumType w:start="176"/>
          <w:cols w:num="2" w:space="567"/>
          <w:docGrid w:linePitch="360"/>
        </w:sectPr>
      </w:pPr>
    </w:p>
    <w:p w14:paraId="319D0B51" w14:textId="77777777" w:rsidR="004631AB" w:rsidRDefault="00000000">
      <w:pPr>
        <w:pStyle w:val="PlainText"/>
        <w:rPr>
          <w:rFonts w:ascii="Times New Roman" w:hAnsi="Times New Roman"/>
          <w:sz w:val="15"/>
          <w:szCs w:val="15"/>
        </w:rPr>
        <w:sectPr w:rsidR="004631AB">
          <w:type w:val="continuous"/>
          <w:pgSz w:w="11907" w:h="16839"/>
          <w:pgMar w:top="1701" w:right="1134" w:bottom="1135" w:left="1134" w:header="709" w:footer="709" w:gutter="0"/>
          <w:pgNumType w:start="176"/>
          <w:cols w:space="567"/>
          <w:docGrid w:linePitch="360"/>
        </w:sectPr>
      </w:pPr>
      <w:r>
        <w:rPr>
          <w:rFonts w:ascii="Times New Roman" w:hAnsi="Times New Roman"/>
          <w:sz w:val="15"/>
          <w:szCs w:val="15"/>
        </w:rPr>
        <w:t>------------------------------------------------------------------------------------------------------------------------------------------------------------------------------------------------</w:t>
      </w:r>
    </w:p>
    <w:p w14:paraId="70C7EDE0" w14:textId="77777777" w:rsidR="004631AB" w:rsidRDefault="004631AB">
      <w:pPr>
        <w:tabs>
          <w:tab w:val="left" w:pos="284"/>
        </w:tabs>
        <w:rPr>
          <w:sz w:val="18"/>
          <w:szCs w:val="18"/>
          <w:lang w:val="en-US"/>
        </w:rPr>
      </w:pPr>
    </w:p>
    <w:p w14:paraId="40FDA735" w14:textId="77777777" w:rsidR="004631AB" w:rsidRDefault="004631AB">
      <w:pPr>
        <w:tabs>
          <w:tab w:val="left" w:pos="284"/>
        </w:tabs>
        <w:rPr>
          <w:sz w:val="18"/>
          <w:szCs w:val="18"/>
          <w:lang w:val="en-US"/>
        </w:rPr>
      </w:pPr>
    </w:p>
    <w:p w14:paraId="5E046768" w14:textId="77777777" w:rsidR="004631AB" w:rsidRDefault="004631AB">
      <w:pPr>
        <w:tabs>
          <w:tab w:val="left" w:pos="284"/>
        </w:tabs>
        <w:rPr>
          <w:sz w:val="18"/>
          <w:szCs w:val="18"/>
          <w:lang w:val="en-US"/>
        </w:rPr>
        <w:sectPr w:rsidR="004631AB">
          <w:type w:val="continuous"/>
          <w:pgSz w:w="11907" w:h="16839"/>
          <w:pgMar w:top="1701" w:right="1134" w:bottom="1135" w:left="1134" w:header="709" w:footer="709" w:gutter="0"/>
          <w:pgNumType w:start="176"/>
          <w:cols w:num="2" w:space="567"/>
          <w:docGrid w:linePitch="360"/>
        </w:sectPr>
      </w:pPr>
    </w:p>
    <w:p w14:paraId="69FFE1BC" w14:textId="77777777" w:rsidR="004631AB" w:rsidRDefault="004631AB">
      <w:pPr>
        <w:pStyle w:val="PlainText"/>
        <w:rPr>
          <w:rFonts w:ascii="Times New Roman" w:hAnsi="Times New Roman"/>
          <w:sz w:val="15"/>
          <w:szCs w:val="15"/>
        </w:rPr>
        <w:sectPr w:rsidR="004631AB">
          <w:type w:val="continuous"/>
          <w:pgSz w:w="11907" w:h="16839"/>
          <w:pgMar w:top="1701" w:right="992" w:bottom="1418" w:left="1134" w:header="709" w:footer="709" w:gutter="0"/>
          <w:pgNumType w:start="176"/>
          <w:cols w:space="708"/>
          <w:docGrid w:linePitch="360"/>
        </w:sectPr>
      </w:pPr>
    </w:p>
    <w:p w14:paraId="1883EB26" w14:textId="77777777" w:rsidR="004631AB" w:rsidRDefault="00000000">
      <w:pPr>
        <w:jc w:val="both"/>
        <w:rPr>
          <w:b/>
          <w:color w:val="0070C0"/>
          <w:sz w:val="20"/>
          <w:szCs w:val="20"/>
          <w:lang w:val="en-US"/>
        </w:rPr>
      </w:pPr>
      <w:r>
        <w:rPr>
          <w:b/>
          <w:color w:val="0070C0"/>
          <w:sz w:val="20"/>
          <w:szCs w:val="20"/>
          <w:lang w:val="en-US"/>
        </w:rPr>
        <w:t xml:space="preserve">1. INTRODUCTION </w:t>
      </w:r>
    </w:p>
    <w:p w14:paraId="17E0E254" w14:textId="77777777" w:rsidR="004631AB" w:rsidRDefault="004631AB">
      <w:pPr>
        <w:jc w:val="both"/>
        <w:rPr>
          <w:b/>
          <w:color w:val="0070C0"/>
          <w:sz w:val="20"/>
          <w:szCs w:val="20"/>
          <w:lang w:val="en-US"/>
        </w:rPr>
      </w:pPr>
    </w:p>
    <w:p w14:paraId="079BE9A8" w14:textId="50F6825C" w:rsidR="00A359CF" w:rsidRDefault="00553B22">
      <w:pPr>
        <w:jc w:val="both"/>
        <w:rPr>
          <w:rFonts w:eastAsia="Calibri"/>
          <w:bCs/>
          <w:sz w:val="20"/>
          <w:szCs w:val="20"/>
          <w:lang w:val="en-US"/>
        </w:rPr>
      </w:pPr>
      <w:r w:rsidRPr="00553B22">
        <w:rPr>
          <w:rFonts w:eastAsia="Calibri"/>
          <w:bCs/>
          <w:sz w:val="20"/>
          <w:szCs w:val="20"/>
        </w:rPr>
        <w:t xml:space="preserve">Melanoma is a serious type of skin cancer that causes the most deaths worldwide. Melanocytes, found at the base of the epidermis, produce the UV-absorbing pigment melanin </w:t>
      </w:r>
      <w:r w:rsidRPr="00553B22">
        <w:rPr>
          <w:rFonts w:eastAsia="Calibri"/>
          <w:bCs/>
          <w:color w:val="0070C0"/>
          <w:sz w:val="20"/>
          <w:szCs w:val="20"/>
        </w:rPr>
        <w:t xml:space="preserve">(Cancer.Net Editorial Board, 2025). </w:t>
      </w:r>
      <w:r w:rsidRPr="00553B22">
        <w:rPr>
          <w:rFonts w:eastAsia="Calibri"/>
          <w:bCs/>
          <w:sz w:val="20"/>
          <w:szCs w:val="20"/>
        </w:rPr>
        <w:t xml:space="preserve">Several environmental and genetic factors contribute to melanoma; most cases arise from mutations that occur later in life </w:t>
      </w:r>
      <w:r w:rsidRPr="00553B22">
        <w:rPr>
          <w:rFonts w:eastAsia="Calibri"/>
          <w:bCs/>
          <w:color w:val="0070C0"/>
          <w:sz w:val="20"/>
          <w:szCs w:val="20"/>
        </w:rPr>
        <w:t xml:space="preserve">(National Cancer Institute, 2025; Cancer Genome Atlas Network, 2015). </w:t>
      </w:r>
      <w:r w:rsidR="00B871E4" w:rsidRPr="00B871E4">
        <w:rPr>
          <w:rFonts w:eastAsia="Calibri"/>
          <w:bCs/>
          <w:sz w:val="20"/>
          <w:szCs w:val="20"/>
          <w:lang w:val="en-US"/>
        </w:rPr>
        <w:t xml:space="preserve">Key molecular drivers of melanoma include mutations in the RAS family of small </w:t>
      </w:r>
      <w:r w:rsidR="00B871E4" w:rsidRPr="005944D3">
        <w:rPr>
          <w:rFonts w:eastAsia="Calibri"/>
          <w:bCs/>
          <w:color w:val="000000" w:themeColor="text1"/>
          <w:sz w:val="20"/>
          <w:szCs w:val="20"/>
          <w:lang w:val="en-US"/>
        </w:rPr>
        <w:t>GTPases</w:t>
      </w:r>
      <w:r w:rsidR="00B871E4" w:rsidRPr="005944D3">
        <w:rPr>
          <w:rFonts w:eastAsia="Calibri"/>
          <w:bCs/>
          <w:color w:val="0070C0"/>
          <w:sz w:val="20"/>
          <w:szCs w:val="20"/>
          <w:lang w:val="en-US"/>
        </w:rPr>
        <w:t xml:space="preserve"> (Al Mahi &amp; </w:t>
      </w:r>
      <w:proofErr w:type="spellStart"/>
      <w:r w:rsidR="00B871E4" w:rsidRPr="005944D3">
        <w:rPr>
          <w:rFonts w:eastAsia="Calibri"/>
          <w:bCs/>
          <w:color w:val="0070C0"/>
          <w:sz w:val="20"/>
          <w:szCs w:val="20"/>
          <w:lang w:val="en-US"/>
        </w:rPr>
        <w:t>Ablain</w:t>
      </w:r>
      <w:proofErr w:type="spellEnd"/>
      <w:r w:rsidR="00B871E4" w:rsidRPr="005944D3">
        <w:rPr>
          <w:rFonts w:eastAsia="Calibri"/>
          <w:bCs/>
          <w:color w:val="0070C0"/>
          <w:sz w:val="20"/>
          <w:szCs w:val="20"/>
          <w:lang w:val="en-US"/>
        </w:rPr>
        <w:t xml:space="preserve">, 2022). </w:t>
      </w:r>
      <w:r w:rsidR="00B871E4" w:rsidRPr="00B871E4">
        <w:rPr>
          <w:rFonts w:eastAsia="Calibri"/>
          <w:bCs/>
          <w:sz w:val="20"/>
          <w:szCs w:val="20"/>
          <w:lang w:val="en-US"/>
        </w:rPr>
        <w:t xml:space="preserve">RAS family proteins are crucial for various cellular processes like signaling, survival, cell death, and transporting materials within </w:t>
      </w:r>
      <w:r w:rsidR="00B871E4" w:rsidRPr="005944D3">
        <w:rPr>
          <w:rFonts w:eastAsia="Calibri"/>
          <w:bCs/>
          <w:sz w:val="20"/>
          <w:szCs w:val="20"/>
          <w:lang w:val="en-US"/>
        </w:rPr>
        <w:t>cells</w:t>
      </w:r>
      <w:r w:rsidR="00B871E4" w:rsidRPr="005944D3">
        <w:rPr>
          <w:rFonts w:eastAsia="Calibri"/>
          <w:bCs/>
          <w:color w:val="0070C0"/>
          <w:sz w:val="20"/>
          <w:szCs w:val="20"/>
          <w:lang w:val="en-US"/>
        </w:rPr>
        <w:t xml:space="preserve"> (Cherfils &amp; </w:t>
      </w:r>
      <w:proofErr w:type="spellStart"/>
      <w:r w:rsidR="00B871E4" w:rsidRPr="005944D3">
        <w:rPr>
          <w:rFonts w:eastAsia="Calibri"/>
          <w:bCs/>
          <w:color w:val="0070C0"/>
          <w:sz w:val="20"/>
          <w:szCs w:val="20"/>
          <w:lang w:val="en-US"/>
        </w:rPr>
        <w:t>Zeghouf</w:t>
      </w:r>
      <w:proofErr w:type="spellEnd"/>
      <w:r w:rsidR="00B871E4" w:rsidRPr="005944D3">
        <w:rPr>
          <w:rFonts w:eastAsia="Calibri"/>
          <w:bCs/>
          <w:color w:val="0070C0"/>
          <w:sz w:val="20"/>
          <w:szCs w:val="20"/>
          <w:lang w:val="en-US"/>
        </w:rPr>
        <w:t xml:space="preserve">, 2013; Hu &amp; Martí, 2025; Ostrem &amp; Shokat, 2016). </w:t>
      </w:r>
      <w:r w:rsidR="00B871E4" w:rsidRPr="00B871E4">
        <w:rPr>
          <w:rFonts w:eastAsia="Calibri"/>
          <w:bCs/>
          <w:sz w:val="20"/>
          <w:szCs w:val="20"/>
          <w:lang w:val="en-US"/>
        </w:rPr>
        <w:t xml:space="preserve">They act like switches, toggling between active (GTP-bound) and inactive (GDP-bound) states. This switching is mainly regulated by two flexible regions called Switch I (residues ~30–38) and Switch II (residues ~59–67) </w:t>
      </w:r>
      <w:r w:rsidR="00B871E4" w:rsidRPr="005944D3">
        <w:rPr>
          <w:rFonts w:eastAsia="Calibri"/>
          <w:bCs/>
          <w:color w:val="0070C0"/>
          <w:sz w:val="20"/>
          <w:szCs w:val="20"/>
          <w:lang w:val="en-US"/>
        </w:rPr>
        <w:t xml:space="preserve">(Hu &amp; Martí, 2025; </w:t>
      </w:r>
      <w:proofErr w:type="spellStart"/>
      <w:r w:rsidR="00B871E4" w:rsidRPr="005944D3">
        <w:rPr>
          <w:rFonts w:eastAsia="Calibri"/>
          <w:bCs/>
          <w:color w:val="0070C0"/>
          <w:sz w:val="20"/>
          <w:szCs w:val="20"/>
          <w:lang w:val="en-US"/>
        </w:rPr>
        <w:t>Kolch</w:t>
      </w:r>
      <w:proofErr w:type="spellEnd"/>
      <w:r w:rsidR="00B871E4" w:rsidRPr="005944D3">
        <w:rPr>
          <w:rFonts w:eastAsia="Calibri"/>
          <w:bCs/>
          <w:color w:val="0070C0"/>
          <w:sz w:val="20"/>
          <w:szCs w:val="20"/>
          <w:lang w:val="en-US"/>
        </w:rPr>
        <w:t xml:space="preserve"> et al., 2023; Li &amp; Zhang, 2004; </w:t>
      </w:r>
      <w:proofErr w:type="spellStart"/>
      <w:r w:rsidR="00B871E4" w:rsidRPr="005944D3">
        <w:rPr>
          <w:rFonts w:eastAsia="Calibri"/>
          <w:bCs/>
          <w:color w:val="0070C0"/>
          <w:sz w:val="20"/>
          <w:szCs w:val="20"/>
          <w:lang w:val="en-US"/>
        </w:rPr>
        <w:t>Spoerner</w:t>
      </w:r>
      <w:proofErr w:type="spellEnd"/>
      <w:r w:rsidR="00B871E4" w:rsidRPr="005944D3">
        <w:rPr>
          <w:rFonts w:eastAsia="Calibri"/>
          <w:bCs/>
          <w:color w:val="0070C0"/>
          <w:sz w:val="20"/>
          <w:szCs w:val="20"/>
          <w:lang w:val="en-US"/>
        </w:rPr>
        <w:t xml:space="preserve"> et al., 2010; Vetter &amp; </w:t>
      </w:r>
      <w:proofErr w:type="spellStart"/>
      <w:r w:rsidR="00B871E4" w:rsidRPr="005944D3">
        <w:rPr>
          <w:rFonts w:eastAsia="Calibri"/>
          <w:bCs/>
          <w:color w:val="0070C0"/>
          <w:sz w:val="20"/>
          <w:szCs w:val="20"/>
          <w:lang w:val="en-US"/>
        </w:rPr>
        <w:t>Wittinghofer</w:t>
      </w:r>
      <w:proofErr w:type="spellEnd"/>
      <w:r w:rsidR="00B871E4" w:rsidRPr="005944D3">
        <w:rPr>
          <w:rFonts w:eastAsia="Calibri"/>
          <w:bCs/>
          <w:color w:val="0070C0"/>
          <w:sz w:val="20"/>
          <w:szCs w:val="20"/>
          <w:lang w:val="en-US"/>
        </w:rPr>
        <w:t>, 2001).</w:t>
      </w:r>
      <w:r w:rsidR="00B871E4" w:rsidRPr="00B871E4">
        <w:rPr>
          <w:rFonts w:eastAsia="Calibri"/>
          <w:bCs/>
          <w:sz w:val="20"/>
          <w:szCs w:val="20"/>
          <w:lang w:val="en-US"/>
        </w:rPr>
        <w:t xml:space="preserve"> When active, they can engage with effector proteins that manage essential biological functions like EGFR, MAPK, or PI3K </w:t>
      </w:r>
      <w:r w:rsidR="00B871E4" w:rsidRPr="005944D3">
        <w:rPr>
          <w:rFonts w:eastAsia="Calibri"/>
          <w:bCs/>
          <w:color w:val="0070C0"/>
          <w:sz w:val="20"/>
          <w:szCs w:val="20"/>
          <w:lang w:val="en-US"/>
        </w:rPr>
        <w:t xml:space="preserve">(Ardito et al., 2012; Howe et al., 1992; Navas et al., 2012; </w:t>
      </w:r>
      <w:proofErr w:type="spellStart"/>
      <w:r w:rsidR="00B871E4" w:rsidRPr="005944D3">
        <w:rPr>
          <w:rFonts w:eastAsia="Calibri"/>
          <w:bCs/>
          <w:color w:val="0070C0"/>
          <w:sz w:val="20"/>
          <w:szCs w:val="20"/>
          <w:lang w:val="en-US"/>
        </w:rPr>
        <w:t>Normanno</w:t>
      </w:r>
      <w:proofErr w:type="spellEnd"/>
      <w:r w:rsidR="00B871E4" w:rsidRPr="005944D3">
        <w:rPr>
          <w:rFonts w:eastAsia="Calibri"/>
          <w:bCs/>
          <w:color w:val="0070C0"/>
          <w:sz w:val="20"/>
          <w:szCs w:val="20"/>
          <w:lang w:val="en-US"/>
        </w:rPr>
        <w:t xml:space="preserve"> et al., 2009; Rodriguez-</w:t>
      </w:r>
      <w:proofErr w:type="spellStart"/>
      <w:r w:rsidR="00B871E4" w:rsidRPr="005944D3">
        <w:rPr>
          <w:rFonts w:eastAsia="Calibri"/>
          <w:bCs/>
          <w:color w:val="0070C0"/>
          <w:sz w:val="20"/>
          <w:szCs w:val="20"/>
          <w:lang w:val="en-US"/>
        </w:rPr>
        <w:t>Viciana</w:t>
      </w:r>
      <w:proofErr w:type="spellEnd"/>
      <w:r w:rsidR="00B871E4" w:rsidRPr="005944D3">
        <w:rPr>
          <w:rFonts w:eastAsia="Calibri"/>
          <w:bCs/>
          <w:color w:val="0070C0"/>
          <w:sz w:val="20"/>
          <w:szCs w:val="20"/>
          <w:lang w:val="en-US"/>
        </w:rPr>
        <w:t xml:space="preserve"> et al., 1994; Wood et al., 1992).</w:t>
      </w:r>
      <w:r w:rsidR="00B871E4" w:rsidRPr="00B871E4">
        <w:rPr>
          <w:rFonts w:eastAsia="Calibri"/>
          <w:bCs/>
          <w:sz w:val="20"/>
          <w:szCs w:val="20"/>
          <w:lang w:val="en-US"/>
        </w:rPr>
        <w:t xml:space="preserve"> </w:t>
      </w:r>
      <w:r w:rsidR="00BC63D8">
        <w:rPr>
          <w:rFonts w:eastAsia="Calibri"/>
          <w:bCs/>
          <w:sz w:val="20"/>
          <w:szCs w:val="20"/>
          <w:lang w:val="en-US"/>
        </w:rPr>
        <w:t>E</w:t>
      </w:r>
      <w:r w:rsidR="00B871E4" w:rsidRPr="00B871E4">
        <w:rPr>
          <w:rFonts w:eastAsia="Calibri"/>
          <w:bCs/>
          <w:sz w:val="20"/>
          <w:szCs w:val="20"/>
          <w:lang w:val="en-US"/>
        </w:rPr>
        <w:t xml:space="preserve">xcessive RAS activation can result in various cancers </w:t>
      </w:r>
      <w:r w:rsidR="00B871E4" w:rsidRPr="005944D3">
        <w:rPr>
          <w:rFonts w:eastAsia="Calibri"/>
          <w:bCs/>
          <w:color w:val="0070C0"/>
          <w:sz w:val="20"/>
          <w:szCs w:val="20"/>
          <w:lang w:val="en-US"/>
        </w:rPr>
        <w:t xml:space="preserve">(Li et al., 2018; Moore et al., 2020). </w:t>
      </w:r>
      <w:r w:rsidR="00B871E4" w:rsidRPr="00B871E4">
        <w:rPr>
          <w:rFonts w:eastAsia="Calibri"/>
          <w:bCs/>
          <w:sz w:val="20"/>
          <w:szCs w:val="20"/>
          <w:lang w:val="en-US"/>
        </w:rPr>
        <w:t xml:space="preserve">Most cancer-related mutations occur in residues G12, G13, and Q61, which are found in a region shared by HRAS, KRAS, and NRAS </w:t>
      </w:r>
      <w:r w:rsidR="00B871E4" w:rsidRPr="005944D3">
        <w:rPr>
          <w:rFonts w:eastAsia="Calibri"/>
          <w:bCs/>
          <w:color w:val="0070C0"/>
          <w:sz w:val="20"/>
          <w:szCs w:val="20"/>
          <w:lang w:val="en-US"/>
        </w:rPr>
        <w:t>(</w:t>
      </w:r>
      <w:proofErr w:type="spellStart"/>
      <w:r w:rsidR="00B871E4" w:rsidRPr="005944D3">
        <w:rPr>
          <w:rFonts w:eastAsia="Calibri"/>
          <w:bCs/>
          <w:color w:val="0070C0"/>
          <w:sz w:val="20"/>
          <w:szCs w:val="20"/>
          <w:lang w:val="en-US"/>
        </w:rPr>
        <w:t>Pylayeva</w:t>
      </w:r>
      <w:proofErr w:type="spellEnd"/>
      <w:r w:rsidR="00B871E4" w:rsidRPr="005944D3">
        <w:rPr>
          <w:rFonts w:eastAsia="Calibri"/>
          <w:bCs/>
          <w:color w:val="0070C0"/>
          <w:sz w:val="20"/>
          <w:szCs w:val="20"/>
          <w:lang w:val="en-US"/>
        </w:rPr>
        <w:t xml:space="preserve">-Gupta et al., 2011). </w:t>
      </w:r>
      <w:r w:rsidR="00B871E4" w:rsidRPr="00B871E4">
        <w:rPr>
          <w:rFonts w:eastAsia="Calibri"/>
          <w:bCs/>
          <w:sz w:val="20"/>
          <w:szCs w:val="20"/>
          <w:lang w:val="en-US"/>
        </w:rPr>
        <w:t xml:space="preserve">Among these RAS isoforms, NRAS is particularly important in melanoma </w:t>
      </w:r>
      <w:r w:rsidR="00B871E4" w:rsidRPr="005944D3">
        <w:rPr>
          <w:rFonts w:eastAsia="Calibri"/>
          <w:bCs/>
          <w:color w:val="0070C0"/>
          <w:sz w:val="20"/>
          <w:szCs w:val="20"/>
          <w:lang w:val="en-US"/>
        </w:rPr>
        <w:t xml:space="preserve">(Johnson &amp; Puzanov, 2015; Wellbrock &amp; </w:t>
      </w:r>
      <w:proofErr w:type="spellStart"/>
      <w:r w:rsidR="00B871E4" w:rsidRPr="005944D3">
        <w:rPr>
          <w:rFonts w:eastAsia="Calibri"/>
          <w:bCs/>
          <w:color w:val="0070C0"/>
          <w:sz w:val="20"/>
          <w:szCs w:val="20"/>
          <w:lang w:val="en-US"/>
        </w:rPr>
        <w:t>Arozarena</w:t>
      </w:r>
      <w:proofErr w:type="spellEnd"/>
      <w:r w:rsidR="00B871E4" w:rsidRPr="005944D3">
        <w:rPr>
          <w:rFonts w:eastAsia="Calibri"/>
          <w:bCs/>
          <w:color w:val="0070C0"/>
          <w:sz w:val="20"/>
          <w:szCs w:val="20"/>
          <w:lang w:val="en-US"/>
        </w:rPr>
        <w:t xml:space="preserve">, 2016). </w:t>
      </w:r>
      <w:r w:rsidR="00B871E4" w:rsidRPr="00B871E4">
        <w:rPr>
          <w:rFonts w:eastAsia="Calibri"/>
          <w:bCs/>
          <w:sz w:val="20"/>
          <w:szCs w:val="20"/>
          <w:lang w:val="en-US"/>
        </w:rPr>
        <w:t xml:space="preserve">Activating mutations in NRAS, especially at codon 61, are found in many melanoma cases and are closely linked to the activation of the MAPK signaling pathway </w:t>
      </w:r>
      <w:r w:rsidR="00B871E4" w:rsidRPr="005944D3">
        <w:rPr>
          <w:rFonts w:eastAsia="Calibri"/>
          <w:bCs/>
          <w:color w:val="0070C0"/>
          <w:sz w:val="20"/>
          <w:szCs w:val="20"/>
          <w:lang w:val="en-US"/>
        </w:rPr>
        <w:t xml:space="preserve">(Johnson &amp; Puzanov, 2015; </w:t>
      </w:r>
      <w:proofErr w:type="spellStart"/>
      <w:r w:rsidR="00B871E4" w:rsidRPr="005944D3">
        <w:rPr>
          <w:rFonts w:eastAsia="Calibri"/>
          <w:bCs/>
          <w:color w:val="0070C0"/>
          <w:sz w:val="20"/>
          <w:szCs w:val="20"/>
          <w:lang w:val="en-US"/>
        </w:rPr>
        <w:t>Pylayeva</w:t>
      </w:r>
      <w:proofErr w:type="spellEnd"/>
      <w:r w:rsidR="00B871E4" w:rsidRPr="005944D3">
        <w:rPr>
          <w:rFonts w:eastAsia="Calibri"/>
          <w:bCs/>
          <w:color w:val="0070C0"/>
          <w:sz w:val="20"/>
          <w:szCs w:val="20"/>
          <w:lang w:val="en-US"/>
        </w:rPr>
        <w:t xml:space="preserve">-Gupta et al., 2011). </w:t>
      </w:r>
      <w:r w:rsidR="00B871E4" w:rsidRPr="00B871E4">
        <w:rPr>
          <w:rFonts w:eastAsia="Calibri"/>
          <w:bCs/>
          <w:sz w:val="20"/>
          <w:szCs w:val="20"/>
          <w:lang w:val="en-US"/>
        </w:rPr>
        <w:t xml:space="preserve">Melanoma with NRAS mutations represents a unique and challenging subgroup in treatment </w:t>
      </w:r>
      <w:r w:rsidR="00B871E4" w:rsidRPr="005944D3">
        <w:rPr>
          <w:rFonts w:eastAsia="Calibri"/>
          <w:bCs/>
          <w:color w:val="0070C0"/>
          <w:sz w:val="20"/>
          <w:szCs w:val="20"/>
          <w:lang w:val="en-US"/>
        </w:rPr>
        <w:t xml:space="preserve">(Johnson &amp; Puzanov, 2015; Wellbrock &amp; </w:t>
      </w:r>
      <w:proofErr w:type="spellStart"/>
      <w:r w:rsidR="00B871E4" w:rsidRPr="005944D3">
        <w:rPr>
          <w:rFonts w:eastAsia="Calibri"/>
          <w:bCs/>
          <w:color w:val="0070C0"/>
          <w:sz w:val="20"/>
          <w:szCs w:val="20"/>
          <w:lang w:val="en-US"/>
        </w:rPr>
        <w:t>Arozarena</w:t>
      </w:r>
      <w:proofErr w:type="spellEnd"/>
      <w:r w:rsidR="00B871E4" w:rsidRPr="005944D3">
        <w:rPr>
          <w:rFonts w:eastAsia="Calibri"/>
          <w:bCs/>
          <w:color w:val="0070C0"/>
          <w:sz w:val="20"/>
          <w:szCs w:val="20"/>
          <w:lang w:val="en-US"/>
        </w:rPr>
        <w:t>, 2016)</w:t>
      </w:r>
      <w:r w:rsidR="0019330A">
        <w:rPr>
          <w:rFonts w:eastAsia="Calibri"/>
          <w:bCs/>
          <w:color w:val="0070C0"/>
          <w:sz w:val="20"/>
          <w:szCs w:val="20"/>
          <w:lang w:val="en-US"/>
        </w:rPr>
        <w:t xml:space="preserve">, </w:t>
      </w:r>
      <w:r w:rsidR="0019330A" w:rsidRPr="0019330A">
        <w:rPr>
          <w:rFonts w:eastAsia="Calibri"/>
          <w:bCs/>
          <w:sz w:val="20"/>
          <w:szCs w:val="20"/>
          <w:lang w:val="en-US"/>
        </w:rPr>
        <w:t>s</w:t>
      </w:r>
      <w:r w:rsidR="00B871E4" w:rsidRPr="0019330A">
        <w:rPr>
          <w:rFonts w:eastAsia="Calibri"/>
          <w:bCs/>
          <w:sz w:val="20"/>
          <w:szCs w:val="20"/>
          <w:lang w:val="en-US"/>
        </w:rPr>
        <w:t>tudies</w:t>
      </w:r>
      <w:r w:rsidR="00B871E4" w:rsidRPr="00B871E4">
        <w:rPr>
          <w:rFonts w:eastAsia="Calibri"/>
          <w:bCs/>
          <w:sz w:val="20"/>
          <w:szCs w:val="20"/>
          <w:lang w:val="en-US"/>
        </w:rPr>
        <w:t xml:space="preserve"> show that NRAS mutations tend to keep an active GTP-bound form </w:t>
      </w:r>
      <w:r w:rsidR="00B871E4" w:rsidRPr="005944D3">
        <w:rPr>
          <w:rFonts w:eastAsia="Calibri"/>
          <w:bCs/>
          <w:color w:val="0070C0"/>
          <w:sz w:val="20"/>
          <w:szCs w:val="20"/>
          <w:lang w:val="en-US"/>
        </w:rPr>
        <w:t xml:space="preserve">(Li &amp; Zhang, 2004; Vetter &amp; </w:t>
      </w:r>
      <w:proofErr w:type="spellStart"/>
      <w:r w:rsidR="00B871E4" w:rsidRPr="005944D3">
        <w:rPr>
          <w:rFonts w:eastAsia="Calibri"/>
          <w:bCs/>
          <w:color w:val="0070C0"/>
          <w:sz w:val="20"/>
          <w:szCs w:val="20"/>
          <w:lang w:val="en-US"/>
        </w:rPr>
        <w:lastRenderedPageBreak/>
        <w:t>Wittinghofer</w:t>
      </w:r>
      <w:proofErr w:type="spellEnd"/>
      <w:r w:rsidR="00B871E4" w:rsidRPr="005944D3">
        <w:rPr>
          <w:rFonts w:eastAsia="Calibri"/>
          <w:bCs/>
          <w:color w:val="0070C0"/>
          <w:sz w:val="20"/>
          <w:szCs w:val="20"/>
          <w:lang w:val="en-US"/>
        </w:rPr>
        <w:t>, 2001)</w:t>
      </w:r>
      <w:r w:rsidR="0019330A">
        <w:rPr>
          <w:rFonts w:eastAsia="Calibri"/>
          <w:bCs/>
          <w:color w:val="0070C0"/>
          <w:sz w:val="20"/>
          <w:szCs w:val="20"/>
          <w:lang w:val="en-US"/>
        </w:rPr>
        <w:t>,</w:t>
      </w:r>
      <w:r w:rsidR="00B871E4" w:rsidRPr="005944D3">
        <w:rPr>
          <w:rFonts w:eastAsia="Calibri"/>
          <w:bCs/>
          <w:color w:val="0070C0"/>
          <w:sz w:val="20"/>
          <w:szCs w:val="20"/>
          <w:lang w:val="en-US"/>
        </w:rPr>
        <w:t xml:space="preserve"> </w:t>
      </w:r>
      <w:r w:rsidR="0019330A">
        <w:rPr>
          <w:rFonts w:eastAsia="Calibri"/>
          <w:bCs/>
          <w:sz w:val="20"/>
          <w:szCs w:val="20"/>
          <w:lang w:val="en-US"/>
        </w:rPr>
        <w:t>t</w:t>
      </w:r>
      <w:r w:rsidR="00B871E4" w:rsidRPr="00B871E4">
        <w:rPr>
          <w:rFonts w:eastAsia="Calibri"/>
          <w:bCs/>
          <w:sz w:val="20"/>
          <w:szCs w:val="20"/>
          <w:lang w:val="en-US"/>
        </w:rPr>
        <w:t xml:space="preserve">he P-loop, also known as the Walker-A or G1 motif, is a glycine-rich region that binds to the β- and γ-phosphates of GDP/GTP and is highly conserved in Ras and other small GTPases </w:t>
      </w:r>
      <w:r w:rsidR="00B871E4" w:rsidRPr="005944D3">
        <w:rPr>
          <w:rFonts w:eastAsia="Calibri"/>
          <w:bCs/>
          <w:color w:val="0070C0"/>
          <w:sz w:val="20"/>
          <w:szCs w:val="20"/>
          <w:lang w:val="en-US"/>
        </w:rPr>
        <w:t xml:space="preserve">(Vetter &amp; </w:t>
      </w:r>
      <w:proofErr w:type="spellStart"/>
      <w:r w:rsidR="00B871E4" w:rsidRPr="005944D3">
        <w:rPr>
          <w:rFonts w:eastAsia="Calibri"/>
          <w:bCs/>
          <w:color w:val="0070C0"/>
          <w:sz w:val="20"/>
          <w:szCs w:val="20"/>
          <w:lang w:val="en-US"/>
        </w:rPr>
        <w:t>Wittinghofer</w:t>
      </w:r>
      <w:proofErr w:type="spellEnd"/>
      <w:r w:rsidR="00B871E4" w:rsidRPr="005944D3">
        <w:rPr>
          <w:rFonts w:eastAsia="Calibri"/>
          <w:bCs/>
          <w:color w:val="0070C0"/>
          <w:sz w:val="20"/>
          <w:szCs w:val="20"/>
          <w:lang w:val="en-US"/>
        </w:rPr>
        <w:t xml:space="preserve">, 2001). </w:t>
      </w:r>
      <w:r w:rsidR="00B871E4" w:rsidRPr="00B871E4">
        <w:rPr>
          <w:rFonts w:eastAsia="Calibri"/>
          <w:bCs/>
          <w:sz w:val="20"/>
          <w:szCs w:val="20"/>
          <w:lang w:val="en-US"/>
        </w:rPr>
        <w:t xml:space="preserve">Although some targeting strategies for KRAS (G12C) have recently been successful, similar methods for NRAS are still lacking </w:t>
      </w:r>
      <w:r w:rsidR="00B871E4" w:rsidRPr="005944D3">
        <w:rPr>
          <w:rFonts w:eastAsia="Calibri"/>
          <w:bCs/>
          <w:color w:val="0070C0"/>
          <w:sz w:val="20"/>
          <w:szCs w:val="20"/>
          <w:lang w:val="en-US"/>
        </w:rPr>
        <w:t xml:space="preserve">(Moore et al., 2020; Ostrem &amp; Shokat, 2016). </w:t>
      </w:r>
      <w:r w:rsidR="00B871E4" w:rsidRPr="00B871E4">
        <w:rPr>
          <w:rFonts w:eastAsia="Calibri"/>
          <w:bCs/>
          <w:sz w:val="20"/>
          <w:szCs w:val="20"/>
          <w:lang w:val="en-US"/>
        </w:rPr>
        <w:t xml:space="preserve">Recent designs, like the potential inhibitor HM-387, aim to target the positively charged NRAS-Q61 mutant R61, pushing it into an “off-like” state. Thus, most current treatment approaches for NRAS mutant melanoma focus on indirect targeting of downstream signaling pathways </w:t>
      </w:r>
      <w:r w:rsidR="00B871E4" w:rsidRPr="005944D3">
        <w:rPr>
          <w:rFonts w:eastAsia="Calibri"/>
          <w:bCs/>
          <w:color w:val="0070C0"/>
          <w:sz w:val="20"/>
          <w:szCs w:val="20"/>
          <w:lang w:val="en-US"/>
        </w:rPr>
        <w:t xml:space="preserve">(Johnson &amp; Puzanov, 2015; Wellbrock &amp; </w:t>
      </w:r>
      <w:proofErr w:type="spellStart"/>
      <w:r w:rsidR="00B871E4" w:rsidRPr="005944D3">
        <w:rPr>
          <w:rFonts w:eastAsia="Calibri"/>
          <w:bCs/>
          <w:color w:val="0070C0"/>
          <w:sz w:val="20"/>
          <w:szCs w:val="20"/>
          <w:lang w:val="en-US"/>
        </w:rPr>
        <w:t>Arozarena</w:t>
      </w:r>
      <w:proofErr w:type="spellEnd"/>
      <w:r w:rsidR="00B871E4" w:rsidRPr="005944D3">
        <w:rPr>
          <w:rFonts w:eastAsia="Calibri"/>
          <w:bCs/>
          <w:color w:val="0070C0"/>
          <w:sz w:val="20"/>
          <w:szCs w:val="20"/>
          <w:lang w:val="en-US"/>
        </w:rPr>
        <w:t xml:space="preserve">, 2016). </w:t>
      </w:r>
      <w:r w:rsidR="00B871E4" w:rsidRPr="00B871E4">
        <w:rPr>
          <w:rFonts w:eastAsia="Calibri"/>
          <w:bCs/>
          <w:sz w:val="20"/>
          <w:szCs w:val="20"/>
          <w:lang w:val="en-US"/>
        </w:rPr>
        <w:t xml:space="preserve">MEK inhibitors such as </w:t>
      </w:r>
      <w:proofErr w:type="spellStart"/>
      <w:r w:rsidR="00B871E4" w:rsidRPr="00B871E4">
        <w:rPr>
          <w:rFonts w:eastAsia="Calibri"/>
          <w:bCs/>
          <w:sz w:val="20"/>
          <w:szCs w:val="20"/>
          <w:lang w:val="en-US"/>
        </w:rPr>
        <w:t>binimetinib</w:t>
      </w:r>
      <w:proofErr w:type="spellEnd"/>
      <w:r w:rsidR="00B871E4" w:rsidRPr="00B871E4">
        <w:rPr>
          <w:rFonts w:eastAsia="Calibri"/>
          <w:bCs/>
          <w:sz w:val="20"/>
          <w:szCs w:val="20"/>
          <w:lang w:val="en-US"/>
        </w:rPr>
        <w:t xml:space="preserve"> and trametinib have shown some clinical effectiveness; however, response rates are still low and resistance often occurs </w:t>
      </w:r>
      <w:r w:rsidR="00B871E4" w:rsidRPr="005944D3">
        <w:rPr>
          <w:rFonts w:eastAsia="Calibri"/>
          <w:bCs/>
          <w:color w:val="0070C0"/>
          <w:sz w:val="20"/>
          <w:szCs w:val="20"/>
          <w:lang w:val="en-US"/>
        </w:rPr>
        <w:t xml:space="preserve">(Johnson &amp; Puzanov, 2015). </w:t>
      </w:r>
      <w:r w:rsidR="00B871E4" w:rsidRPr="00B871E4">
        <w:rPr>
          <w:rFonts w:eastAsia="Calibri"/>
          <w:bCs/>
          <w:sz w:val="20"/>
          <w:szCs w:val="20"/>
          <w:lang w:val="en-US"/>
        </w:rPr>
        <w:t xml:space="preserve">Farnesyltransferase inhibitors and combination therapies have also been examined, but achieving long-lasting and specific inhibition of NRAS remains challenging </w:t>
      </w:r>
      <w:r w:rsidR="00B871E4" w:rsidRPr="00895AD8">
        <w:rPr>
          <w:rFonts w:eastAsia="Calibri"/>
          <w:bCs/>
          <w:color w:val="0070C0"/>
          <w:sz w:val="20"/>
          <w:szCs w:val="20"/>
          <w:lang w:val="en-US"/>
        </w:rPr>
        <w:t xml:space="preserve">(Moore et al., 2020). </w:t>
      </w:r>
      <w:r w:rsidR="00B871E4" w:rsidRPr="00B871E4">
        <w:rPr>
          <w:rFonts w:eastAsia="Calibri"/>
          <w:bCs/>
          <w:sz w:val="20"/>
          <w:szCs w:val="20"/>
          <w:lang w:val="en-US"/>
        </w:rPr>
        <w:t xml:space="preserve">This highlights a pressing need for new methods to directly inhibit mutant NRAS. Natural products serve as a reliable yet </w:t>
      </w:r>
      <w:proofErr w:type="spellStart"/>
      <w:r w:rsidR="005944D3">
        <w:rPr>
          <w:rFonts w:eastAsia="Calibri"/>
          <w:bCs/>
          <w:sz w:val="20"/>
          <w:szCs w:val="20"/>
          <w:lang w:val="en-US"/>
        </w:rPr>
        <w:t>underutilised</w:t>
      </w:r>
      <w:proofErr w:type="spellEnd"/>
      <w:r w:rsidR="00B871E4" w:rsidRPr="00B871E4">
        <w:rPr>
          <w:rFonts w:eastAsia="Calibri"/>
          <w:bCs/>
          <w:sz w:val="20"/>
          <w:szCs w:val="20"/>
          <w:lang w:val="en-US"/>
        </w:rPr>
        <w:t xml:space="preserve"> source of bioactive compounds. Due to their structural diversity, complexity, and natural evolution for biological effects, natural compounds have significantly contributed to developing anticancer drugs </w:t>
      </w:r>
      <w:r w:rsidR="00B871E4" w:rsidRPr="005944D3">
        <w:rPr>
          <w:rFonts w:eastAsia="Calibri"/>
          <w:bCs/>
          <w:color w:val="0070C0"/>
          <w:sz w:val="20"/>
          <w:szCs w:val="20"/>
          <w:lang w:val="en-US"/>
        </w:rPr>
        <w:t xml:space="preserve">(Harvey et al., 2015; Newman &amp; Cragg, 2020). </w:t>
      </w:r>
      <w:r w:rsidR="00B871E4" w:rsidRPr="00B871E4">
        <w:rPr>
          <w:rFonts w:eastAsia="Calibri"/>
          <w:bCs/>
          <w:sz w:val="20"/>
          <w:szCs w:val="20"/>
          <w:lang w:val="en-US"/>
        </w:rPr>
        <w:t xml:space="preserve">Notably, many approved anticancer treatments come from natural products or their derivatives, emphasizing their importance in drug discovery </w:t>
      </w:r>
      <w:r w:rsidR="00B871E4" w:rsidRPr="005944D3">
        <w:rPr>
          <w:rFonts w:eastAsia="Calibri"/>
          <w:bCs/>
          <w:color w:val="0070C0"/>
          <w:sz w:val="20"/>
          <w:szCs w:val="20"/>
          <w:lang w:val="en-US"/>
        </w:rPr>
        <w:t xml:space="preserve">(Newman &amp; Cragg, 2020). </w:t>
      </w:r>
      <w:r w:rsidR="001E0171" w:rsidRPr="001E0171">
        <w:rPr>
          <w:rFonts w:eastAsia="Calibri"/>
          <w:bCs/>
          <w:sz w:val="20"/>
          <w:szCs w:val="20"/>
        </w:rPr>
        <w:t xml:space="preserve">Computational methods based on structure offer an effective way to explore these options. Molecular docking and virtual screening allow for evaluation of how ligands bind </w:t>
      </w:r>
      <w:r w:rsidR="001E0171" w:rsidRPr="001E0171">
        <w:rPr>
          <w:rFonts w:eastAsia="Calibri"/>
          <w:bCs/>
          <w:color w:val="0070C0"/>
          <w:sz w:val="20"/>
          <w:szCs w:val="20"/>
        </w:rPr>
        <w:t xml:space="preserve">(Kitchen et al., 2004; Lionta et al., 2014), </w:t>
      </w:r>
      <w:r w:rsidR="001E0171" w:rsidRPr="001E0171">
        <w:rPr>
          <w:rFonts w:eastAsia="Calibri"/>
          <w:bCs/>
          <w:sz w:val="20"/>
          <w:szCs w:val="20"/>
        </w:rPr>
        <w:t xml:space="preserve">and have been successfully applied in recent in-silico drug discovery studies for identifying bioactive compounds against therapeutic targets </w:t>
      </w:r>
      <w:r w:rsidR="001E0171" w:rsidRPr="001E0171">
        <w:rPr>
          <w:rFonts w:eastAsia="Calibri"/>
          <w:bCs/>
          <w:color w:val="0070C0"/>
          <w:sz w:val="20"/>
          <w:szCs w:val="20"/>
        </w:rPr>
        <w:t xml:space="preserve">(Başar et al., 2024). </w:t>
      </w:r>
      <w:r w:rsidR="001E0171" w:rsidRPr="001E0171">
        <w:rPr>
          <w:rFonts w:eastAsia="Calibri"/>
          <w:bCs/>
          <w:sz w:val="20"/>
          <w:szCs w:val="20"/>
        </w:rPr>
        <w:t>These techniques are especially useful for targets like NRAS, where experimental data on ligand-bound structures is sparse.</w:t>
      </w:r>
      <w:r w:rsidR="001E0171">
        <w:rPr>
          <w:rFonts w:eastAsia="Calibri"/>
          <w:bCs/>
          <w:sz w:val="20"/>
          <w:szCs w:val="20"/>
        </w:rPr>
        <w:t xml:space="preserve"> </w:t>
      </w:r>
      <w:r w:rsidR="00B871E4" w:rsidRPr="00B871E4">
        <w:rPr>
          <w:rFonts w:eastAsia="Calibri"/>
          <w:bCs/>
          <w:sz w:val="20"/>
          <w:szCs w:val="20"/>
          <w:lang w:val="en-US"/>
        </w:rPr>
        <w:t>In this study, we used a structure-based computational approach to find natural compounds in the ZINC database with potential activity against relevant mutant NRAS variants (G12, G13, and Q61). We created and validated mutant protein models, followed by extensive virtual screening of natural compounds and molecular docking. We assessed candidate compounds based on predicted binding energy and detailed interaction analysis to identify the top molecules with stable hydrogen-bond and hydrophobic interactions with important functional residues in the NRAS active site.</w:t>
      </w:r>
    </w:p>
    <w:p w14:paraId="73A3D549" w14:textId="77777777" w:rsidR="00B871E4" w:rsidRDefault="00B871E4">
      <w:pPr>
        <w:jc w:val="both"/>
        <w:rPr>
          <w:rFonts w:eastAsia="Calibri"/>
          <w:b/>
          <w:color w:val="0070C0"/>
          <w:sz w:val="20"/>
          <w:szCs w:val="20"/>
          <w:lang w:val="en-US"/>
        </w:rPr>
      </w:pPr>
    </w:p>
    <w:p w14:paraId="6AA136F3" w14:textId="77777777" w:rsidR="00DF69E3" w:rsidRDefault="00DF69E3">
      <w:pPr>
        <w:jc w:val="both"/>
        <w:rPr>
          <w:rFonts w:eastAsia="Calibri"/>
          <w:b/>
          <w:color w:val="0070C0"/>
          <w:sz w:val="20"/>
          <w:szCs w:val="20"/>
          <w:lang w:val="en-US"/>
        </w:rPr>
      </w:pPr>
    </w:p>
    <w:p w14:paraId="56210C4F" w14:textId="77777777" w:rsidR="00DF69E3" w:rsidRDefault="00DF69E3">
      <w:pPr>
        <w:jc w:val="both"/>
        <w:rPr>
          <w:rFonts w:eastAsia="Calibri"/>
          <w:b/>
          <w:color w:val="0070C0"/>
          <w:sz w:val="20"/>
          <w:szCs w:val="20"/>
          <w:lang w:val="en-US"/>
        </w:rPr>
      </w:pPr>
    </w:p>
    <w:p w14:paraId="162D65A3" w14:textId="77777777" w:rsidR="00DF69E3" w:rsidRDefault="00DF69E3">
      <w:pPr>
        <w:jc w:val="both"/>
        <w:rPr>
          <w:rFonts w:eastAsia="Calibri"/>
          <w:b/>
          <w:color w:val="0070C0"/>
          <w:sz w:val="20"/>
          <w:szCs w:val="20"/>
          <w:lang w:val="en-US"/>
        </w:rPr>
      </w:pPr>
    </w:p>
    <w:p w14:paraId="43797AE3" w14:textId="77777777" w:rsidR="00DF69E3" w:rsidRDefault="00DF69E3">
      <w:pPr>
        <w:jc w:val="both"/>
        <w:rPr>
          <w:rFonts w:eastAsia="Calibri"/>
          <w:b/>
          <w:color w:val="0070C0"/>
          <w:sz w:val="20"/>
          <w:szCs w:val="20"/>
          <w:lang w:val="en-US"/>
        </w:rPr>
      </w:pPr>
    </w:p>
    <w:p w14:paraId="1D470BE0" w14:textId="77777777" w:rsidR="00DF69E3" w:rsidRDefault="00DF69E3">
      <w:pPr>
        <w:jc w:val="both"/>
        <w:rPr>
          <w:rFonts w:eastAsia="Calibri"/>
          <w:b/>
          <w:color w:val="0070C0"/>
          <w:sz w:val="20"/>
          <w:szCs w:val="20"/>
          <w:lang w:val="en-US"/>
        </w:rPr>
      </w:pPr>
    </w:p>
    <w:p w14:paraId="38CAF251" w14:textId="266C2152" w:rsidR="004631AB" w:rsidRDefault="00000000">
      <w:pPr>
        <w:jc w:val="both"/>
        <w:rPr>
          <w:rFonts w:eastAsia="Calibri"/>
          <w:b/>
          <w:color w:val="0070C0"/>
          <w:sz w:val="20"/>
          <w:szCs w:val="20"/>
          <w:lang w:val="en-US"/>
        </w:rPr>
      </w:pPr>
      <w:r>
        <w:rPr>
          <w:rFonts w:eastAsia="Calibri"/>
          <w:b/>
          <w:color w:val="0070C0"/>
          <w:sz w:val="20"/>
          <w:szCs w:val="20"/>
          <w:lang w:val="en-US"/>
        </w:rPr>
        <w:t>2.1. Methods</w:t>
      </w:r>
    </w:p>
    <w:p w14:paraId="20073AC5" w14:textId="10A7FBD1" w:rsidR="00B319B6" w:rsidRPr="00B319B6" w:rsidRDefault="00B319B6" w:rsidP="00B319B6">
      <w:pPr>
        <w:jc w:val="both"/>
        <w:rPr>
          <w:rFonts w:eastAsia="Calibri"/>
          <w:sz w:val="20"/>
          <w:szCs w:val="20"/>
          <w:lang w:val="en-IN"/>
        </w:rPr>
      </w:pPr>
    </w:p>
    <w:p w14:paraId="50666262" w14:textId="77777777" w:rsidR="00B319B6" w:rsidRPr="00B319B6" w:rsidRDefault="00B319B6" w:rsidP="00B319B6">
      <w:pPr>
        <w:jc w:val="both"/>
        <w:rPr>
          <w:rFonts w:eastAsia="Calibri"/>
          <w:b/>
          <w:bCs/>
          <w:color w:val="0070C0"/>
          <w:sz w:val="20"/>
          <w:szCs w:val="20"/>
          <w:lang w:val="en-IN"/>
        </w:rPr>
      </w:pPr>
      <w:r w:rsidRPr="00B319B6">
        <w:rPr>
          <w:rFonts w:eastAsia="Calibri"/>
          <w:b/>
          <w:bCs/>
          <w:color w:val="0070C0"/>
          <w:sz w:val="20"/>
          <w:szCs w:val="20"/>
          <w:lang w:val="en-IN"/>
        </w:rPr>
        <w:t>2.1.1. Target identification</w:t>
      </w:r>
    </w:p>
    <w:p w14:paraId="02D91E63" w14:textId="77777777" w:rsidR="00B319B6" w:rsidRPr="00B319B6" w:rsidRDefault="00B319B6" w:rsidP="00B319B6">
      <w:pPr>
        <w:jc w:val="both"/>
        <w:rPr>
          <w:rFonts w:eastAsia="Calibri"/>
          <w:sz w:val="20"/>
          <w:szCs w:val="20"/>
          <w:lang w:val="en-IN"/>
        </w:rPr>
      </w:pPr>
      <w:r w:rsidRPr="00B319B6">
        <w:rPr>
          <w:rFonts w:eastAsia="Calibri"/>
          <w:sz w:val="20"/>
          <w:szCs w:val="20"/>
          <w:lang w:val="en-IN"/>
        </w:rPr>
        <w:t> </w:t>
      </w:r>
    </w:p>
    <w:p w14:paraId="5E6F706A" w14:textId="12029536" w:rsidR="00B319B6" w:rsidRPr="00B319B6" w:rsidRDefault="00B319B6" w:rsidP="00B319B6">
      <w:pPr>
        <w:jc w:val="both"/>
        <w:rPr>
          <w:rFonts w:eastAsia="Calibri"/>
          <w:sz w:val="20"/>
          <w:szCs w:val="20"/>
          <w:lang w:val="en-IN"/>
        </w:rPr>
      </w:pPr>
      <w:r w:rsidRPr="00B319B6">
        <w:rPr>
          <w:rFonts w:eastAsia="Calibri"/>
          <w:sz w:val="20"/>
          <w:szCs w:val="20"/>
          <w:lang w:val="en-IN"/>
        </w:rPr>
        <w:t xml:space="preserve">The KEGG database </w:t>
      </w:r>
      <w:r w:rsidRPr="00B319B6">
        <w:rPr>
          <w:rFonts w:eastAsia="Calibri"/>
          <w:color w:val="0070C0"/>
          <w:sz w:val="20"/>
          <w:szCs w:val="20"/>
          <w:lang w:val="en-IN"/>
        </w:rPr>
        <w:t>(</w:t>
      </w:r>
      <w:proofErr w:type="spellStart"/>
      <w:r w:rsidRPr="00B319B6">
        <w:rPr>
          <w:rFonts w:eastAsia="Calibri"/>
          <w:color w:val="0070C0"/>
          <w:sz w:val="20"/>
          <w:szCs w:val="20"/>
          <w:lang w:val="en-IN"/>
        </w:rPr>
        <w:t>Kanehisa</w:t>
      </w:r>
      <w:proofErr w:type="spellEnd"/>
      <w:r w:rsidRPr="00B319B6">
        <w:rPr>
          <w:rFonts w:eastAsia="Calibri"/>
          <w:color w:val="0070C0"/>
          <w:sz w:val="20"/>
          <w:szCs w:val="20"/>
          <w:lang w:val="en-IN"/>
        </w:rPr>
        <w:t xml:space="preserve"> &amp; Goto, 2000) </w:t>
      </w:r>
      <w:r w:rsidRPr="00B319B6">
        <w:rPr>
          <w:rFonts w:eastAsia="Calibri"/>
          <w:sz w:val="20"/>
          <w:szCs w:val="20"/>
          <w:lang w:val="en-IN"/>
        </w:rPr>
        <w:t xml:space="preserve">was used to study the melanoma pathway. Dysregulation of the MAPK pathway is very common in many cancers due to mutations in the RAS gene. The MAPK pathway is one of the major pathways involved in the progress of melanoma, and so it was chosen for this study. It harbours BRAF, NRAS, ERK, and MEK as its components. About 28% of the mutations are seen in NRAS of this pathway </w:t>
      </w:r>
      <w:r w:rsidRPr="00B319B6">
        <w:rPr>
          <w:rFonts w:eastAsia="Calibri"/>
          <w:color w:val="0070C0"/>
          <w:sz w:val="20"/>
          <w:szCs w:val="20"/>
          <w:lang w:val="en-IN"/>
        </w:rPr>
        <w:t>(Cancer.Net Editorial Board, 2025).</w:t>
      </w:r>
    </w:p>
    <w:p w14:paraId="7438720A" w14:textId="77777777" w:rsidR="00B319B6" w:rsidRPr="00B319B6" w:rsidRDefault="00B319B6" w:rsidP="00B319B6">
      <w:pPr>
        <w:jc w:val="both"/>
        <w:rPr>
          <w:rFonts w:eastAsia="Calibri"/>
          <w:sz w:val="20"/>
          <w:szCs w:val="20"/>
          <w:lang w:val="en-IN"/>
        </w:rPr>
      </w:pPr>
      <w:r w:rsidRPr="00B319B6">
        <w:rPr>
          <w:rFonts w:eastAsia="Calibri"/>
          <w:sz w:val="20"/>
          <w:szCs w:val="20"/>
          <w:lang w:val="en-IN"/>
        </w:rPr>
        <w:t> </w:t>
      </w:r>
    </w:p>
    <w:p w14:paraId="347BF12E" w14:textId="77777777" w:rsidR="00B319B6" w:rsidRPr="00B319B6" w:rsidRDefault="00B319B6" w:rsidP="00B319B6">
      <w:pPr>
        <w:jc w:val="both"/>
        <w:rPr>
          <w:rFonts w:eastAsia="Calibri"/>
          <w:b/>
          <w:bCs/>
          <w:color w:val="0070C0"/>
          <w:sz w:val="20"/>
          <w:szCs w:val="20"/>
          <w:lang w:val="en-IN"/>
        </w:rPr>
      </w:pPr>
      <w:r w:rsidRPr="00B319B6">
        <w:rPr>
          <w:rFonts w:eastAsia="Calibri"/>
          <w:b/>
          <w:bCs/>
          <w:color w:val="0070C0"/>
          <w:sz w:val="20"/>
          <w:szCs w:val="20"/>
          <w:lang w:val="en-IN"/>
        </w:rPr>
        <w:t>2.1.2. Protein Preparation</w:t>
      </w:r>
    </w:p>
    <w:p w14:paraId="11E03BD1" w14:textId="77777777" w:rsidR="00B319B6" w:rsidRPr="00B319B6" w:rsidRDefault="00B319B6" w:rsidP="00B319B6">
      <w:pPr>
        <w:jc w:val="both"/>
        <w:rPr>
          <w:rFonts w:eastAsia="Calibri"/>
          <w:sz w:val="20"/>
          <w:szCs w:val="20"/>
          <w:lang w:val="en-IN"/>
        </w:rPr>
      </w:pPr>
      <w:r w:rsidRPr="00B319B6">
        <w:rPr>
          <w:rFonts w:eastAsia="Calibri"/>
          <w:sz w:val="20"/>
          <w:szCs w:val="20"/>
          <w:lang w:val="en-IN"/>
        </w:rPr>
        <w:t> </w:t>
      </w:r>
    </w:p>
    <w:p w14:paraId="62638D0D" w14:textId="77777777" w:rsidR="00B319B6" w:rsidRPr="00B319B6" w:rsidRDefault="00B319B6" w:rsidP="00B319B6">
      <w:pPr>
        <w:jc w:val="both"/>
        <w:rPr>
          <w:rFonts w:eastAsia="Calibri"/>
          <w:color w:val="0070C0"/>
          <w:sz w:val="20"/>
          <w:szCs w:val="20"/>
          <w:lang w:val="en-IN"/>
        </w:rPr>
      </w:pPr>
      <w:r w:rsidRPr="00B319B6">
        <w:rPr>
          <w:rFonts w:eastAsia="Calibri"/>
          <w:sz w:val="20"/>
          <w:szCs w:val="20"/>
          <w:lang w:val="en-IN"/>
        </w:rPr>
        <w:t xml:space="preserve">The wild-type NRAS structure with the best resolution and well curated in </w:t>
      </w:r>
      <w:proofErr w:type="spellStart"/>
      <w:r w:rsidRPr="00B319B6">
        <w:rPr>
          <w:rFonts w:eastAsia="Calibri"/>
          <w:sz w:val="20"/>
          <w:szCs w:val="20"/>
          <w:lang w:val="en-IN"/>
        </w:rPr>
        <w:t>UniProt</w:t>
      </w:r>
      <w:proofErr w:type="spellEnd"/>
      <w:r w:rsidRPr="00B319B6">
        <w:rPr>
          <w:rFonts w:eastAsia="Calibri"/>
          <w:sz w:val="20"/>
          <w:szCs w:val="20"/>
          <w:lang w:val="en-IN"/>
        </w:rPr>
        <w:t xml:space="preserve"> was selected. The PDB ID of this structure was 5UHV, and the </w:t>
      </w:r>
      <w:proofErr w:type="spellStart"/>
      <w:r w:rsidRPr="00B319B6">
        <w:rPr>
          <w:rFonts w:eastAsia="Calibri"/>
          <w:sz w:val="20"/>
          <w:szCs w:val="20"/>
          <w:lang w:val="en-IN"/>
        </w:rPr>
        <w:t>UniProtKB</w:t>
      </w:r>
      <w:proofErr w:type="spellEnd"/>
      <w:r w:rsidRPr="00B319B6">
        <w:rPr>
          <w:rFonts w:eastAsia="Calibri"/>
          <w:sz w:val="20"/>
          <w:szCs w:val="20"/>
          <w:lang w:val="en-IN"/>
        </w:rPr>
        <w:t xml:space="preserve"> ID was P01111. NRAS is a small GTPase structure. A clear difference between isoforms of NRAS is the binding of the Ras Binding Domain </w:t>
      </w:r>
      <w:r w:rsidRPr="00B319B6">
        <w:rPr>
          <w:rFonts w:eastAsia="Calibri"/>
          <w:color w:val="0070C0"/>
          <w:sz w:val="20"/>
          <w:szCs w:val="20"/>
          <w:lang w:val="en-IN"/>
        </w:rPr>
        <w:t xml:space="preserve">(Johnson et al., 2017). </w:t>
      </w:r>
      <w:r w:rsidRPr="00B319B6">
        <w:rPr>
          <w:rFonts w:eastAsia="Calibri"/>
          <w:sz w:val="20"/>
          <w:szCs w:val="20"/>
          <w:lang w:val="en-IN"/>
        </w:rPr>
        <w:t xml:space="preserve">NRAS has only the A chain associated with it. Hence, docking was carried out on the A chain of NRAS at the active site. The G-domain, catalysing GTP hydrolysis and mediating downstream signalling, is 95% conserved between the Ras isoforms </w:t>
      </w:r>
      <w:r w:rsidRPr="00B319B6">
        <w:rPr>
          <w:rFonts w:eastAsia="Calibri"/>
          <w:color w:val="0070C0"/>
          <w:sz w:val="20"/>
          <w:szCs w:val="20"/>
          <w:lang w:val="en-IN"/>
        </w:rPr>
        <w:t xml:space="preserve">(Johnson et al., 2017). </w:t>
      </w:r>
      <w:r w:rsidRPr="00B319B6">
        <w:rPr>
          <w:rFonts w:eastAsia="Calibri"/>
          <w:sz w:val="20"/>
          <w:szCs w:val="20"/>
          <w:lang w:val="en-IN"/>
        </w:rPr>
        <w:t xml:space="preserve">The wild-type NRAS has a total of 189 amino acids. The overall structure can be divided into a catalytic G domain, which is comprised of residues 1-86 and 87-166 </w:t>
      </w:r>
      <w:r w:rsidRPr="00B319B6">
        <w:rPr>
          <w:rFonts w:eastAsia="Calibri"/>
          <w:color w:val="0070C0"/>
          <w:sz w:val="20"/>
          <w:szCs w:val="20"/>
          <w:lang w:val="en-IN"/>
        </w:rPr>
        <w:t>(Johnson et al., 2017).</w:t>
      </w:r>
    </w:p>
    <w:p w14:paraId="20271A8B" w14:textId="77777777" w:rsidR="00B319B6" w:rsidRPr="00B319B6" w:rsidRDefault="00B319B6" w:rsidP="00B319B6">
      <w:pPr>
        <w:jc w:val="both"/>
        <w:rPr>
          <w:rFonts w:eastAsia="Calibri"/>
          <w:sz w:val="20"/>
          <w:szCs w:val="20"/>
          <w:lang w:val="en-IN"/>
        </w:rPr>
      </w:pPr>
      <w:r w:rsidRPr="00B319B6">
        <w:rPr>
          <w:rFonts w:eastAsia="Calibri"/>
          <w:sz w:val="20"/>
          <w:szCs w:val="20"/>
          <w:lang w:val="en-IN"/>
        </w:rPr>
        <w:t> </w:t>
      </w:r>
    </w:p>
    <w:p w14:paraId="173212C7" w14:textId="77777777" w:rsidR="00B319B6" w:rsidRPr="00B319B6" w:rsidRDefault="00B319B6" w:rsidP="00B319B6">
      <w:pPr>
        <w:jc w:val="both"/>
        <w:rPr>
          <w:rFonts w:eastAsia="Calibri"/>
          <w:b/>
          <w:bCs/>
          <w:color w:val="0070C0"/>
          <w:sz w:val="20"/>
          <w:szCs w:val="20"/>
          <w:lang w:val="en-IN"/>
        </w:rPr>
      </w:pPr>
      <w:r w:rsidRPr="00B319B6">
        <w:rPr>
          <w:rFonts w:eastAsia="Calibri"/>
          <w:b/>
          <w:bCs/>
          <w:color w:val="0070C0"/>
          <w:sz w:val="20"/>
          <w:szCs w:val="20"/>
          <w:lang w:val="en-IN"/>
        </w:rPr>
        <w:t>2.1.3. Protein Structure Validation</w:t>
      </w:r>
    </w:p>
    <w:p w14:paraId="77070C52" w14:textId="77777777" w:rsidR="00B319B6" w:rsidRPr="00B319B6" w:rsidRDefault="00B319B6" w:rsidP="00B319B6">
      <w:pPr>
        <w:jc w:val="both"/>
        <w:rPr>
          <w:rFonts w:eastAsia="Calibri"/>
          <w:sz w:val="20"/>
          <w:szCs w:val="20"/>
          <w:lang w:val="en-IN"/>
        </w:rPr>
      </w:pPr>
      <w:r w:rsidRPr="00B319B6">
        <w:rPr>
          <w:rFonts w:eastAsia="Calibri"/>
          <w:sz w:val="20"/>
          <w:szCs w:val="20"/>
          <w:lang w:val="en-IN"/>
        </w:rPr>
        <w:t> </w:t>
      </w:r>
    </w:p>
    <w:p w14:paraId="6470902F" w14:textId="586D1DAA" w:rsidR="00B319B6" w:rsidRPr="00B319B6" w:rsidRDefault="00B319B6" w:rsidP="00B319B6">
      <w:pPr>
        <w:jc w:val="both"/>
        <w:rPr>
          <w:rFonts w:eastAsia="Calibri"/>
          <w:sz w:val="20"/>
          <w:szCs w:val="20"/>
          <w:lang w:val="en-IN"/>
        </w:rPr>
      </w:pPr>
      <w:proofErr w:type="spellStart"/>
      <w:r w:rsidRPr="00B319B6">
        <w:rPr>
          <w:rFonts w:eastAsia="Calibri"/>
          <w:sz w:val="20"/>
          <w:szCs w:val="20"/>
          <w:lang w:val="en-IN"/>
        </w:rPr>
        <w:t>ProSA</w:t>
      </w:r>
      <w:proofErr w:type="spellEnd"/>
      <w:r w:rsidRPr="00B319B6">
        <w:rPr>
          <w:rFonts w:eastAsia="Calibri"/>
          <w:sz w:val="20"/>
          <w:szCs w:val="20"/>
          <w:lang w:val="en-IN"/>
        </w:rPr>
        <w:t xml:space="preserve"> </w:t>
      </w:r>
      <w:r w:rsidR="00425D9C" w:rsidRPr="00425D9C">
        <w:rPr>
          <w:rFonts w:eastAsia="Calibri"/>
          <w:color w:val="0070C0"/>
          <w:sz w:val="20"/>
          <w:szCs w:val="20"/>
        </w:rPr>
        <w:t>(Wiederstein &amp; Sippl, 2007)</w:t>
      </w:r>
      <w:r w:rsidR="00425D9C">
        <w:rPr>
          <w:rFonts w:eastAsia="Calibri"/>
          <w:color w:val="0070C0"/>
          <w:sz w:val="20"/>
          <w:szCs w:val="20"/>
        </w:rPr>
        <w:t xml:space="preserve"> </w:t>
      </w:r>
      <w:r w:rsidRPr="00B319B6">
        <w:rPr>
          <w:rFonts w:eastAsia="Calibri"/>
          <w:sz w:val="20"/>
          <w:szCs w:val="20"/>
          <w:lang w:val="en-IN"/>
        </w:rPr>
        <w:t xml:space="preserve">is frequently used for protein structure validation. </w:t>
      </w:r>
      <w:proofErr w:type="spellStart"/>
      <w:r w:rsidRPr="00B319B6">
        <w:rPr>
          <w:rFonts w:eastAsia="Calibri"/>
          <w:sz w:val="20"/>
          <w:szCs w:val="20"/>
          <w:lang w:val="en-IN"/>
        </w:rPr>
        <w:t>ProSA</w:t>
      </w:r>
      <w:proofErr w:type="spellEnd"/>
      <w:r w:rsidRPr="00B319B6">
        <w:rPr>
          <w:rFonts w:eastAsia="Calibri"/>
          <w:sz w:val="20"/>
          <w:szCs w:val="20"/>
          <w:lang w:val="en-IN"/>
        </w:rPr>
        <w:t xml:space="preserve"> calculates an overall quality score for a specific input structure. The z-score indicates overall model quality </w:t>
      </w:r>
      <w:r w:rsidRPr="00B319B6">
        <w:rPr>
          <w:rFonts w:eastAsia="Calibri"/>
          <w:color w:val="0070C0"/>
          <w:sz w:val="20"/>
          <w:szCs w:val="20"/>
          <w:lang w:val="en-IN"/>
        </w:rPr>
        <w:t>(Wiederstein &amp; Sippl, 2007)</w:t>
      </w:r>
      <w:r w:rsidRPr="00B319B6">
        <w:rPr>
          <w:rFonts w:eastAsia="Calibri"/>
          <w:sz w:val="20"/>
          <w:szCs w:val="20"/>
          <w:lang w:val="en-IN"/>
        </w:rPr>
        <w:t xml:space="preserve">. Its value is displayed in a plot showing the z-scores of all protein chains in the current PDB. </w:t>
      </w:r>
      <w:proofErr w:type="spellStart"/>
      <w:r w:rsidRPr="00B319B6">
        <w:rPr>
          <w:rFonts w:eastAsia="Calibri"/>
          <w:sz w:val="20"/>
          <w:szCs w:val="20"/>
          <w:lang w:val="en-IN"/>
        </w:rPr>
        <w:t>ProSA</w:t>
      </w:r>
      <w:proofErr w:type="spellEnd"/>
      <w:r w:rsidRPr="00B319B6">
        <w:rPr>
          <w:rFonts w:eastAsia="Calibri"/>
          <w:sz w:val="20"/>
          <w:szCs w:val="20"/>
          <w:lang w:val="en-IN"/>
        </w:rPr>
        <w:t xml:space="preserve"> </w:t>
      </w:r>
      <w:r w:rsidRPr="00B319B6">
        <w:rPr>
          <w:rFonts w:eastAsia="Calibri"/>
          <w:color w:val="0070C0"/>
          <w:sz w:val="20"/>
          <w:szCs w:val="20"/>
          <w:lang w:val="en-IN"/>
        </w:rPr>
        <w:t>(Wiederstein &amp; Sippl, 2007)</w:t>
      </w:r>
      <w:r w:rsidRPr="00B319B6">
        <w:rPr>
          <w:rFonts w:eastAsia="Calibri"/>
          <w:sz w:val="20"/>
          <w:szCs w:val="20"/>
          <w:lang w:val="en-IN"/>
        </w:rPr>
        <w:t xml:space="preserve"> web visualises the 3D structure of the input protein using the molecule viewer </w:t>
      </w:r>
      <w:proofErr w:type="spellStart"/>
      <w:r w:rsidRPr="00B319B6">
        <w:rPr>
          <w:rFonts w:eastAsia="Calibri"/>
          <w:sz w:val="20"/>
          <w:szCs w:val="20"/>
          <w:lang w:val="en-IN"/>
        </w:rPr>
        <w:t>Jmol</w:t>
      </w:r>
      <w:proofErr w:type="spellEnd"/>
      <w:r w:rsidRPr="00B319B6">
        <w:rPr>
          <w:rFonts w:eastAsia="Calibri"/>
          <w:sz w:val="20"/>
          <w:szCs w:val="20"/>
          <w:lang w:val="en-IN"/>
        </w:rPr>
        <w:t xml:space="preserve">. </w:t>
      </w:r>
      <w:proofErr w:type="spellStart"/>
      <w:r w:rsidRPr="00B319B6">
        <w:rPr>
          <w:rFonts w:eastAsia="Calibri"/>
          <w:sz w:val="20"/>
          <w:szCs w:val="20"/>
          <w:lang w:val="en-IN"/>
        </w:rPr>
        <w:t>ProSA</w:t>
      </w:r>
      <w:proofErr w:type="spellEnd"/>
      <w:r w:rsidRPr="00B319B6">
        <w:rPr>
          <w:rFonts w:eastAsia="Calibri"/>
          <w:sz w:val="20"/>
          <w:szCs w:val="20"/>
          <w:lang w:val="en-IN"/>
        </w:rPr>
        <w:t xml:space="preserve"> was used for validation of the structure of mutant NRAS built in SPDBV. PROCHECK </w:t>
      </w:r>
      <w:r w:rsidRPr="00B319B6">
        <w:rPr>
          <w:rFonts w:eastAsia="Calibri"/>
          <w:color w:val="0070C0"/>
          <w:sz w:val="20"/>
          <w:szCs w:val="20"/>
          <w:lang w:val="en-IN"/>
        </w:rPr>
        <w:t>(Laskowski et al., 1993)</w:t>
      </w:r>
      <w:r w:rsidRPr="00B319B6">
        <w:rPr>
          <w:rFonts w:eastAsia="Calibri"/>
          <w:sz w:val="20"/>
          <w:szCs w:val="20"/>
          <w:lang w:val="en-IN"/>
        </w:rPr>
        <w:t xml:space="preserve">, a model evaluation and validation tool, checks for the stereochemical quality of a protein structure, producing residue-by-residue geometry plots. It includes PROCHECK-NMR </w:t>
      </w:r>
      <w:r w:rsidRPr="00B319B6">
        <w:rPr>
          <w:rFonts w:eastAsia="Calibri"/>
          <w:color w:val="0070C0"/>
          <w:sz w:val="20"/>
          <w:szCs w:val="20"/>
          <w:lang w:val="en-IN"/>
        </w:rPr>
        <w:t>(Laskowski et al., 1993)</w:t>
      </w:r>
      <w:r w:rsidRPr="00B319B6">
        <w:rPr>
          <w:rFonts w:eastAsia="Calibri"/>
          <w:sz w:val="20"/>
          <w:szCs w:val="20"/>
          <w:lang w:val="en-IN"/>
        </w:rPr>
        <w:t xml:space="preserve">, for checking the quality of structures solved by NMR. The G-factor provides a measure of how normal or unusual the property is. It gives the Ramachandran plot to understand if the residues are in allowed or disallowed regions. PROCHECK was used for validation of the structure of mutant NRAS built in SPDBV </w:t>
      </w:r>
      <w:r w:rsidRPr="00B319B6">
        <w:rPr>
          <w:rFonts w:eastAsia="Calibri"/>
          <w:color w:val="0070C0"/>
          <w:sz w:val="20"/>
          <w:szCs w:val="20"/>
          <w:lang w:val="en-IN"/>
        </w:rPr>
        <w:t>(Laskowski et al., 1993).</w:t>
      </w:r>
    </w:p>
    <w:p w14:paraId="68AECFFE" w14:textId="20EF7F02" w:rsidR="004631AB" w:rsidRPr="00863569" w:rsidRDefault="004631AB">
      <w:pPr>
        <w:jc w:val="both"/>
        <w:rPr>
          <w:rFonts w:eastAsia="Calibri"/>
          <w:sz w:val="20"/>
          <w:szCs w:val="20"/>
          <w:lang w:val="en-IN"/>
        </w:rPr>
      </w:pPr>
    </w:p>
    <w:p w14:paraId="47398B61" w14:textId="77777777" w:rsidR="00DF69E3" w:rsidRDefault="00DF69E3" w:rsidP="003C1FCE">
      <w:pPr>
        <w:jc w:val="both"/>
        <w:rPr>
          <w:rFonts w:eastAsia="Calibri"/>
          <w:b/>
          <w:bCs/>
          <w:color w:val="0070C0"/>
          <w:sz w:val="20"/>
          <w:szCs w:val="20"/>
          <w:lang w:val="en-IN"/>
        </w:rPr>
      </w:pPr>
    </w:p>
    <w:p w14:paraId="1FB5FFA2" w14:textId="77777777" w:rsidR="00DF69E3" w:rsidRDefault="00DF69E3" w:rsidP="003C1FCE">
      <w:pPr>
        <w:jc w:val="both"/>
        <w:rPr>
          <w:rFonts w:eastAsia="Calibri"/>
          <w:b/>
          <w:bCs/>
          <w:color w:val="0070C0"/>
          <w:sz w:val="20"/>
          <w:szCs w:val="20"/>
          <w:lang w:val="en-IN"/>
        </w:rPr>
      </w:pPr>
    </w:p>
    <w:p w14:paraId="481FCDD4" w14:textId="05A4D618" w:rsidR="003C1FCE" w:rsidRPr="003C1FCE" w:rsidRDefault="003C1FCE" w:rsidP="003C1FCE">
      <w:pPr>
        <w:jc w:val="both"/>
        <w:rPr>
          <w:rFonts w:eastAsia="Calibri"/>
          <w:b/>
          <w:bCs/>
          <w:color w:val="0070C0"/>
          <w:sz w:val="20"/>
          <w:szCs w:val="20"/>
          <w:lang w:val="en-IN"/>
        </w:rPr>
      </w:pPr>
      <w:r w:rsidRPr="003C1FCE">
        <w:rPr>
          <w:rFonts w:eastAsia="Calibri"/>
          <w:b/>
          <w:bCs/>
          <w:color w:val="0070C0"/>
          <w:sz w:val="20"/>
          <w:szCs w:val="20"/>
          <w:lang w:val="en-IN"/>
        </w:rPr>
        <w:lastRenderedPageBreak/>
        <w:t>2.1.4. Compound Library Curation and Filtering</w:t>
      </w:r>
    </w:p>
    <w:p w14:paraId="07280B92" w14:textId="77777777" w:rsidR="003C1FCE" w:rsidRPr="003C1FCE" w:rsidRDefault="003C1FCE" w:rsidP="003C1FCE">
      <w:pPr>
        <w:jc w:val="both"/>
        <w:rPr>
          <w:rFonts w:eastAsia="Calibri"/>
          <w:sz w:val="20"/>
          <w:szCs w:val="20"/>
          <w:lang w:val="en-IN"/>
        </w:rPr>
      </w:pPr>
      <w:r w:rsidRPr="003C1FCE">
        <w:rPr>
          <w:rFonts w:eastAsia="Calibri"/>
          <w:sz w:val="20"/>
          <w:szCs w:val="20"/>
          <w:lang w:val="en-IN"/>
        </w:rPr>
        <w:t> </w:t>
      </w:r>
    </w:p>
    <w:p w14:paraId="26509371" w14:textId="36980DA5" w:rsidR="003C1FCE" w:rsidRPr="003C1FCE" w:rsidRDefault="003C1FCE" w:rsidP="003C1FCE">
      <w:pPr>
        <w:jc w:val="both"/>
        <w:rPr>
          <w:rFonts w:eastAsia="Calibri"/>
          <w:color w:val="0070C0"/>
          <w:sz w:val="20"/>
          <w:szCs w:val="20"/>
          <w:lang w:val="en-IN"/>
        </w:rPr>
      </w:pPr>
      <w:r w:rsidRPr="003C1FCE">
        <w:rPr>
          <w:rFonts w:eastAsia="Calibri"/>
          <w:sz w:val="20"/>
          <w:szCs w:val="20"/>
          <w:lang w:val="en-IN"/>
        </w:rPr>
        <w:t xml:space="preserve">The database used for obtaining natural compounds for screening was the ZINC Database </w:t>
      </w:r>
      <w:r w:rsidR="00425D9C" w:rsidRPr="00425D9C">
        <w:rPr>
          <w:rFonts w:eastAsia="Calibri"/>
          <w:color w:val="0070C0"/>
          <w:sz w:val="20"/>
          <w:szCs w:val="20"/>
        </w:rPr>
        <w:t>(Irwin &amp; Shoichet, 2005).</w:t>
      </w:r>
      <w:r w:rsidR="00425D9C">
        <w:rPr>
          <w:rFonts w:eastAsia="Calibri"/>
          <w:color w:val="0070C0"/>
          <w:sz w:val="20"/>
          <w:szCs w:val="20"/>
        </w:rPr>
        <w:t xml:space="preserve"> </w:t>
      </w:r>
      <w:r w:rsidRPr="003C1FCE">
        <w:rPr>
          <w:rFonts w:eastAsia="Calibri"/>
          <w:sz w:val="20"/>
          <w:szCs w:val="20"/>
          <w:lang w:val="en-IN"/>
        </w:rPr>
        <w:t>Natural products occupy an important part of the small molecule space because they are recognised by at least two proteins: the end of their biosynthetic pathway and their evolutionary biological target. The natural compounds screened were obtained from the ZINC natural product library</w:t>
      </w:r>
      <w:r w:rsidR="00425D9C">
        <w:rPr>
          <w:rFonts w:eastAsia="Calibri"/>
          <w:sz w:val="20"/>
          <w:szCs w:val="20"/>
          <w:lang w:val="en-IN"/>
        </w:rPr>
        <w:t xml:space="preserve"> </w:t>
      </w:r>
      <w:r w:rsidR="00425D9C" w:rsidRPr="00425D9C">
        <w:rPr>
          <w:rFonts w:eastAsia="Calibri"/>
          <w:color w:val="0070C0"/>
          <w:sz w:val="20"/>
          <w:szCs w:val="20"/>
        </w:rPr>
        <w:t>(Irwin &amp; Shoichet, 2005)</w:t>
      </w:r>
      <w:r w:rsidRPr="00425D9C">
        <w:rPr>
          <w:rFonts w:eastAsia="Calibri"/>
          <w:color w:val="0070C0"/>
          <w:sz w:val="20"/>
          <w:szCs w:val="20"/>
          <w:lang w:val="en-IN"/>
        </w:rPr>
        <w:t xml:space="preserve">. </w:t>
      </w:r>
      <w:r w:rsidRPr="003C1FCE">
        <w:rPr>
          <w:rFonts w:eastAsia="Calibri"/>
          <w:sz w:val="20"/>
          <w:szCs w:val="20"/>
          <w:lang w:val="en-IN"/>
        </w:rPr>
        <w:t xml:space="preserve">FAF-Drugs4 </w:t>
      </w:r>
      <w:r w:rsidRPr="003C1FCE">
        <w:rPr>
          <w:rFonts w:eastAsia="Calibri"/>
          <w:color w:val="0070C0"/>
          <w:sz w:val="20"/>
          <w:szCs w:val="20"/>
          <w:lang w:val="en-IN"/>
        </w:rPr>
        <w:t>(</w:t>
      </w:r>
      <w:proofErr w:type="spellStart"/>
      <w:r w:rsidRPr="003C1FCE">
        <w:rPr>
          <w:rFonts w:eastAsia="Calibri"/>
          <w:color w:val="0070C0"/>
          <w:sz w:val="20"/>
          <w:szCs w:val="20"/>
          <w:lang w:val="en-IN"/>
        </w:rPr>
        <w:t>Lagorce</w:t>
      </w:r>
      <w:proofErr w:type="spellEnd"/>
      <w:r w:rsidRPr="003C1FCE">
        <w:rPr>
          <w:rFonts w:eastAsia="Calibri"/>
          <w:color w:val="0070C0"/>
          <w:sz w:val="20"/>
          <w:szCs w:val="20"/>
          <w:lang w:val="en-IN"/>
        </w:rPr>
        <w:t xml:space="preserve"> et al., 2017)</w:t>
      </w:r>
      <w:r w:rsidRPr="003C1FCE">
        <w:rPr>
          <w:rFonts w:eastAsia="Calibri"/>
          <w:sz w:val="20"/>
          <w:szCs w:val="20"/>
          <w:lang w:val="en-IN"/>
        </w:rPr>
        <w:t xml:space="preserve"> is a program for filtering large compound libraries prior to in silico screening or related modelling studies. The tool can perform computational prediction of some ADME-Tox properties (adsorption, distribution, metabolism, excretion, and toxicity) to assist hit selection before chemical </w:t>
      </w:r>
      <w:r w:rsidR="00EA39C0" w:rsidRPr="003C1FCE">
        <w:rPr>
          <w:rFonts w:eastAsia="Calibri"/>
          <w:sz w:val="20"/>
          <w:szCs w:val="20"/>
          <w:lang w:val="en-IN"/>
        </w:rPr>
        <w:t xml:space="preserve">synthesis </w:t>
      </w:r>
      <w:r w:rsidR="00EA39C0" w:rsidRPr="00EA39C0">
        <w:rPr>
          <w:rFonts w:eastAsia="Calibri"/>
          <w:color w:val="0070C0"/>
          <w:sz w:val="20"/>
          <w:szCs w:val="20"/>
          <w:lang w:val="en-IN"/>
        </w:rPr>
        <w:t>(</w:t>
      </w:r>
      <w:proofErr w:type="spellStart"/>
      <w:r w:rsidRPr="003C1FCE">
        <w:rPr>
          <w:rFonts w:eastAsia="Calibri"/>
          <w:color w:val="0070C0"/>
          <w:sz w:val="20"/>
          <w:szCs w:val="20"/>
          <w:lang w:val="en-IN"/>
        </w:rPr>
        <w:t>Lagorce</w:t>
      </w:r>
      <w:proofErr w:type="spellEnd"/>
      <w:r w:rsidRPr="003C1FCE">
        <w:rPr>
          <w:rFonts w:eastAsia="Calibri"/>
          <w:color w:val="0070C0"/>
          <w:sz w:val="20"/>
          <w:szCs w:val="20"/>
          <w:lang w:val="en-IN"/>
        </w:rPr>
        <w:t xml:space="preserve"> et al., 2017)</w:t>
      </w:r>
      <w:r w:rsidR="00EA39C0">
        <w:rPr>
          <w:rFonts w:eastAsia="Calibri"/>
          <w:color w:val="0070C0"/>
          <w:sz w:val="20"/>
          <w:szCs w:val="20"/>
          <w:lang w:val="en-IN"/>
        </w:rPr>
        <w:t xml:space="preserve">. </w:t>
      </w:r>
      <w:r w:rsidRPr="003C1FCE">
        <w:rPr>
          <w:rFonts w:eastAsia="Calibri"/>
          <w:sz w:val="20"/>
          <w:szCs w:val="20"/>
          <w:lang w:val="en-IN"/>
        </w:rPr>
        <w:t>This tool was used to filter out compounds in the ZINC database to remove interfering compounds and retain lead compounds with comparatively small log P for further optimisation. PAINS moieties, or Pan Assay Interference Compounds, are compounds that occur frequently in biochemical high throughput screens.</w:t>
      </w:r>
    </w:p>
    <w:p w14:paraId="7C3520C0" w14:textId="77777777" w:rsidR="003C1FCE" w:rsidRPr="003C1FCE" w:rsidRDefault="003C1FCE" w:rsidP="003C1FCE">
      <w:pPr>
        <w:jc w:val="both"/>
        <w:rPr>
          <w:rFonts w:eastAsia="Calibri"/>
          <w:sz w:val="20"/>
          <w:szCs w:val="20"/>
          <w:lang w:val="en-IN"/>
        </w:rPr>
      </w:pPr>
      <w:r w:rsidRPr="003C1FCE">
        <w:rPr>
          <w:rFonts w:eastAsia="Calibri"/>
          <w:sz w:val="20"/>
          <w:szCs w:val="20"/>
          <w:lang w:val="en-IN"/>
        </w:rPr>
        <w:t> </w:t>
      </w:r>
    </w:p>
    <w:p w14:paraId="1D3669A0" w14:textId="77777777" w:rsidR="003C1FCE" w:rsidRPr="003C1FCE" w:rsidRDefault="003C1FCE" w:rsidP="003C1FCE">
      <w:pPr>
        <w:jc w:val="both"/>
        <w:rPr>
          <w:rFonts w:eastAsia="Calibri"/>
          <w:b/>
          <w:bCs/>
          <w:color w:val="0070C0"/>
          <w:sz w:val="20"/>
          <w:szCs w:val="20"/>
          <w:lang w:val="en-IN"/>
        </w:rPr>
      </w:pPr>
      <w:r w:rsidRPr="003C1FCE">
        <w:rPr>
          <w:rFonts w:eastAsia="Calibri"/>
          <w:b/>
          <w:bCs/>
          <w:color w:val="0070C0"/>
          <w:sz w:val="20"/>
          <w:szCs w:val="20"/>
          <w:lang w:val="en-IN"/>
        </w:rPr>
        <w:t>2.1.5. Virtual Screening and Molecular Docking</w:t>
      </w:r>
    </w:p>
    <w:p w14:paraId="4B7EECFA" w14:textId="77777777" w:rsidR="003C1FCE" w:rsidRPr="003C1FCE" w:rsidRDefault="003C1FCE" w:rsidP="003C1FCE">
      <w:pPr>
        <w:jc w:val="both"/>
        <w:rPr>
          <w:rFonts w:eastAsia="Calibri"/>
          <w:sz w:val="20"/>
          <w:szCs w:val="20"/>
          <w:lang w:val="en-IN"/>
        </w:rPr>
      </w:pPr>
      <w:r w:rsidRPr="003C1FCE">
        <w:rPr>
          <w:rFonts w:eastAsia="Calibri"/>
          <w:sz w:val="20"/>
          <w:szCs w:val="20"/>
          <w:lang w:val="en-IN"/>
        </w:rPr>
        <w:t> </w:t>
      </w:r>
    </w:p>
    <w:p w14:paraId="5F560218" w14:textId="700B0050" w:rsidR="003C1FCE" w:rsidRPr="003C1FCE" w:rsidRDefault="00553B22" w:rsidP="003C1FCE">
      <w:pPr>
        <w:jc w:val="both"/>
        <w:rPr>
          <w:rFonts w:eastAsia="Calibri"/>
          <w:sz w:val="20"/>
          <w:szCs w:val="20"/>
          <w:lang w:val="en-IN"/>
        </w:rPr>
      </w:pPr>
      <w:proofErr w:type="spellStart"/>
      <w:r w:rsidRPr="00553B22">
        <w:rPr>
          <w:rFonts w:eastAsia="Calibri"/>
          <w:sz w:val="20"/>
          <w:szCs w:val="20"/>
          <w:lang w:val="en-IN"/>
        </w:rPr>
        <w:t>PyRx</w:t>
      </w:r>
      <w:proofErr w:type="spellEnd"/>
      <w:r w:rsidRPr="00553B22">
        <w:rPr>
          <w:rFonts w:eastAsia="Calibri"/>
          <w:sz w:val="20"/>
          <w:szCs w:val="20"/>
          <w:lang w:val="en-IN"/>
        </w:rPr>
        <w:t xml:space="preserve"> </w:t>
      </w:r>
      <w:r w:rsidRPr="00553B22">
        <w:rPr>
          <w:rFonts w:eastAsia="Calibri"/>
          <w:color w:val="0070C0"/>
          <w:sz w:val="20"/>
          <w:szCs w:val="20"/>
          <w:lang w:val="en-IN"/>
        </w:rPr>
        <w:t>(</w:t>
      </w:r>
      <w:proofErr w:type="spellStart"/>
      <w:r w:rsidRPr="00553B22">
        <w:rPr>
          <w:rFonts w:eastAsia="Calibri"/>
          <w:color w:val="0070C0"/>
          <w:sz w:val="20"/>
          <w:szCs w:val="20"/>
          <w:lang w:val="en-IN"/>
        </w:rPr>
        <w:t>Dallakyan</w:t>
      </w:r>
      <w:proofErr w:type="spellEnd"/>
      <w:r w:rsidRPr="00553B22">
        <w:rPr>
          <w:rFonts w:eastAsia="Calibri"/>
          <w:color w:val="0070C0"/>
          <w:sz w:val="20"/>
          <w:szCs w:val="20"/>
          <w:lang w:val="en-IN"/>
        </w:rPr>
        <w:t xml:space="preserve"> &amp; Olson, 2015) </w:t>
      </w:r>
      <w:r w:rsidRPr="00553B22">
        <w:rPr>
          <w:rFonts w:eastAsia="Calibri"/>
          <w:sz w:val="20"/>
          <w:szCs w:val="20"/>
          <w:lang w:val="en-IN"/>
        </w:rPr>
        <w:t>is a virtual screening tool used for docking natural compounds</w:t>
      </w:r>
      <w:r w:rsidR="003C1FCE" w:rsidRPr="003C1FCE">
        <w:rPr>
          <w:rFonts w:eastAsia="Calibri"/>
          <w:sz w:val="20"/>
          <w:szCs w:val="20"/>
          <w:lang w:val="en-IN"/>
        </w:rPr>
        <w:t xml:space="preserve">. It uses the </w:t>
      </w:r>
      <w:proofErr w:type="spellStart"/>
      <w:r w:rsidR="003C1FCE" w:rsidRPr="003C1FCE">
        <w:rPr>
          <w:rFonts w:eastAsia="Calibri"/>
          <w:sz w:val="20"/>
          <w:szCs w:val="20"/>
          <w:lang w:val="en-IN"/>
        </w:rPr>
        <w:t>AutoDock</w:t>
      </w:r>
      <w:proofErr w:type="spellEnd"/>
      <w:r w:rsidR="003C1FCE" w:rsidRPr="003C1FCE">
        <w:rPr>
          <w:rFonts w:eastAsia="Calibri"/>
          <w:sz w:val="20"/>
          <w:szCs w:val="20"/>
          <w:lang w:val="en-IN"/>
        </w:rPr>
        <w:t xml:space="preserve"> 4.2 suite</w:t>
      </w:r>
      <w:r w:rsidR="00EA39C0">
        <w:rPr>
          <w:rFonts w:eastAsia="Calibri"/>
          <w:sz w:val="20"/>
          <w:szCs w:val="20"/>
          <w:lang w:val="en-IN"/>
        </w:rPr>
        <w:t xml:space="preserve"> </w:t>
      </w:r>
      <w:r w:rsidR="00EA39C0" w:rsidRPr="00EA39C0">
        <w:rPr>
          <w:rFonts w:eastAsia="Calibri"/>
          <w:color w:val="0070C0"/>
          <w:sz w:val="20"/>
          <w:szCs w:val="20"/>
        </w:rPr>
        <w:t>(Morris et al., 2009)</w:t>
      </w:r>
      <w:r w:rsidR="003C1FCE" w:rsidRPr="003C1FCE">
        <w:rPr>
          <w:rFonts w:eastAsia="Calibri"/>
          <w:color w:val="0070C0"/>
          <w:sz w:val="20"/>
          <w:szCs w:val="20"/>
          <w:lang w:val="en-IN"/>
        </w:rPr>
        <w:t xml:space="preserve"> </w:t>
      </w:r>
      <w:r w:rsidR="003C1FCE" w:rsidRPr="003C1FCE">
        <w:rPr>
          <w:rFonts w:eastAsia="Calibri"/>
          <w:sz w:val="20"/>
          <w:szCs w:val="20"/>
          <w:lang w:val="en-IN"/>
        </w:rPr>
        <w:t xml:space="preserve">with Lamarckian genetic algorithm. The tool was first evaluated using the NRAS mutant structure and the ligand </w:t>
      </w:r>
      <w:proofErr w:type="spellStart"/>
      <w:r w:rsidR="003C1FCE" w:rsidRPr="003C1FCE">
        <w:rPr>
          <w:rFonts w:eastAsia="Calibri"/>
          <w:sz w:val="20"/>
          <w:szCs w:val="20"/>
          <w:lang w:val="en-IN"/>
        </w:rPr>
        <w:t>phosphoaminophosphonic</w:t>
      </w:r>
      <w:proofErr w:type="spellEnd"/>
      <w:r w:rsidR="003C1FCE" w:rsidRPr="003C1FCE">
        <w:rPr>
          <w:rFonts w:eastAsia="Calibri"/>
          <w:sz w:val="20"/>
          <w:szCs w:val="20"/>
          <w:lang w:val="en-IN"/>
        </w:rPr>
        <w:t xml:space="preserve"> acid-guanylate ester, a non-</w:t>
      </w:r>
      <w:proofErr w:type="spellStart"/>
      <w:r w:rsidR="003C1FCE" w:rsidRPr="003C1FCE">
        <w:rPr>
          <w:rFonts w:eastAsia="Calibri"/>
          <w:sz w:val="20"/>
          <w:szCs w:val="20"/>
          <w:lang w:val="en-IN"/>
        </w:rPr>
        <w:t>hydrolyzable</w:t>
      </w:r>
      <w:proofErr w:type="spellEnd"/>
      <w:r w:rsidR="003C1FCE" w:rsidRPr="003C1FCE">
        <w:rPr>
          <w:rFonts w:eastAsia="Calibri"/>
          <w:sz w:val="20"/>
          <w:szCs w:val="20"/>
          <w:lang w:val="en-IN"/>
        </w:rPr>
        <w:t xml:space="preserve"> </w:t>
      </w:r>
      <w:proofErr w:type="spellStart"/>
      <w:r w:rsidR="003C1FCE" w:rsidRPr="003C1FCE">
        <w:rPr>
          <w:rFonts w:eastAsia="Calibri"/>
          <w:sz w:val="20"/>
          <w:szCs w:val="20"/>
          <w:lang w:val="en-IN"/>
        </w:rPr>
        <w:t>analog</w:t>
      </w:r>
      <w:proofErr w:type="spellEnd"/>
      <w:r w:rsidR="003C1FCE" w:rsidRPr="003C1FCE">
        <w:rPr>
          <w:rFonts w:eastAsia="Calibri"/>
          <w:sz w:val="20"/>
          <w:szCs w:val="20"/>
          <w:lang w:val="en-IN"/>
        </w:rPr>
        <w:t xml:space="preserve"> of GTP. The nucleotide is a potent stimulator of adenylate cyclase and was docked. The RMSD tolerance of 2.0 Å indicated good software stability. The grid box was set to 50 × 50 × 50 with a spacing of 0.3750 Å. All ligands were converted to </w:t>
      </w:r>
      <w:proofErr w:type="spellStart"/>
      <w:r w:rsidR="003C1FCE" w:rsidRPr="003C1FCE">
        <w:rPr>
          <w:rFonts w:eastAsia="Calibri"/>
          <w:sz w:val="20"/>
          <w:szCs w:val="20"/>
          <w:lang w:val="en-IN"/>
        </w:rPr>
        <w:t>pdbqt</w:t>
      </w:r>
      <w:proofErr w:type="spellEnd"/>
      <w:r w:rsidR="003C1FCE" w:rsidRPr="003C1FCE">
        <w:rPr>
          <w:rFonts w:eastAsia="Calibri"/>
          <w:sz w:val="20"/>
          <w:szCs w:val="20"/>
          <w:lang w:val="en-IN"/>
        </w:rPr>
        <w:t xml:space="preserve"> format in </w:t>
      </w:r>
      <w:proofErr w:type="spellStart"/>
      <w:r w:rsidR="003C1FCE" w:rsidRPr="003C1FCE">
        <w:rPr>
          <w:rFonts w:eastAsia="Calibri"/>
          <w:sz w:val="20"/>
          <w:szCs w:val="20"/>
          <w:lang w:val="en-IN"/>
        </w:rPr>
        <w:t>PyRx</w:t>
      </w:r>
      <w:proofErr w:type="spellEnd"/>
      <w:r w:rsidR="003C1FCE" w:rsidRPr="003C1FCE">
        <w:rPr>
          <w:rFonts w:eastAsia="Calibri"/>
          <w:sz w:val="20"/>
          <w:szCs w:val="20"/>
          <w:lang w:val="en-IN"/>
        </w:rPr>
        <w:t xml:space="preserve">. </w:t>
      </w:r>
      <w:proofErr w:type="spellStart"/>
      <w:r w:rsidR="003C1FCE" w:rsidRPr="003C1FCE">
        <w:rPr>
          <w:rFonts w:eastAsia="Calibri"/>
          <w:sz w:val="20"/>
          <w:szCs w:val="20"/>
          <w:lang w:val="en-IN"/>
        </w:rPr>
        <w:t>AutoDock</w:t>
      </w:r>
      <w:proofErr w:type="spellEnd"/>
      <w:r w:rsidR="003C1FCE" w:rsidRPr="003C1FCE">
        <w:rPr>
          <w:rFonts w:eastAsia="Calibri"/>
          <w:sz w:val="20"/>
          <w:szCs w:val="20"/>
          <w:lang w:val="en-IN"/>
        </w:rPr>
        <w:t xml:space="preserve"> was set to run generating 10 poses per compound. Only the pose with the best binding score was tabulated in the </w:t>
      </w:r>
      <w:proofErr w:type="spellStart"/>
      <w:r w:rsidR="003C1FCE" w:rsidRPr="003C1FCE">
        <w:rPr>
          <w:rFonts w:eastAsia="Calibri"/>
          <w:sz w:val="20"/>
          <w:szCs w:val="20"/>
          <w:lang w:val="en-IN"/>
        </w:rPr>
        <w:t>sdf</w:t>
      </w:r>
      <w:proofErr w:type="spellEnd"/>
      <w:r w:rsidR="003C1FCE" w:rsidRPr="003C1FCE">
        <w:rPr>
          <w:rFonts w:eastAsia="Calibri"/>
          <w:sz w:val="20"/>
          <w:szCs w:val="20"/>
          <w:lang w:val="en-IN"/>
        </w:rPr>
        <w:t xml:space="preserve"> files. This yielded the best protein-ligand binding candidates for further analysis. Docking results were analysed using LigPlot</w:t>
      </w:r>
      <w:r w:rsidR="00425D9C">
        <w:rPr>
          <w:rFonts w:eastAsia="Calibri"/>
          <w:sz w:val="20"/>
          <w:szCs w:val="20"/>
          <w:lang w:val="en-IN"/>
        </w:rPr>
        <w:t xml:space="preserve"> </w:t>
      </w:r>
      <w:r w:rsidR="00425D9C" w:rsidRPr="00425D9C">
        <w:rPr>
          <w:rFonts w:eastAsia="Calibri"/>
          <w:color w:val="0070C0"/>
          <w:sz w:val="20"/>
          <w:szCs w:val="20"/>
        </w:rPr>
        <w:t xml:space="preserve">(Laskowski &amp; Swindells, 2011), </w:t>
      </w:r>
      <w:r w:rsidR="003C1FCE" w:rsidRPr="003C1FCE">
        <w:rPr>
          <w:rFonts w:eastAsia="Calibri"/>
          <w:sz w:val="20"/>
          <w:szCs w:val="20"/>
          <w:lang w:val="en-IN"/>
        </w:rPr>
        <w:t xml:space="preserve">an advanced version of </w:t>
      </w:r>
      <w:r w:rsidR="00425D9C" w:rsidRPr="003C1FCE">
        <w:rPr>
          <w:rFonts w:eastAsia="Calibri"/>
          <w:sz w:val="20"/>
          <w:szCs w:val="20"/>
          <w:lang w:val="en-IN"/>
        </w:rPr>
        <w:t>LigPlot</w:t>
      </w:r>
      <w:r w:rsidR="00425D9C">
        <w:rPr>
          <w:rFonts w:eastAsia="Calibri"/>
          <w:sz w:val="20"/>
          <w:szCs w:val="20"/>
          <w:lang w:val="en-IN"/>
        </w:rPr>
        <w:t xml:space="preserve"> </w:t>
      </w:r>
      <w:r w:rsidR="003C1FCE" w:rsidRPr="003C1FCE">
        <w:rPr>
          <w:rFonts w:eastAsia="Calibri"/>
          <w:sz w:val="20"/>
          <w:szCs w:val="20"/>
          <w:lang w:val="en-IN"/>
        </w:rPr>
        <w:t>for automatic generation of 2D ligand-protein interaction diagrams. The hydrophobic and hydrogen bond interactions contribute to protein-ligand complex stability and help determine the inhibitory potential of each compound on mutant NRAS.</w:t>
      </w:r>
    </w:p>
    <w:p w14:paraId="2DBF12DE" w14:textId="77777777" w:rsidR="003C1FCE" w:rsidRPr="00863569" w:rsidRDefault="003C1FCE">
      <w:pPr>
        <w:jc w:val="both"/>
        <w:rPr>
          <w:rFonts w:eastAsia="Calibri"/>
          <w:sz w:val="20"/>
          <w:szCs w:val="20"/>
          <w:lang w:val="en-US"/>
        </w:rPr>
      </w:pPr>
    </w:p>
    <w:p w14:paraId="6B40BC9A" w14:textId="20A08B7B" w:rsidR="00931410" w:rsidRPr="00931410" w:rsidRDefault="00000000" w:rsidP="00863569">
      <w:pPr>
        <w:jc w:val="both"/>
        <w:rPr>
          <w:rFonts w:eastAsia="Calibri"/>
          <w:b/>
          <w:bCs/>
          <w:color w:val="0070C0"/>
          <w:sz w:val="20"/>
          <w:szCs w:val="20"/>
          <w:lang w:val="en-US"/>
        </w:rPr>
      </w:pPr>
      <w:r w:rsidRPr="00863569">
        <w:rPr>
          <w:rFonts w:eastAsia="Calibri"/>
          <w:b/>
          <w:bCs/>
          <w:color w:val="0070C0"/>
          <w:sz w:val="20"/>
          <w:szCs w:val="20"/>
          <w:lang w:val="en-US"/>
        </w:rPr>
        <w:t>3. RESULTS and DISCUSSION</w:t>
      </w:r>
    </w:p>
    <w:p w14:paraId="2D9052E3" w14:textId="77777777" w:rsidR="00931410" w:rsidRPr="00931410" w:rsidRDefault="00931410" w:rsidP="00931410">
      <w:pPr>
        <w:autoSpaceDE w:val="0"/>
        <w:autoSpaceDN w:val="0"/>
        <w:adjustRightInd w:val="0"/>
        <w:jc w:val="both"/>
        <w:rPr>
          <w:rFonts w:eastAsia="Calibri"/>
          <w:sz w:val="20"/>
          <w:szCs w:val="20"/>
          <w:lang w:val="en-IN"/>
        </w:rPr>
      </w:pPr>
      <w:r w:rsidRPr="00931410">
        <w:rPr>
          <w:rFonts w:eastAsia="Calibri"/>
          <w:sz w:val="20"/>
          <w:szCs w:val="20"/>
          <w:lang w:val="en-IN"/>
        </w:rPr>
        <w:t> </w:t>
      </w:r>
    </w:p>
    <w:p w14:paraId="14C89A85" w14:textId="77777777" w:rsidR="00931410" w:rsidRPr="00931410" w:rsidRDefault="00931410" w:rsidP="00931410">
      <w:pPr>
        <w:autoSpaceDE w:val="0"/>
        <w:autoSpaceDN w:val="0"/>
        <w:adjustRightInd w:val="0"/>
        <w:jc w:val="both"/>
        <w:rPr>
          <w:rFonts w:eastAsia="Calibri"/>
          <w:b/>
          <w:bCs/>
          <w:color w:val="0070C0"/>
          <w:sz w:val="20"/>
          <w:szCs w:val="20"/>
          <w:lang w:val="en-IN"/>
        </w:rPr>
      </w:pPr>
      <w:r w:rsidRPr="00931410">
        <w:rPr>
          <w:rFonts w:eastAsia="Calibri"/>
          <w:b/>
          <w:bCs/>
          <w:color w:val="0070C0"/>
          <w:sz w:val="20"/>
          <w:szCs w:val="20"/>
          <w:lang w:val="en-IN"/>
        </w:rPr>
        <w:t>3.1. Validation of mutant NRAS models </w:t>
      </w:r>
    </w:p>
    <w:p w14:paraId="6EDCA1CD" w14:textId="77777777" w:rsidR="00931410" w:rsidRPr="00931410" w:rsidRDefault="00931410" w:rsidP="00931410">
      <w:pPr>
        <w:autoSpaceDE w:val="0"/>
        <w:autoSpaceDN w:val="0"/>
        <w:adjustRightInd w:val="0"/>
        <w:jc w:val="both"/>
        <w:rPr>
          <w:rFonts w:eastAsia="Calibri"/>
          <w:sz w:val="20"/>
          <w:szCs w:val="20"/>
          <w:lang w:val="en-IN"/>
        </w:rPr>
      </w:pPr>
      <w:r w:rsidRPr="00931410">
        <w:rPr>
          <w:rFonts w:eastAsia="Calibri"/>
          <w:sz w:val="20"/>
          <w:szCs w:val="20"/>
          <w:lang w:val="en-IN"/>
        </w:rPr>
        <w:t> </w:t>
      </w:r>
    </w:p>
    <w:p w14:paraId="21382C3C" w14:textId="79ADD3E5" w:rsidR="00931410" w:rsidRPr="00931410" w:rsidRDefault="00931410" w:rsidP="00931410">
      <w:pPr>
        <w:autoSpaceDE w:val="0"/>
        <w:autoSpaceDN w:val="0"/>
        <w:adjustRightInd w:val="0"/>
        <w:jc w:val="both"/>
        <w:rPr>
          <w:rFonts w:eastAsia="Calibri"/>
          <w:sz w:val="20"/>
          <w:szCs w:val="20"/>
          <w:lang w:val="en-IN"/>
        </w:rPr>
      </w:pPr>
      <w:r w:rsidRPr="00931410">
        <w:rPr>
          <w:rFonts w:eastAsia="Calibri"/>
          <w:sz w:val="20"/>
          <w:szCs w:val="20"/>
          <w:lang w:val="en-IN"/>
        </w:rPr>
        <w:t xml:space="preserve">The mutant NRAS variants (G12D, G13D, and Q61R) were generated using </w:t>
      </w:r>
      <w:proofErr w:type="spellStart"/>
      <w:r w:rsidRPr="00931410">
        <w:rPr>
          <w:rFonts w:eastAsia="Calibri"/>
          <w:sz w:val="20"/>
          <w:szCs w:val="20"/>
          <w:lang w:val="en-IN"/>
        </w:rPr>
        <w:t>SwissPDB</w:t>
      </w:r>
      <w:proofErr w:type="spellEnd"/>
      <w:r w:rsidRPr="00931410">
        <w:rPr>
          <w:rFonts w:eastAsia="Calibri"/>
          <w:sz w:val="20"/>
          <w:szCs w:val="20"/>
          <w:lang w:val="en-IN"/>
        </w:rPr>
        <w:t xml:space="preserve"> Viewer based on the wild-type structural template. Structural quality checks confirmed the reliability of these models. The protein model's backbone torsion angles (phi and psi) are highly </w:t>
      </w:r>
      <w:r w:rsidR="00EA39C0" w:rsidRPr="00931410">
        <w:rPr>
          <w:rFonts w:eastAsia="Calibri"/>
          <w:sz w:val="20"/>
          <w:szCs w:val="20"/>
          <w:lang w:val="en-IN"/>
        </w:rPr>
        <w:t>stereo chemically</w:t>
      </w:r>
      <w:r w:rsidRPr="00931410">
        <w:rPr>
          <w:rFonts w:eastAsia="Calibri"/>
          <w:sz w:val="20"/>
          <w:szCs w:val="20"/>
          <w:lang w:val="en-IN"/>
        </w:rPr>
        <w:t xml:space="preserve"> favourable, with over 90% of residues falling in the most allowed regions of the Ramachandran plot (Figure 1E–F), signifying excellent structural quality. Only a minor fraction occupied disallowed regions. </w:t>
      </w:r>
      <w:proofErr w:type="spellStart"/>
      <w:r w:rsidRPr="00931410">
        <w:rPr>
          <w:rFonts w:eastAsia="Calibri"/>
          <w:sz w:val="20"/>
          <w:szCs w:val="20"/>
          <w:lang w:val="en-IN"/>
        </w:rPr>
        <w:t>ProSA</w:t>
      </w:r>
      <w:proofErr w:type="spellEnd"/>
      <w:r w:rsidRPr="00931410">
        <w:rPr>
          <w:rFonts w:eastAsia="Calibri"/>
          <w:sz w:val="20"/>
          <w:szCs w:val="20"/>
          <w:lang w:val="en-IN"/>
        </w:rPr>
        <w:t xml:space="preserve"> scores were negative, indicating minimal erroneous regions (Figure 1C) were consistent with native proteins of similar size, indicating reliable global folding </w:t>
      </w:r>
      <w:r w:rsidRPr="00931410">
        <w:rPr>
          <w:rFonts w:eastAsia="Calibri"/>
          <w:color w:val="0070C0"/>
          <w:sz w:val="20"/>
          <w:szCs w:val="20"/>
          <w:lang w:val="en-IN"/>
        </w:rPr>
        <w:t>(Wiederstein &amp; Sippl, 2007)</w:t>
      </w:r>
      <w:r w:rsidRPr="00931410">
        <w:rPr>
          <w:rFonts w:eastAsia="Calibri"/>
          <w:sz w:val="20"/>
          <w:szCs w:val="20"/>
          <w:lang w:val="en-IN"/>
        </w:rPr>
        <w:t>. The modelled NRAS mutant structure was therefore used for further analysis, demonstrating strong structural stability.</w:t>
      </w:r>
    </w:p>
    <w:p w14:paraId="371A7910" w14:textId="6650A762" w:rsidR="004631AB" w:rsidRPr="00863569" w:rsidRDefault="00DF69E3">
      <w:pPr>
        <w:jc w:val="both"/>
        <w:rPr>
          <w:rFonts w:eastAsia="Segoe UI"/>
          <w:spacing w:val="1"/>
          <w:sz w:val="20"/>
          <w:szCs w:val="20"/>
        </w:rPr>
      </w:pPr>
      <w:r w:rsidRPr="00863569">
        <w:rPr>
          <w:noProof/>
        </w:rPr>
        <w:drawing>
          <wp:anchor distT="0" distB="0" distL="114300" distR="114300" simplePos="0" relativeHeight="251660288" behindDoc="0" locked="0" layoutInCell="1" allowOverlap="1" wp14:anchorId="20D87AD1" wp14:editId="60135208">
            <wp:simplePos x="0" y="0"/>
            <wp:positionH relativeFrom="margin">
              <wp:posOffset>4857115</wp:posOffset>
            </wp:positionH>
            <wp:positionV relativeFrom="margin">
              <wp:posOffset>1604010</wp:posOffset>
            </wp:positionV>
            <wp:extent cx="1343025" cy="970280"/>
            <wp:effectExtent l="0" t="0" r="9525" b="1270"/>
            <wp:wrapNone/>
            <wp:docPr id="66"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2.jpeg"/>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1343025" cy="970280"/>
                    </a:xfrm>
                    <a:prstGeom prst="rect">
                      <a:avLst/>
                    </a:prstGeom>
                  </pic:spPr>
                </pic:pic>
              </a:graphicData>
            </a:graphic>
          </wp:anchor>
        </w:drawing>
      </w:r>
    </w:p>
    <w:p w14:paraId="0DA33A59" w14:textId="3F32473F" w:rsidR="004631AB" w:rsidRPr="00863569" w:rsidRDefault="00DF69E3">
      <w:pPr>
        <w:jc w:val="both"/>
        <w:rPr>
          <w:rFonts w:eastAsia="Segoe UI"/>
          <w:spacing w:val="1"/>
          <w:sz w:val="20"/>
          <w:szCs w:val="20"/>
        </w:rPr>
      </w:pPr>
      <w:r w:rsidRPr="00863569">
        <w:rPr>
          <w:noProof/>
        </w:rPr>
        <w:drawing>
          <wp:anchor distT="0" distB="0" distL="114300" distR="114300" simplePos="0" relativeHeight="251659264" behindDoc="0" locked="0" layoutInCell="1" allowOverlap="1" wp14:anchorId="7E239B93" wp14:editId="74BA11EE">
            <wp:simplePos x="0" y="0"/>
            <wp:positionH relativeFrom="column">
              <wp:posOffset>38100</wp:posOffset>
            </wp:positionH>
            <wp:positionV relativeFrom="page">
              <wp:posOffset>2818130</wp:posOffset>
            </wp:positionV>
            <wp:extent cx="1390650" cy="985520"/>
            <wp:effectExtent l="0" t="0" r="0" b="5080"/>
            <wp:wrapNone/>
            <wp:docPr id="2"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1390650" cy="985520"/>
                    </a:xfrm>
                    <a:prstGeom prst="rect">
                      <a:avLst/>
                    </a:prstGeom>
                  </pic:spPr>
                </pic:pic>
              </a:graphicData>
            </a:graphic>
          </wp:anchor>
        </w:drawing>
      </w:r>
    </w:p>
    <w:p w14:paraId="4A023283" w14:textId="701E601A" w:rsidR="004631AB" w:rsidRPr="00863569" w:rsidRDefault="004631AB">
      <w:pPr>
        <w:jc w:val="both"/>
        <w:rPr>
          <w:rFonts w:eastAsia="Segoe UI"/>
          <w:spacing w:val="1"/>
          <w:sz w:val="20"/>
          <w:szCs w:val="20"/>
        </w:rPr>
      </w:pPr>
    </w:p>
    <w:p w14:paraId="51589EAF" w14:textId="77777777" w:rsidR="004631AB" w:rsidRPr="00863569" w:rsidRDefault="004631AB">
      <w:pPr>
        <w:jc w:val="both"/>
        <w:rPr>
          <w:rFonts w:eastAsia="Segoe UI"/>
          <w:spacing w:val="1"/>
          <w:sz w:val="20"/>
          <w:szCs w:val="20"/>
        </w:rPr>
      </w:pPr>
    </w:p>
    <w:p w14:paraId="4FCC8A45" w14:textId="77777777" w:rsidR="004631AB" w:rsidRPr="00863569" w:rsidRDefault="004631AB">
      <w:pPr>
        <w:jc w:val="both"/>
        <w:rPr>
          <w:rFonts w:eastAsia="Segoe UI"/>
          <w:spacing w:val="1"/>
          <w:sz w:val="20"/>
          <w:szCs w:val="20"/>
        </w:rPr>
      </w:pPr>
    </w:p>
    <w:p w14:paraId="74E16C14" w14:textId="77777777" w:rsidR="004631AB" w:rsidRPr="00863569" w:rsidRDefault="004631AB">
      <w:pPr>
        <w:jc w:val="both"/>
        <w:rPr>
          <w:rFonts w:eastAsia="Segoe UI"/>
          <w:spacing w:val="1"/>
          <w:sz w:val="20"/>
          <w:szCs w:val="20"/>
        </w:rPr>
      </w:pPr>
    </w:p>
    <w:p w14:paraId="06FC3481" w14:textId="77777777" w:rsidR="004631AB" w:rsidRPr="00863569" w:rsidRDefault="004631AB">
      <w:pPr>
        <w:jc w:val="both"/>
        <w:rPr>
          <w:rFonts w:eastAsia="Segoe UI"/>
          <w:spacing w:val="1"/>
          <w:sz w:val="20"/>
          <w:szCs w:val="20"/>
        </w:rPr>
      </w:pPr>
    </w:p>
    <w:p w14:paraId="1476E872" w14:textId="77777777" w:rsidR="004631AB" w:rsidRPr="00863569" w:rsidRDefault="004631AB">
      <w:pPr>
        <w:jc w:val="both"/>
        <w:rPr>
          <w:rFonts w:eastAsia="Segoe UI"/>
          <w:spacing w:val="1"/>
          <w:sz w:val="20"/>
          <w:szCs w:val="20"/>
        </w:rPr>
      </w:pPr>
    </w:p>
    <w:p w14:paraId="30C01E01" w14:textId="77777777" w:rsidR="004631AB" w:rsidRPr="00863569" w:rsidRDefault="00000000">
      <w:pPr>
        <w:numPr>
          <w:ilvl w:val="0"/>
          <w:numId w:val="1"/>
        </w:numPr>
        <w:ind w:left="993"/>
        <w:jc w:val="both"/>
        <w:rPr>
          <w:rFonts w:eastAsia="Segoe UI"/>
          <w:spacing w:val="1"/>
          <w:sz w:val="20"/>
          <w:szCs w:val="20"/>
          <w:lang w:val="en-US"/>
        </w:rPr>
      </w:pPr>
      <w:r w:rsidRPr="00863569">
        <w:rPr>
          <w:rFonts w:eastAsia="Segoe UI"/>
          <w:spacing w:val="1"/>
          <w:sz w:val="20"/>
          <w:szCs w:val="20"/>
          <w:lang w:val="en-US"/>
        </w:rPr>
        <w:t xml:space="preserve">                                    </w:t>
      </w:r>
      <w:r w:rsidRPr="00863569">
        <w:rPr>
          <w:rFonts w:eastAsia="Segoe UI"/>
          <w:spacing w:val="1"/>
          <w:sz w:val="20"/>
          <w:szCs w:val="20"/>
        </w:rPr>
        <w:t>(B</w:t>
      </w:r>
      <w:r w:rsidRPr="00863569">
        <w:rPr>
          <w:rFonts w:eastAsia="Segoe UI"/>
          <w:spacing w:val="1"/>
          <w:sz w:val="20"/>
          <w:szCs w:val="20"/>
          <w:lang w:val="en-US"/>
        </w:rPr>
        <w:t>)</w:t>
      </w:r>
    </w:p>
    <w:p w14:paraId="554BD5DE" w14:textId="19C56CD8" w:rsidR="004631AB" w:rsidRPr="00863569" w:rsidRDefault="00553B22">
      <w:pPr>
        <w:jc w:val="both"/>
        <w:rPr>
          <w:rFonts w:eastAsia="Segoe UI"/>
          <w:spacing w:val="1"/>
          <w:sz w:val="20"/>
          <w:szCs w:val="20"/>
        </w:rPr>
      </w:pPr>
      <w:r w:rsidRPr="00863569">
        <w:rPr>
          <w:noProof/>
        </w:rPr>
        <w:drawing>
          <wp:anchor distT="0" distB="0" distL="114300" distR="114300" simplePos="0" relativeHeight="251662336" behindDoc="0" locked="0" layoutInCell="1" allowOverlap="1" wp14:anchorId="14DDEE50" wp14:editId="45ED5330">
            <wp:simplePos x="0" y="0"/>
            <wp:positionH relativeFrom="margin">
              <wp:align>right</wp:align>
            </wp:positionH>
            <wp:positionV relativeFrom="paragraph">
              <wp:posOffset>41275</wp:posOffset>
            </wp:positionV>
            <wp:extent cx="1381125" cy="1025525"/>
            <wp:effectExtent l="19050" t="19050" r="28575" b="22225"/>
            <wp:wrapNone/>
            <wp:docPr id="5"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jpeg"/>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381125" cy="1025525"/>
                    </a:xfrm>
                    <a:prstGeom prst="rect">
                      <a:avLst/>
                    </a:prstGeom>
                    <a:ln>
                      <a:solidFill>
                        <a:schemeClr val="bg1">
                          <a:lumMod val="65000"/>
                        </a:schemeClr>
                      </a:solidFill>
                    </a:ln>
                  </pic:spPr>
                </pic:pic>
              </a:graphicData>
            </a:graphic>
          </wp:anchor>
        </w:drawing>
      </w:r>
      <w:r w:rsidRPr="00863569">
        <w:rPr>
          <w:noProof/>
        </w:rPr>
        <w:drawing>
          <wp:anchor distT="0" distB="0" distL="114300" distR="114300" simplePos="0" relativeHeight="251661312" behindDoc="0" locked="0" layoutInCell="1" allowOverlap="1" wp14:anchorId="26156E41" wp14:editId="542AAA50">
            <wp:simplePos x="0" y="0"/>
            <wp:positionH relativeFrom="column">
              <wp:posOffset>-7620</wp:posOffset>
            </wp:positionH>
            <wp:positionV relativeFrom="paragraph">
              <wp:posOffset>47625</wp:posOffset>
            </wp:positionV>
            <wp:extent cx="1409700" cy="1012825"/>
            <wp:effectExtent l="19050" t="19050" r="19050" b="15875"/>
            <wp:wrapNone/>
            <wp:docPr id="67"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3.jpeg"/>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1409700" cy="1012825"/>
                    </a:xfrm>
                    <a:prstGeom prst="rect">
                      <a:avLst/>
                    </a:prstGeom>
                    <a:ln>
                      <a:solidFill>
                        <a:schemeClr val="bg1">
                          <a:lumMod val="65000"/>
                        </a:schemeClr>
                      </a:solidFill>
                    </a:ln>
                  </pic:spPr>
                </pic:pic>
              </a:graphicData>
            </a:graphic>
          </wp:anchor>
        </w:drawing>
      </w:r>
    </w:p>
    <w:p w14:paraId="595886C1" w14:textId="77777777" w:rsidR="004631AB" w:rsidRPr="00863569" w:rsidRDefault="004631AB">
      <w:pPr>
        <w:jc w:val="both"/>
        <w:rPr>
          <w:rFonts w:eastAsia="Segoe UI"/>
          <w:spacing w:val="1"/>
          <w:sz w:val="20"/>
          <w:szCs w:val="20"/>
        </w:rPr>
      </w:pPr>
    </w:p>
    <w:p w14:paraId="3436838A" w14:textId="77777777" w:rsidR="004631AB" w:rsidRPr="00863569" w:rsidRDefault="00000000">
      <w:pPr>
        <w:jc w:val="both"/>
        <w:rPr>
          <w:rFonts w:eastAsia="Segoe UI"/>
          <w:spacing w:val="1"/>
          <w:sz w:val="20"/>
          <w:szCs w:val="20"/>
        </w:rPr>
      </w:pPr>
      <w:r w:rsidRPr="00863569">
        <w:rPr>
          <w:rFonts w:eastAsia="Segoe UI"/>
          <w:spacing w:val="1"/>
          <w:sz w:val="20"/>
          <w:szCs w:val="20"/>
        </w:rPr>
        <w:t xml:space="preserve"> </w:t>
      </w:r>
    </w:p>
    <w:p w14:paraId="2A610E6A" w14:textId="77777777" w:rsidR="004631AB" w:rsidRPr="00863569" w:rsidRDefault="004631AB">
      <w:pPr>
        <w:jc w:val="both"/>
        <w:rPr>
          <w:rFonts w:eastAsia="Segoe UI"/>
          <w:spacing w:val="1"/>
          <w:sz w:val="20"/>
          <w:szCs w:val="20"/>
        </w:rPr>
      </w:pPr>
    </w:p>
    <w:p w14:paraId="6872C4B5" w14:textId="77777777" w:rsidR="004631AB" w:rsidRPr="00863569" w:rsidRDefault="004631AB">
      <w:pPr>
        <w:jc w:val="both"/>
        <w:rPr>
          <w:rFonts w:eastAsia="Segoe UI"/>
          <w:spacing w:val="1"/>
          <w:sz w:val="20"/>
          <w:szCs w:val="20"/>
        </w:rPr>
      </w:pPr>
    </w:p>
    <w:p w14:paraId="15F1498B" w14:textId="77777777" w:rsidR="004631AB" w:rsidRPr="00863569" w:rsidRDefault="004631AB">
      <w:pPr>
        <w:jc w:val="both"/>
        <w:rPr>
          <w:rFonts w:eastAsia="Segoe UI"/>
          <w:spacing w:val="1"/>
          <w:sz w:val="20"/>
          <w:szCs w:val="20"/>
        </w:rPr>
      </w:pPr>
    </w:p>
    <w:p w14:paraId="649F21A6" w14:textId="77777777" w:rsidR="004631AB" w:rsidRPr="00863569" w:rsidRDefault="004631AB">
      <w:pPr>
        <w:jc w:val="both"/>
        <w:rPr>
          <w:rFonts w:eastAsia="Segoe UI"/>
          <w:spacing w:val="1"/>
          <w:sz w:val="20"/>
          <w:szCs w:val="20"/>
        </w:rPr>
      </w:pPr>
    </w:p>
    <w:p w14:paraId="47DADA6F" w14:textId="77777777" w:rsidR="004631AB" w:rsidRPr="00863569" w:rsidRDefault="004631AB">
      <w:pPr>
        <w:jc w:val="both"/>
        <w:rPr>
          <w:rFonts w:eastAsia="Segoe UI"/>
          <w:spacing w:val="1"/>
          <w:sz w:val="20"/>
          <w:szCs w:val="20"/>
          <w:lang w:val="en-US"/>
        </w:rPr>
      </w:pPr>
    </w:p>
    <w:p w14:paraId="31FABB34" w14:textId="77777777" w:rsidR="004631AB" w:rsidRPr="00863569" w:rsidRDefault="00000000">
      <w:pPr>
        <w:jc w:val="both"/>
        <w:rPr>
          <w:rFonts w:eastAsia="Calibri"/>
          <w:sz w:val="20"/>
          <w:szCs w:val="20"/>
          <w:lang w:val="en-US"/>
        </w:rPr>
      </w:pPr>
      <w:r w:rsidRPr="00863569">
        <w:rPr>
          <w:rFonts w:eastAsia="Segoe UI"/>
          <w:spacing w:val="1"/>
          <w:sz w:val="20"/>
          <w:szCs w:val="20"/>
          <w:lang w:val="en-US"/>
        </w:rPr>
        <w:t xml:space="preserve">                   </w:t>
      </w:r>
      <w:r w:rsidRPr="00863569">
        <w:rPr>
          <w:rFonts w:eastAsia="Segoe UI"/>
          <w:spacing w:val="1"/>
          <w:sz w:val="20"/>
          <w:szCs w:val="20"/>
        </w:rPr>
        <w:t>(C)</w:t>
      </w:r>
      <w:r w:rsidRPr="00863569">
        <w:rPr>
          <w:rFonts w:eastAsia="Segoe UI"/>
          <w:spacing w:val="1"/>
          <w:sz w:val="20"/>
          <w:szCs w:val="20"/>
          <w:lang w:val="en-US"/>
        </w:rPr>
        <w:t xml:space="preserve">                                     </w:t>
      </w:r>
      <w:r w:rsidRPr="00863569">
        <w:rPr>
          <w:rFonts w:eastAsia="Segoe UI"/>
          <w:spacing w:val="1"/>
          <w:sz w:val="20"/>
          <w:szCs w:val="20"/>
        </w:rPr>
        <w:t>(D)</w:t>
      </w:r>
    </w:p>
    <w:p w14:paraId="7AEC7C6C" w14:textId="77777777" w:rsidR="004631AB" w:rsidRPr="00863569" w:rsidRDefault="004631AB">
      <w:pPr>
        <w:jc w:val="both"/>
        <w:rPr>
          <w:rFonts w:eastAsia="Segoe UI"/>
          <w:spacing w:val="1"/>
          <w:sz w:val="20"/>
          <w:szCs w:val="20"/>
          <w:lang w:val="en-US"/>
        </w:rPr>
      </w:pPr>
    </w:p>
    <w:p w14:paraId="5D6E46D3" w14:textId="209A4B29" w:rsidR="004631AB" w:rsidRPr="00863569" w:rsidRDefault="00000000">
      <w:pPr>
        <w:jc w:val="both"/>
        <w:rPr>
          <w:rFonts w:eastAsia="Segoe UI"/>
          <w:spacing w:val="1"/>
          <w:sz w:val="20"/>
          <w:szCs w:val="20"/>
        </w:rPr>
      </w:pPr>
      <w:r w:rsidRPr="00863569">
        <w:rPr>
          <w:noProof/>
        </w:rPr>
        <w:drawing>
          <wp:anchor distT="0" distB="0" distL="114300" distR="114300" simplePos="0" relativeHeight="251663360" behindDoc="0" locked="0" layoutInCell="1" allowOverlap="1" wp14:anchorId="69187A59" wp14:editId="675C44C3">
            <wp:simplePos x="0" y="0"/>
            <wp:positionH relativeFrom="column">
              <wp:align>left</wp:align>
            </wp:positionH>
            <wp:positionV relativeFrom="paragraph">
              <wp:posOffset>92710</wp:posOffset>
            </wp:positionV>
            <wp:extent cx="1276350" cy="1028700"/>
            <wp:effectExtent l="19050" t="19050" r="19050" b="19050"/>
            <wp:wrapNone/>
            <wp:docPr id="68"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5.jpeg"/>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1276350" cy="1028700"/>
                    </a:xfrm>
                    <a:prstGeom prst="rect">
                      <a:avLst/>
                    </a:prstGeom>
                    <a:ln>
                      <a:solidFill>
                        <a:schemeClr val="bg1">
                          <a:lumMod val="65000"/>
                        </a:schemeClr>
                      </a:solidFill>
                    </a:ln>
                  </pic:spPr>
                </pic:pic>
              </a:graphicData>
            </a:graphic>
          </wp:anchor>
        </w:drawing>
      </w:r>
      <w:r w:rsidRPr="00863569">
        <w:rPr>
          <w:noProof/>
        </w:rPr>
        <w:drawing>
          <wp:anchor distT="0" distB="0" distL="114300" distR="114300" simplePos="0" relativeHeight="251664384" behindDoc="0" locked="0" layoutInCell="1" allowOverlap="1" wp14:anchorId="755968A0" wp14:editId="4A7C7CCA">
            <wp:simplePos x="0" y="0"/>
            <wp:positionH relativeFrom="margin">
              <wp:align>right</wp:align>
            </wp:positionH>
            <wp:positionV relativeFrom="paragraph">
              <wp:posOffset>73660</wp:posOffset>
            </wp:positionV>
            <wp:extent cx="1447800" cy="1038225"/>
            <wp:effectExtent l="19050" t="19050" r="19050" b="25400"/>
            <wp:wrapNone/>
            <wp:docPr id="7"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png"/>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1447800" cy="1038225"/>
                    </a:xfrm>
                    <a:prstGeom prst="rect">
                      <a:avLst/>
                    </a:prstGeom>
                    <a:ln>
                      <a:solidFill>
                        <a:schemeClr val="bg1">
                          <a:lumMod val="65000"/>
                        </a:schemeClr>
                      </a:solidFill>
                    </a:ln>
                  </pic:spPr>
                </pic:pic>
              </a:graphicData>
            </a:graphic>
            <wp14:sizeRelV relativeFrom="margin">
              <wp14:pctHeight>0</wp14:pctHeight>
            </wp14:sizeRelV>
          </wp:anchor>
        </w:drawing>
      </w:r>
    </w:p>
    <w:p w14:paraId="6A9FF5C6" w14:textId="77777777" w:rsidR="004631AB" w:rsidRPr="00863569" w:rsidRDefault="004631AB">
      <w:pPr>
        <w:jc w:val="both"/>
        <w:rPr>
          <w:rFonts w:eastAsia="Segoe UI"/>
          <w:spacing w:val="1"/>
          <w:sz w:val="20"/>
          <w:szCs w:val="20"/>
        </w:rPr>
      </w:pPr>
    </w:p>
    <w:p w14:paraId="15A4A711" w14:textId="77777777" w:rsidR="004631AB" w:rsidRPr="00863569" w:rsidRDefault="004631AB">
      <w:pPr>
        <w:jc w:val="both"/>
        <w:rPr>
          <w:rFonts w:eastAsia="Segoe UI"/>
          <w:spacing w:val="1"/>
          <w:sz w:val="20"/>
          <w:szCs w:val="20"/>
        </w:rPr>
      </w:pPr>
    </w:p>
    <w:p w14:paraId="68A9ED7F" w14:textId="77777777" w:rsidR="004631AB" w:rsidRPr="00863569" w:rsidRDefault="004631AB">
      <w:pPr>
        <w:jc w:val="both"/>
        <w:rPr>
          <w:rFonts w:eastAsia="Segoe UI"/>
          <w:spacing w:val="1"/>
          <w:sz w:val="20"/>
          <w:szCs w:val="20"/>
        </w:rPr>
      </w:pPr>
    </w:p>
    <w:p w14:paraId="5A09156D" w14:textId="77777777" w:rsidR="004631AB" w:rsidRPr="00863569" w:rsidRDefault="004631AB">
      <w:pPr>
        <w:jc w:val="both"/>
        <w:rPr>
          <w:rFonts w:eastAsia="Segoe UI"/>
          <w:spacing w:val="1"/>
          <w:sz w:val="20"/>
          <w:szCs w:val="20"/>
        </w:rPr>
      </w:pPr>
    </w:p>
    <w:p w14:paraId="2987CCD8" w14:textId="77777777" w:rsidR="004631AB" w:rsidRPr="00863569" w:rsidRDefault="004631AB">
      <w:pPr>
        <w:jc w:val="both"/>
        <w:rPr>
          <w:rFonts w:eastAsia="Segoe UI"/>
          <w:spacing w:val="1"/>
          <w:sz w:val="20"/>
          <w:szCs w:val="20"/>
        </w:rPr>
      </w:pPr>
    </w:p>
    <w:p w14:paraId="59CA3091" w14:textId="77777777" w:rsidR="004631AB" w:rsidRPr="00863569" w:rsidRDefault="004631AB">
      <w:pPr>
        <w:jc w:val="both"/>
        <w:rPr>
          <w:rFonts w:eastAsia="Segoe UI"/>
          <w:spacing w:val="1"/>
          <w:sz w:val="20"/>
          <w:szCs w:val="20"/>
        </w:rPr>
      </w:pPr>
    </w:p>
    <w:p w14:paraId="3CB60A0F" w14:textId="77777777" w:rsidR="004631AB" w:rsidRPr="00863569" w:rsidRDefault="00000000">
      <w:pPr>
        <w:jc w:val="both"/>
        <w:rPr>
          <w:rFonts w:eastAsia="Segoe UI"/>
          <w:spacing w:val="1"/>
          <w:sz w:val="20"/>
          <w:szCs w:val="20"/>
          <w:lang w:val="en-US"/>
        </w:rPr>
      </w:pPr>
      <w:r w:rsidRPr="00863569">
        <w:rPr>
          <w:rFonts w:eastAsia="Segoe UI"/>
          <w:spacing w:val="1"/>
          <w:sz w:val="20"/>
          <w:szCs w:val="20"/>
        </w:rPr>
        <w:t xml:space="preserve"> </w:t>
      </w:r>
      <w:r w:rsidRPr="00863569">
        <w:rPr>
          <w:rFonts w:eastAsia="Segoe UI"/>
          <w:spacing w:val="1"/>
          <w:sz w:val="20"/>
          <w:szCs w:val="20"/>
          <w:lang w:val="en-US"/>
        </w:rPr>
        <w:t xml:space="preserve">                                                                             </w:t>
      </w:r>
    </w:p>
    <w:p w14:paraId="2EACC40E" w14:textId="77777777" w:rsidR="004631AB" w:rsidRPr="00863569" w:rsidRDefault="00000000">
      <w:pPr>
        <w:jc w:val="both"/>
        <w:rPr>
          <w:rFonts w:eastAsia="Segoe UI"/>
          <w:spacing w:val="1"/>
          <w:sz w:val="20"/>
          <w:szCs w:val="20"/>
          <w:lang w:val="en-US"/>
        </w:rPr>
      </w:pPr>
      <w:r w:rsidRPr="00863569">
        <w:rPr>
          <w:rFonts w:eastAsia="Segoe UI"/>
          <w:spacing w:val="1"/>
          <w:sz w:val="20"/>
          <w:szCs w:val="20"/>
          <w:lang w:val="en-US"/>
        </w:rPr>
        <w:t xml:space="preserve">                     </w:t>
      </w:r>
      <w:r w:rsidRPr="00863569">
        <w:rPr>
          <w:rFonts w:eastAsia="Segoe UI"/>
          <w:spacing w:val="1"/>
          <w:sz w:val="20"/>
          <w:szCs w:val="20"/>
        </w:rPr>
        <w:t xml:space="preserve">(E) </w:t>
      </w:r>
      <w:r w:rsidRPr="00863569">
        <w:rPr>
          <w:rFonts w:eastAsia="Segoe UI"/>
          <w:spacing w:val="1"/>
          <w:sz w:val="20"/>
          <w:szCs w:val="20"/>
          <w:lang w:val="en-US"/>
        </w:rPr>
        <w:t xml:space="preserve">                                  </w:t>
      </w:r>
      <w:r w:rsidRPr="00863569">
        <w:rPr>
          <w:rFonts w:eastAsia="Segoe UI"/>
          <w:spacing w:val="1"/>
          <w:sz w:val="20"/>
          <w:szCs w:val="20"/>
        </w:rPr>
        <w:t>(F)</w:t>
      </w:r>
    </w:p>
    <w:p w14:paraId="34EA286D" w14:textId="77777777" w:rsidR="004631AB" w:rsidRPr="00863569" w:rsidRDefault="004631AB">
      <w:pPr>
        <w:jc w:val="both"/>
        <w:rPr>
          <w:rFonts w:eastAsia="Segoe UI"/>
          <w:spacing w:val="1"/>
          <w:sz w:val="20"/>
          <w:szCs w:val="20"/>
          <w:lang w:val="en-US"/>
        </w:rPr>
      </w:pPr>
    </w:p>
    <w:p w14:paraId="3A6F6E7B" w14:textId="1EE83902" w:rsidR="00A13AB2" w:rsidRDefault="002645AF">
      <w:pPr>
        <w:jc w:val="both"/>
        <w:rPr>
          <w:rFonts w:eastAsia="Segoe UI"/>
          <w:spacing w:val="1"/>
          <w:sz w:val="20"/>
          <w:szCs w:val="20"/>
          <w:lang w:val="en-IN"/>
        </w:rPr>
      </w:pPr>
      <w:r w:rsidRPr="002645AF">
        <w:rPr>
          <w:rFonts w:eastAsia="Segoe UI"/>
          <w:b/>
          <w:bCs/>
          <w:color w:val="0070C0"/>
          <w:spacing w:val="1"/>
          <w:sz w:val="20"/>
          <w:szCs w:val="20"/>
          <w:lang w:val="en-IN"/>
        </w:rPr>
        <w:t>Figure 1.</w:t>
      </w:r>
      <w:r w:rsidRPr="002645AF">
        <w:rPr>
          <w:rFonts w:eastAsia="Segoe UI"/>
          <w:color w:val="0070C0"/>
          <w:spacing w:val="1"/>
          <w:sz w:val="20"/>
          <w:szCs w:val="20"/>
          <w:lang w:val="en-IN"/>
        </w:rPr>
        <w:t xml:space="preserve"> </w:t>
      </w:r>
      <w:r w:rsidRPr="002645AF">
        <w:rPr>
          <w:rFonts w:eastAsia="Segoe UI"/>
          <w:spacing w:val="1"/>
          <w:sz w:val="20"/>
          <w:szCs w:val="20"/>
          <w:lang w:val="en-IN"/>
        </w:rPr>
        <w:t>(A) Protein showing secondary structure elements and residue connectivity. (B) Cartoon representation of the protein and coloured by secondary structure type. (C) Overall model quality plot in PROSA indicating global Z-scores (D) Local quality assessment plot showing per-residue score fluctuations. (E) Ramachandran plot presenting backbone dihedral angle distributions, with most residues occupying favoured regions. (F) Summary of model statistics obtained from the Ramachandran plot.</w:t>
      </w:r>
    </w:p>
    <w:p w14:paraId="693B275E" w14:textId="77777777" w:rsidR="00C65B31" w:rsidRPr="00863569" w:rsidRDefault="00C65B31">
      <w:pPr>
        <w:jc w:val="both"/>
        <w:rPr>
          <w:rFonts w:eastAsia="Segoe UI"/>
          <w:spacing w:val="1"/>
          <w:sz w:val="20"/>
          <w:szCs w:val="20"/>
          <w:lang w:val="en-IN"/>
        </w:rPr>
      </w:pPr>
    </w:p>
    <w:p w14:paraId="50EC1688" w14:textId="164B9646" w:rsidR="002645AF" w:rsidRPr="002645AF" w:rsidRDefault="002645AF" w:rsidP="002645AF">
      <w:pPr>
        <w:jc w:val="both"/>
        <w:rPr>
          <w:rFonts w:eastAsia="Calibri"/>
          <w:b/>
          <w:bCs/>
          <w:color w:val="0070C0"/>
          <w:sz w:val="20"/>
          <w:szCs w:val="20"/>
          <w:lang w:val="en-IN"/>
        </w:rPr>
      </w:pPr>
      <w:r w:rsidRPr="002645AF">
        <w:rPr>
          <w:rFonts w:eastAsia="Calibri"/>
          <w:b/>
          <w:bCs/>
          <w:color w:val="0070C0"/>
          <w:sz w:val="20"/>
          <w:szCs w:val="20"/>
          <w:lang w:val="en-IN"/>
        </w:rPr>
        <w:t>3.2. Virtual screening and docking outcomes</w:t>
      </w:r>
    </w:p>
    <w:p w14:paraId="0C29483C" w14:textId="77777777" w:rsidR="002645AF" w:rsidRPr="002645AF" w:rsidRDefault="002645AF" w:rsidP="002645AF">
      <w:pPr>
        <w:jc w:val="both"/>
        <w:rPr>
          <w:rFonts w:eastAsia="Calibri"/>
          <w:sz w:val="20"/>
          <w:szCs w:val="20"/>
          <w:lang w:val="en-IN"/>
        </w:rPr>
      </w:pPr>
      <w:r w:rsidRPr="002645AF">
        <w:rPr>
          <w:rFonts w:eastAsia="Calibri"/>
          <w:sz w:val="20"/>
          <w:szCs w:val="20"/>
          <w:lang w:val="en-IN"/>
        </w:rPr>
        <w:t> </w:t>
      </w:r>
    </w:p>
    <w:p w14:paraId="60286C78" w14:textId="71D8ADF7" w:rsidR="00260F70" w:rsidRDefault="002645AF" w:rsidP="002645AF">
      <w:pPr>
        <w:jc w:val="both"/>
        <w:rPr>
          <w:rFonts w:eastAsia="Calibri"/>
          <w:sz w:val="20"/>
          <w:szCs w:val="20"/>
          <w:lang w:val="en-IN"/>
        </w:rPr>
      </w:pPr>
      <w:r w:rsidRPr="002645AF">
        <w:rPr>
          <w:rFonts w:eastAsia="Calibri"/>
          <w:sz w:val="20"/>
          <w:szCs w:val="20"/>
          <w:lang w:val="en-IN"/>
        </w:rPr>
        <w:t xml:space="preserve">Structure-based virtual screening is a widely accepted early-stage drug discovery strategy for identifying lead candidates against challenging targets </w:t>
      </w:r>
      <w:r w:rsidRPr="002645AF">
        <w:rPr>
          <w:rFonts w:eastAsia="Calibri"/>
          <w:color w:val="0070C0"/>
          <w:sz w:val="20"/>
          <w:szCs w:val="20"/>
          <w:lang w:val="en-IN"/>
        </w:rPr>
        <w:t xml:space="preserve">(Kitchen et al., 2004; </w:t>
      </w:r>
      <w:proofErr w:type="spellStart"/>
      <w:r w:rsidRPr="002645AF">
        <w:rPr>
          <w:rFonts w:eastAsia="Calibri"/>
          <w:color w:val="0070C0"/>
          <w:sz w:val="20"/>
          <w:szCs w:val="20"/>
          <w:lang w:val="en-IN"/>
        </w:rPr>
        <w:t>Lionta</w:t>
      </w:r>
      <w:proofErr w:type="spellEnd"/>
      <w:r w:rsidRPr="002645AF">
        <w:rPr>
          <w:rFonts w:eastAsia="Calibri"/>
          <w:color w:val="0070C0"/>
          <w:sz w:val="20"/>
          <w:szCs w:val="20"/>
          <w:lang w:val="en-IN"/>
        </w:rPr>
        <w:t xml:space="preserve"> et al., 2014).</w:t>
      </w:r>
      <w:r w:rsidR="0082744A">
        <w:rPr>
          <w:rFonts w:eastAsia="Calibri"/>
          <w:sz w:val="20"/>
          <w:szCs w:val="20"/>
          <w:lang w:val="en-IN"/>
        </w:rPr>
        <w:t xml:space="preserve"> A total </w:t>
      </w:r>
      <w:r w:rsidRPr="002645AF">
        <w:rPr>
          <w:rFonts w:eastAsia="Calibri"/>
          <w:sz w:val="20"/>
          <w:szCs w:val="20"/>
          <w:lang w:val="en-IN"/>
        </w:rPr>
        <w:t>of 5,322 natural compounds from the ZINC database</w:t>
      </w:r>
      <w:r w:rsidR="0082744A" w:rsidRPr="00B871E4">
        <w:rPr>
          <w:rFonts w:eastAsia="Calibri"/>
          <w:sz w:val="20"/>
          <w:szCs w:val="20"/>
          <w:lang w:val="en-IN"/>
        </w:rPr>
        <w:t xml:space="preserve"> was taken into consideration</w:t>
      </w:r>
      <w:r w:rsidRPr="002645AF">
        <w:rPr>
          <w:rFonts w:eastAsia="Calibri"/>
          <w:sz w:val="20"/>
          <w:szCs w:val="20"/>
          <w:lang w:val="en-IN"/>
        </w:rPr>
        <w:t>,</w:t>
      </w:r>
      <w:r w:rsidR="0082744A" w:rsidRPr="00B871E4">
        <w:rPr>
          <w:rFonts w:eastAsia="Calibri"/>
          <w:sz w:val="20"/>
          <w:szCs w:val="20"/>
          <w:lang w:val="en-IN"/>
        </w:rPr>
        <w:t xml:space="preserve"> they were </w:t>
      </w:r>
      <w:r w:rsidRPr="002645AF">
        <w:rPr>
          <w:rFonts w:eastAsia="Calibri"/>
          <w:sz w:val="20"/>
          <w:szCs w:val="20"/>
          <w:lang w:val="en-IN"/>
        </w:rPr>
        <w:t xml:space="preserve">filtered through FAFDrugs4 to </w:t>
      </w:r>
      <w:r w:rsidRPr="002645AF">
        <w:rPr>
          <w:rFonts w:eastAsia="Calibri"/>
          <w:sz w:val="20"/>
          <w:szCs w:val="20"/>
          <w:lang w:val="en-IN"/>
        </w:rPr>
        <w:lastRenderedPageBreak/>
        <w:t xml:space="preserve">exclude compounds violating Lipinski’s rules </w:t>
      </w:r>
      <w:r w:rsidRPr="002645AF">
        <w:rPr>
          <w:rFonts w:eastAsia="Calibri"/>
          <w:color w:val="0070C0"/>
          <w:sz w:val="20"/>
          <w:szCs w:val="20"/>
          <w:lang w:val="en-IN"/>
        </w:rPr>
        <w:t>(</w:t>
      </w:r>
      <w:proofErr w:type="spellStart"/>
      <w:r w:rsidRPr="002645AF">
        <w:rPr>
          <w:rFonts w:eastAsia="Calibri"/>
          <w:color w:val="0070C0"/>
          <w:sz w:val="20"/>
          <w:szCs w:val="20"/>
          <w:lang w:val="en-IN"/>
        </w:rPr>
        <w:t>Lagorce</w:t>
      </w:r>
      <w:proofErr w:type="spellEnd"/>
      <w:r w:rsidRPr="002645AF">
        <w:rPr>
          <w:rFonts w:eastAsia="Calibri"/>
          <w:color w:val="0070C0"/>
          <w:sz w:val="20"/>
          <w:szCs w:val="20"/>
          <w:lang w:val="en-IN"/>
        </w:rPr>
        <w:t xml:space="preserve"> et al., 2017)</w:t>
      </w:r>
      <w:r w:rsidRPr="002645AF">
        <w:rPr>
          <w:rFonts w:eastAsia="Calibri"/>
          <w:sz w:val="20"/>
          <w:szCs w:val="20"/>
          <w:lang w:val="en-IN"/>
        </w:rPr>
        <w:t xml:space="preserve">. Docking was performed with </w:t>
      </w:r>
      <w:proofErr w:type="spellStart"/>
      <w:r w:rsidRPr="002645AF">
        <w:rPr>
          <w:rFonts w:eastAsia="Calibri"/>
          <w:sz w:val="20"/>
          <w:szCs w:val="20"/>
          <w:lang w:val="en-IN"/>
        </w:rPr>
        <w:t>AutoDock</w:t>
      </w:r>
      <w:proofErr w:type="spellEnd"/>
      <w:r w:rsidRPr="002645AF">
        <w:rPr>
          <w:rFonts w:eastAsia="Calibri"/>
          <w:sz w:val="20"/>
          <w:szCs w:val="20"/>
          <w:lang w:val="en-IN"/>
        </w:rPr>
        <w:t xml:space="preserve"> 4.2 implemented in </w:t>
      </w:r>
      <w:proofErr w:type="spellStart"/>
      <w:r w:rsidRPr="002645AF">
        <w:rPr>
          <w:rFonts w:eastAsia="Calibri"/>
          <w:sz w:val="20"/>
          <w:szCs w:val="20"/>
          <w:lang w:val="en-IN"/>
        </w:rPr>
        <w:t>PyRx</w:t>
      </w:r>
      <w:proofErr w:type="spellEnd"/>
      <w:r w:rsidR="00956E58">
        <w:rPr>
          <w:rFonts w:eastAsia="Calibri"/>
          <w:sz w:val="20"/>
          <w:szCs w:val="20"/>
          <w:lang w:val="en-IN"/>
        </w:rPr>
        <w:t xml:space="preserve"> on those compounds</w:t>
      </w:r>
      <w:r w:rsidRPr="002645AF">
        <w:rPr>
          <w:rFonts w:eastAsia="Calibri"/>
          <w:sz w:val="20"/>
          <w:szCs w:val="20"/>
          <w:lang w:val="en-IN"/>
        </w:rPr>
        <w:t xml:space="preserve">. </w:t>
      </w:r>
      <w:r w:rsidR="00B871E4" w:rsidRPr="00B871E4">
        <w:rPr>
          <w:rFonts w:eastAsia="Calibri"/>
          <w:sz w:val="20"/>
          <w:szCs w:val="20"/>
          <w:lang w:val="en-IN"/>
        </w:rPr>
        <w:t xml:space="preserve">Eleven </w:t>
      </w:r>
      <w:r w:rsidRPr="002645AF">
        <w:rPr>
          <w:rFonts w:eastAsia="Calibri"/>
          <w:sz w:val="20"/>
          <w:szCs w:val="20"/>
          <w:lang w:val="en-IN"/>
        </w:rPr>
        <w:t xml:space="preserve">top-ranked compounds were selected based on their binding free energy, with docking scores ranging from –10.62 to –10.04 kcal/mol (Table 1). These values </w:t>
      </w:r>
      <w:r w:rsidR="00B871E4" w:rsidRPr="00B871E4">
        <w:rPr>
          <w:rFonts w:eastAsia="Calibri"/>
          <w:sz w:val="20"/>
          <w:szCs w:val="20"/>
          <w:lang w:val="en-IN"/>
        </w:rPr>
        <w:t xml:space="preserve">show </w:t>
      </w:r>
      <w:r w:rsidR="00EA39C0" w:rsidRPr="00B871E4">
        <w:rPr>
          <w:rFonts w:eastAsia="Calibri"/>
          <w:sz w:val="20"/>
          <w:szCs w:val="20"/>
          <w:lang w:val="en-IN"/>
        </w:rPr>
        <w:t xml:space="preserve">a </w:t>
      </w:r>
      <w:r w:rsidR="00EA39C0" w:rsidRPr="002645AF">
        <w:rPr>
          <w:rFonts w:eastAsia="Calibri"/>
          <w:sz w:val="20"/>
          <w:szCs w:val="20"/>
          <w:lang w:val="en-IN"/>
        </w:rPr>
        <w:t>favourable</w:t>
      </w:r>
      <w:r w:rsidR="00B871E4" w:rsidRPr="00B871E4">
        <w:rPr>
          <w:rFonts w:eastAsia="Calibri"/>
          <w:sz w:val="20"/>
          <w:szCs w:val="20"/>
          <w:lang w:val="en-IN"/>
        </w:rPr>
        <w:t xml:space="preserve"> stability</w:t>
      </w:r>
      <w:r w:rsidRPr="002645AF">
        <w:rPr>
          <w:rFonts w:eastAsia="Calibri"/>
          <w:sz w:val="20"/>
          <w:szCs w:val="20"/>
          <w:lang w:val="en-IN"/>
        </w:rPr>
        <w:t xml:space="preserve"> with </w:t>
      </w:r>
      <w:r w:rsidR="00B871E4" w:rsidRPr="00B871E4">
        <w:rPr>
          <w:rFonts w:eastAsia="Calibri"/>
          <w:sz w:val="20"/>
          <w:szCs w:val="20"/>
          <w:lang w:val="en-IN"/>
        </w:rPr>
        <w:t xml:space="preserve">previously </w:t>
      </w:r>
      <w:r w:rsidRPr="002645AF">
        <w:rPr>
          <w:rFonts w:eastAsia="Calibri"/>
          <w:sz w:val="20"/>
          <w:szCs w:val="20"/>
          <w:lang w:val="en-IN"/>
        </w:rPr>
        <w:t xml:space="preserve">reported docking energies for small-molecule interactions targeting RAS proteins </w:t>
      </w:r>
      <w:r w:rsidRPr="002645AF">
        <w:rPr>
          <w:rFonts w:eastAsia="Calibri"/>
          <w:color w:val="0070C0"/>
          <w:sz w:val="20"/>
          <w:szCs w:val="20"/>
          <w:lang w:val="en-IN"/>
        </w:rPr>
        <w:t xml:space="preserve">(Cox et al., 2014), </w:t>
      </w:r>
    </w:p>
    <w:p w14:paraId="26C4DDB2" w14:textId="5BAFFB4F" w:rsidR="002645AF" w:rsidRPr="002645AF" w:rsidRDefault="002645AF" w:rsidP="002645AF">
      <w:pPr>
        <w:jc w:val="both"/>
        <w:rPr>
          <w:rFonts w:eastAsia="Calibri"/>
          <w:sz w:val="20"/>
          <w:szCs w:val="20"/>
          <w:lang w:val="en-IN"/>
        </w:rPr>
      </w:pPr>
      <w:r w:rsidRPr="002645AF">
        <w:rPr>
          <w:rFonts w:eastAsia="Calibri"/>
          <w:sz w:val="20"/>
          <w:szCs w:val="20"/>
          <w:lang w:val="en-IN"/>
        </w:rPr>
        <w:t>The narrow energy distribution among the top hits indicates convergence toward a structurally consistent binding mode within the NRAS active site. Importantly, the identification of multiple natural compounds with strong predicted affinity inclines to the therapeutic potential of natural products' chemical space for targeting oncogenic NRAS variants.</w:t>
      </w:r>
    </w:p>
    <w:p w14:paraId="26294F40" w14:textId="4DDFCDEE" w:rsidR="002645AF" w:rsidRPr="00863569" w:rsidRDefault="002645AF">
      <w:pPr>
        <w:jc w:val="both"/>
        <w:rPr>
          <w:rFonts w:eastAsia="Calibri"/>
          <w:sz w:val="20"/>
          <w:szCs w:val="20"/>
          <w:lang w:val="en-IN"/>
        </w:rPr>
      </w:pPr>
      <w:r w:rsidRPr="002645AF">
        <w:rPr>
          <w:rFonts w:eastAsia="Calibri"/>
          <w:sz w:val="20"/>
          <w:szCs w:val="20"/>
          <w:lang w:val="en-IN"/>
        </w:rPr>
        <w:t> </w:t>
      </w:r>
    </w:p>
    <w:p w14:paraId="656024E2" w14:textId="77777777" w:rsidR="002645AF" w:rsidRPr="002645AF" w:rsidRDefault="002645AF" w:rsidP="002645AF">
      <w:pPr>
        <w:rPr>
          <w:rFonts w:eastAsia="Calibri"/>
          <w:b/>
          <w:bCs/>
          <w:color w:val="0070C0"/>
          <w:sz w:val="20"/>
          <w:szCs w:val="20"/>
          <w:lang w:val="en-IN"/>
        </w:rPr>
      </w:pPr>
      <w:r w:rsidRPr="002645AF">
        <w:rPr>
          <w:rFonts w:eastAsia="Calibri"/>
          <w:b/>
          <w:bCs/>
          <w:color w:val="0070C0"/>
          <w:sz w:val="20"/>
          <w:szCs w:val="20"/>
          <w:lang w:val="en-IN"/>
        </w:rPr>
        <w:t>3.3. Conserved residue interactions</w:t>
      </w:r>
    </w:p>
    <w:p w14:paraId="3473EDCF" w14:textId="77777777" w:rsidR="002645AF" w:rsidRPr="002645AF" w:rsidRDefault="002645AF" w:rsidP="002645AF">
      <w:pPr>
        <w:rPr>
          <w:rFonts w:eastAsia="Calibri"/>
          <w:sz w:val="20"/>
          <w:szCs w:val="20"/>
          <w:lang w:val="en-IN"/>
        </w:rPr>
      </w:pPr>
      <w:r w:rsidRPr="002645AF">
        <w:rPr>
          <w:rFonts w:eastAsia="Calibri"/>
          <w:sz w:val="20"/>
          <w:szCs w:val="20"/>
          <w:lang w:val="en-IN"/>
        </w:rPr>
        <w:t> </w:t>
      </w:r>
    </w:p>
    <w:p w14:paraId="5E76F3C4" w14:textId="72983FD5" w:rsidR="002645AF" w:rsidRPr="002645AF" w:rsidRDefault="002645AF" w:rsidP="002645AF">
      <w:pPr>
        <w:rPr>
          <w:rFonts w:eastAsia="Calibri"/>
          <w:sz w:val="20"/>
          <w:szCs w:val="20"/>
          <w:lang w:val="en-IN"/>
        </w:rPr>
      </w:pPr>
      <w:r w:rsidRPr="002645AF">
        <w:rPr>
          <w:rFonts w:eastAsia="Calibri"/>
          <w:sz w:val="20"/>
          <w:szCs w:val="20"/>
          <w:lang w:val="en-IN"/>
        </w:rPr>
        <w:t xml:space="preserve">Each panel in Figure 2 presents a detailed schema of the non-covalent binding environment for a specific ligand within its target protein structure. Hydrogen bonding interactions are marked by dashed green lines linking donor and acceptor atoms, while hydrophobic contacts are highlighted by spoked red arcs orientated toward the ligand, illustrating side-chain proximity and surface complementarity. This standardised visualisation enables straightforward comparison of key contacts, </w:t>
      </w:r>
      <w:r w:rsidRPr="002645AF">
        <w:rPr>
          <w:rFonts w:eastAsia="Calibri"/>
          <w:sz w:val="20"/>
          <w:szCs w:val="20"/>
          <w:lang w:val="en-IN"/>
        </w:rPr>
        <w:t>including hydrogen bonds and hydrophobic interactions among different ligand binding poses and mutant protein variants, providing insight into structural determinants of binding affinity. Interaction analysis of the docked complexes revealed frequently conserved functional residues that are significant to NRAS catalytic activity and conformational stability. Specific residues like Tyr-32, located within the Switch I region, contribute hydrophobic stabilisation in five complexes (compounds 1, 3, 7, 8, and 9). Switch I undergoes nucleotide-dependent conformational rearrangement and plays a critical role in effector identification and Mg²⁺ coordination, while when we look at Thr-35, another Switch I residue, it forms a stable hydrogen bond with compound 2 and engages itself in hydrophobic contacts in complexes 9 and 11. Phe-28, positioned adjacent to the P-loop and contributing to the structural integrity of the nucleotide-binding pocket, participated in hydrophobic interactions in seven complexes. This high frequency emphasises its structural role in maintaining the architecture of the protein and suggests that ligand binding consistently overlaps with the nucleotide-binding site.  Similarly, Asp-119, a residue involved in nucleotide specificity and stabilisation, shows consistent engagement in nine complexes, further indicating that the compounds target catalytically relevant regions.</w:t>
      </w:r>
    </w:p>
    <w:p w14:paraId="147290AE" w14:textId="77777777" w:rsidR="002645AF" w:rsidRPr="002645AF" w:rsidRDefault="002645AF" w:rsidP="002645AF">
      <w:pPr>
        <w:rPr>
          <w:rFonts w:eastAsia="Calibri"/>
          <w:sz w:val="20"/>
          <w:szCs w:val="20"/>
          <w:lang w:val="en-IN"/>
        </w:rPr>
      </w:pPr>
      <w:r w:rsidRPr="002645AF">
        <w:rPr>
          <w:rFonts w:eastAsia="Calibri"/>
          <w:sz w:val="20"/>
          <w:szCs w:val="20"/>
          <w:lang w:val="en-IN"/>
        </w:rPr>
        <w:t> </w:t>
      </w:r>
    </w:p>
    <w:p w14:paraId="662C8206" w14:textId="77777777" w:rsidR="004631AB" w:rsidRPr="00863569" w:rsidRDefault="004631AB">
      <w:pPr>
        <w:rPr>
          <w:rFonts w:eastAsia="Calibri"/>
          <w:sz w:val="20"/>
          <w:szCs w:val="20"/>
          <w:lang w:val="en-US"/>
        </w:rPr>
        <w:sectPr w:rsidR="004631AB" w:rsidRPr="00863569">
          <w:type w:val="continuous"/>
          <w:pgSz w:w="11907" w:h="16839"/>
          <w:pgMar w:top="1701" w:right="1134" w:bottom="1418" w:left="1134" w:header="709" w:footer="709" w:gutter="0"/>
          <w:pgNumType w:start="207"/>
          <w:cols w:num="2" w:space="567"/>
          <w:docGrid w:linePitch="360"/>
        </w:sectPr>
      </w:pPr>
    </w:p>
    <w:p w14:paraId="13C849EC" w14:textId="77777777" w:rsidR="0026161A" w:rsidRPr="00863569" w:rsidRDefault="0026161A">
      <w:pPr>
        <w:jc w:val="both"/>
        <w:rPr>
          <w:rFonts w:eastAsia="Calibri"/>
          <w:sz w:val="20"/>
          <w:szCs w:val="20"/>
          <w:lang w:val="en-US"/>
        </w:rPr>
      </w:pPr>
    </w:p>
    <w:p w14:paraId="2375D0D1" w14:textId="05396B35" w:rsidR="002645AF" w:rsidRPr="002645AF" w:rsidRDefault="002645AF" w:rsidP="002645AF">
      <w:pPr>
        <w:rPr>
          <w:rFonts w:eastAsia="Calibri"/>
          <w:sz w:val="20"/>
          <w:szCs w:val="20"/>
          <w:lang w:val="en-IN"/>
        </w:rPr>
      </w:pPr>
      <w:r w:rsidRPr="002645AF">
        <w:rPr>
          <w:rFonts w:eastAsia="Calibri"/>
          <w:b/>
          <w:bCs/>
          <w:color w:val="0070C0"/>
          <w:sz w:val="20"/>
          <w:szCs w:val="20"/>
          <w:lang w:val="en-IN"/>
        </w:rPr>
        <w:t>Table 1.</w:t>
      </w:r>
      <w:r w:rsidRPr="002645AF">
        <w:rPr>
          <w:rFonts w:eastAsia="Calibri"/>
          <w:color w:val="0070C0"/>
          <w:sz w:val="20"/>
          <w:szCs w:val="20"/>
          <w:lang w:val="en-IN"/>
        </w:rPr>
        <w:t xml:space="preserve"> </w:t>
      </w:r>
      <w:r w:rsidRPr="002645AF">
        <w:rPr>
          <w:rFonts w:eastAsia="Calibri"/>
          <w:sz w:val="20"/>
          <w:szCs w:val="20"/>
          <w:lang w:val="en-IN"/>
        </w:rPr>
        <w:t>Docking results of top-ranking ZINC compounds (binding free energy ≤ –10 kcal/mol), highlighting predicted hydrogen bond donor–acceptor pairs and residues involved in hydrophobic or van der Waals interactions</w:t>
      </w:r>
      <w:r w:rsidR="002F65A5">
        <w:rPr>
          <w:rFonts w:eastAsia="Calibri"/>
          <w:sz w:val="20"/>
          <w:szCs w:val="20"/>
          <w:lang w:val="en-IN"/>
        </w:rPr>
        <w:t>.</w:t>
      </w:r>
    </w:p>
    <w:p w14:paraId="69649ADB" w14:textId="77777777" w:rsidR="004631AB" w:rsidRPr="00863569" w:rsidRDefault="004631AB">
      <w:pPr>
        <w:rPr>
          <w:rFonts w:eastAsia="Calibri"/>
          <w:sz w:val="20"/>
          <w:szCs w:val="20"/>
          <w:lang w:val="en-IN"/>
        </w:rPr>
      </w:pPr>
    </w:p>
    <w:tbl>
      <w:tblPr>
        <w:tblStyle w:val="TableGrid"/>
        <w:tblW w:w="9634" w:type="dxa"/>
        <w:tblLook w:val="04A0" w:firstRow="1" w:lastRow="0" w:firstColumn="1" w:lastColumn="0" w:noHBand="0" w:noVBand="1"/>
      </w:tblPr>
      <w:tblGrid>
        <w:gridCol w:w="481"/>
        <w:gridCol w:w="1357"/>
        <w:gridCol w:w="1559"/>
        <w:gridCol w:w="2982"/>
        <w:gridCol w:w="3255"/>
      </w:tblGrid>
      <w:tr w:rsidR="00863569" w:rsidRPr="00863569" w14:paraId="6C2937DF" w14:textId="77777777">
        <w:tc>
          <w:tcPr>
            <w:tcW w:w="481" w:type="dxa"/>
          </w:tcPr>
          <w:p w14:paraId="5395AF14" w14:textId="77777777" w:rsidR="004631AB" w:rsidRPr="00863569" w:rsidRDefault="00000000">
            <w:pPr>
              <w:jc w:val="center"/>
              <w:rPr>
                <w:sz w:val="18"/>
                <w:szCs w:val="18"/>
              </w:rPr>
            </w:pPr>
            <w:r w:rsidRPr="00863569">
              <w:rPr>
                <w:sz w:val="18"/>
                <w:szCs w:val="18"/>
              </w:rPr>
              <w:t>Sr. No.</w:t>
            </w:r>
          </w:p>
        </w:tc>
        <w:tc>
          <w:tcPr>
            <w:tcW w:w="1357" w:type="dxa"/>
          </w:tcPr>
          <w:p w14:paraId="306A8535" w14:textId="77777777" w:rsidR="004631AB" w:rsidRPr="00863569" w:rsidRDefault="00000000">
            <w:pPr>
              <w:rPr>
                <w:sz w:val="18"/>
                <w:szCs w:val="18"/>
              </w:rPr>
            </w:pPr>
            <w:r w:rsidRPr="00863569">
              <w:rPr>
                <w:sz w:val="18"/>
                <w:szCs w:val="18"/>
              </w:rPr>
              <w:t>ZINC ID</w:t>
            </w:r>
          </w:p>
        </w:tc>
        <w:tc>
          <w:tcPr>
            <w:tcW w:w="1559" w:type="dxa"/>
          </w:tcPr>
          <w:p w14:paraId="01850E29" w14:textId="77777777" w:rsidR="004631AB" w:rsidRPr="00863569" w:rsidRDefault="00000000">
            <w:pPr>
              <w:jc w:val="center"/>
              <w:rPr>
                <w:sz w:val="18"/>
                <w:szCs w:val="18"/>
              </w:rPr>
            </w:pPr>
            <w:r w:rsidRPr="00863569">
              <w:rPr>
                <w:sz w:val="18"/>
                <w:szCs w:val="18"/>
              </w:rPr>
              <w:t>Binding free</w:t>
            </w:r>
          </w:p>
          <w:p w14:paraId="687CEE71" w14:textId="77777777" w:rsidR="004631AB" w:rsidRPr="00863569" w:rsidRDefault="00000000">
            <w:pPr>
              <w:jc w:val="center"/>
              <w:rPr>
                <w:sz w:val="18"/>
                <w:szCs w:val="18"/>
              </w:rPr>
            </w:pPr>
            <w:r w:rsidRPr="00863569">
              <w:rPr>
                <w:sz w:val="18"/>
                <w:szCs w:val="18"/>
              </w:rPr>
              <w:t>Energy (kcal/mol)</w:t>
            </w:r>
          </w:p>
        </w:tc>
        <w:tc>
          <w:tcPr>
            <w:tcW w:w="2982" w:type="dxa"/>
          </w:tcPr>
          <w:p w14:paraId="1BD4640F" w14:textId="77777777" w:rsidR="004631AB" w:rsidRPr="00863569" w:rsidRDefault="00000000">
            <w:pPr>
              <w:rPr>
                <w:sz w:val="18"/>
                <w:szCs w:val="18"/>
              </w:rPr>
            </w:pPr>
            <w:r w:rsidRPr="00863569">
              <w:rPr>
                <w:sz w:val="18"/>
                <w:szCs w:val="18"/>
              </w:rPr>
              <w:t>Hydrogen bonding pairs HD::HA</w:t>
            </w:r>
          </w:p>
        </w:tc>
        <w:tc>
          <w:tcPr>
            <w:tcW w:w="3255" w:type="dxa"/>
          </w:tcPr>
          <w:p w14:paraId="3E0F4DD2" w14:textId="77777777" w:rsidR="004631AB" w:rsidRPr="00863569" w:rsidRDefault="00000000">
            <w:pPr>
              <w:rPr>
                <w:sz w:val="18"/>
                <w:szCs w:val="18"/>
              </w:rPr>
            </w:pPr>
            <w:r w:rsidRPr="00863569">
              <w:rPr>
                <w:sz w:val="18"/>
                <w:szCs w:val="18"/>
              </w:rPr>
              <w:t>Residues in Hydrophobic Interactions or van der Waals contact</w:t>
            </w:r>
          </w:p>
        </w:tc>
      </w:tr>
      <w:tr w:rsidR="00863569" w:rsidRPr="00863569" w14:paraId="581209FF" w14:textId="77777777">
        <w:tc>
          <w:tcPr>
            <w:tcW w:w="481" w:type="dxa"/>
          </w:tcPr>
          <w:p w14:paraId="045143E7" w14:textId="77777777" w:rsidR="004631AB" w:rsidRPr="00863569" w:rsidRDefault="00000000">
            <w:pPr>
              <w:jc w:val="center"/>
              <w:rPr>
                <w:sz w:val="18"/>
                <w:szCs w:val="18"/>
              </w:rPr>
            </w:pPr>
            <w:r w:rsidRPr="00863569">
              <w:rPr>
                <w:sz w:val="18"/>
                <w:szCs w:val="18"/>
              </w:rPr>
              <w:t>1</w:t>
            </w:r>
          </w:p>
        </w:tc>
        <w:tc>
          <w:tcPr>
            <w:tcW w:w="1357" w:type="dxa"/>
          </w:tcPr>
          <w:p w14:paraId="3CA698F6" w14:textId="77777777" w:rsidR="004631AB" w:rsidRPr="00863569" w:rsidRDefault="00000000">
            <w:pPr>
              <w:rPr>
                <w:sz w:val="18"/>
                <w:szCs w:val="18"/>
              </w:rPr>
            </w:pPr>
            <w:r w:rsidRPr="00863569">
              <w:rPr>
                <w:sz w:val="18"/>
                <w:szCs w:val="18"/>
              </w:rPr>
              <w:t>ZINC02107288</w:t>
            </w:r>
          </w:p>
        </w:tc>
        <w:tc>
          <w:tcPr>
            <w:tcW w:w="1559" w:type="dxa"/>
          </w:tcPr>
          <w:p w14:paraId="5E46D701" w14:textId="77777777" w:rsidR="004631AB" w:rsidRPr="00863569" w:rsidRDefault="00000000">
            <w:pPr>
              <w:jc w:val="center"/>
              <w:rPr>
                <w:sz w:val="18"/>
                <w:szCs w:val="18"/>
              </w:rPr>
            </w:pPr>
            <w:r w:rsidRPr="00863569">
              <w:rPr>
                <w:sz w:val="18"/>
                <w:szCs w:val="18"/>
              </w:rPr>
              <w:t>-10.62</w:t>
            </w:r>
          </w:p>
        </w:tc>
        <w:tc>
          <w:tcPr>
            <w:tcW w:w="2982" w:type="dxa"/>
          </w:tcPr>
          <w:p w14:paraId="5EB31FB2" w14:textId="77777777" w:rsidR="004631AB" w:rsidRPr="00863569" w:rsidRDefault="00000000">
            <w:pPr>
              <w:rPr>
                <w:sz w:val="18"/>
                <w:szCs w:val="18"/>
              </w:rPr>
            </w:pPr>
            <w:r w:rsidRPr="00863569">
              <w:rPr>
                <w:sz w:val="18"/>
                <w:szCs w:val="18"/>
              </w:rPr>
              <w:t>Lys-16(N):: Unk0(C)OXT</w:t>
            </w:r>
          </w:p>
          <w:p w14:paraId="18D3E3CE" w14:textId="77777777" w:rsidR="004631AB" w:rsidRPr="00863569" w:rsidRDefault="00000000">
            <w:pPr>
              <w:rPr>
                <w:sz w:val="18"/>
                <w:szCs w:val="18"/>
              </w:rPr>
            </w:pPr>
            <w:r w:rsidRPr="00863569">
              <w:rPr>
                <w:sz w:val="18"/>
                <w:szCs w:val="18"/>
              </w:rPr>
              <w:t>Lys-16(NZ):: Unk0(C)OXT</w:t>
            </w:r>
          </w:p>
          <w:p w14:paraId="13D71E25" w14:textId="77777777" w:rsidR="004631AB" w:rsidRPr="00863569" w:rsidRDefault="00000000">
            <w:pPr>
              <w:rPr>
                <w:sz w:val="18"/>
                <w:szCs w:val="18"/>
                <w:lang w:val="pt-BR"/>
              </w:rPr>
            </w:pPr>
            <w:r w:rsidRPr="00863569">
              <w:rPr>
                <w:sz w:val="18"/>
                <w:szCs w:val="18"/>
                <w:lang w:val="pt-BR"/>
              </w:rPr>
              <w:t>Gly-15(N):: Unk0(C)OXT</w:t>
            </w:r>
          </w:p>
          <w:p w14:paraId="3EAC2FC8" w14:textId="77777777" w:rsidR="004631AB" w:rsidRPr="00863569" w:rsidRDefault="00000000">
            <w:pPr>
              <w:rPr>
                <w:sz w:val="18"/>
                <w:szCs w:val="18"/>
                <w:lang w:val="pt-BR"/>
              </w:rPr>
            </w:pPr>
            <w:r w:rsidRPr="00863569">
              <w:rPr>
                <w:sz w:val="18"/>
                <w:szCs w:val="18"/>
                <w:lang w:val="pt-BR"/>
              </w:rPr>
              <w:t>Ser-17(N)::Unk0(C)O</w:t>
            </w:r>
          </w:p>
          <w:p w14:paraId="6EB1EA4A" w14:textId="77777777" w:rsidR="004631AB" w:rsidRPr="00863569" w:rsidRDefault="00000000">
            <w:pPr>
              <w:rPr>
                <w:sz w:val="18"/>
                <w:szCs w:val="18"/>
              </w:rPr>
            </w:pPr>
            <w:r w:rsidRPr="00863569">
              <w:rPr>
                <w:sz w:val="18"/>
                <w:szCs w:val="18"/>
              </w:rPr>
              <w:t>Asp-33(N)::Unk0(C11)O</w:t>
            </w:r>
          </w:p>
          <w:p w14:paraId="3A760288" w14:textId="77777777" w:rsidR="004631AB" w:rsidRPr="00863569" w:rsidRDefault="004631AB">
            <w:pPr>
              <w:rPr>
                <w:sz w:val="18"/>
                <w:szCs w:val="18"/>
              </w:rPr>
            </w:pPr>
          </w:p>
        </w:tc>
        <w:tc>
          <w:tcPr>
            <w:tcW w:w="3255" w:type="dxa"/>
          </w:tcPr>
          <w:p w14:paraId="5C4BF9BD" w14:textId="77777777" w:rsidR="004631AB" w:rsidRPr="00863569" w:rsidRDefault="00000000">
            <w:pPr>
              <w:rPr>
                <w:sz w:val="18"/>
                <w:szCs w:val="18"/>
              </w:rPr>
            </w:pPr>
            <w:r w:rsidRPr="00863569">
              <w:rPr>
                <w:sz w:val="18"/>
                <w:szCs w:val="18"/>
              </w:rPr>
              <w:t>Val-14, Asp-13, Gly-60, Asp-12,</w:t>
            </w:r>
          </w:p>
          <w:p w14:paraId="69B8BBCC" w14:textId="77777777" w:rsidR="004631AB" w:rsidRPr="00863569" w:rsidRDefault="00000000">
            <w:pPr>
              <w:rPr>
                <w:sz w:val="18"/>
                <w:szCs w:val="18"/>
              </w:rPr>
            </w:pPr>
            <w:r w:rsidRPr="00863569">
              <w:rPr>
                <w:sz w:val="18"/>
                <w:szCs w:val="18"/>
              </w:rPr>
              <w:t>Tyr-32, Glu-31, Ala-18, Asn-116, Lys-117, Asp-119, Lys-147,</w:t>
            </w:r>
          </w:p>
          <w:p w14:paraId="6F096FC7" w14:textId="77777777" w:rsidR="004631AB" w:rsidRPr="00863569" w:rsidRDefault="00000000">
            <w:pPr>
              <w:rPr>
                <w:sz w:val="18"/>
                <w:szCs w:val="18"/>
              </w:rPr>
            </w:pPr>
            <w:r w:rsidRPr="00863569">
              <w:rPr>
                <w:sz w:val="18"/>
                <w:szCs w:val="18"/>
              </w:rPr>
              <w:t>Phe-28, Pro-34</w:t>
            </w:r>
          </w:p>
        </w:tc>
      </w:tr>
      <w:tr w:rsidR="00863569" w:rsidRPr="00863569" w14:paraId="7B356844" w14:textId="77777777">
        <w:tc>
          <w:tcPr>
            <w:tcW w:w="481" w:type="dxa"/>
          </w:tcPr>
          <w:p w14:paraId="47165A45" w14:textId="77777777" w:rsidR="004631AB" w:rsidRPr="00863569" w:rsidRDefault="00000000">
            <w:pPr>
              <w:jc w:val="center"/>
              <w:rPr>
                <w:sz w:val="18"/>
                <w:szCs w:val="18"/>
              </w:rPr>
            </w:pPr>
            <w:r w:rsidRPr="00863569">
              <w:rPr>
                <w:sz w:val="18"/>
                <w:szCs w:val="18"/>
              </w:rPr>
              <w:t>2</w:t>
            </w:r>
          </w:p>
        </w:tc>
        <w:tc>
          <w:tcPr>
            <w:tcW w:w="1357" w:type="dxa"/>
          </w:tcPr>
          <w:p w14:paraId="3F91F2B7" w14:textId="77777777" w:rsidR="004631AB" w:rsidRPr="00863569" w:rsidRDefault="00000000">
            <w:pPr>
              <w:rPr>
                <w:sz w:val="18"/>
                <w:szCs w:val="18"/>
              </w:rPr>
            </w:pPr>
            <w:r w:rsidRPr="00863569">
              <w:rPr>
                <w:sz w:val="18"/>
                <w:szCs w:val="18"/>
              </w:rPr>
              <w:t>ZINC02096813</w:t>
            </w:r>
          </w:p>
        </w:tc>
        <w:tc>
          <w:tcPr>
            <w:tcW w:w="1559" w:type="dxa"/>
          </w:tcPr>
          <w:p w14:paraId="5D1934AA" w14:textId="77777777" w:rsidR="004631AB" w:rsidRPr="00863569" w:rsidRDefault="00000000">
            <w:pPr>
              <w:jc w:val="center"/>
              <w:rPr>
                <w:sz w:val="18"/>
                <w:szCs w:val="18"/>
              </w:rPr>
            </w:pPr>
            <w:r w:rsidRPr="00863569">
              <w:rPr>
                <w:sz w:val="18"/>
                <w:szCs w:val="18"/>
              </w:rPr>
              <w:t>-10.61</w:t>
            </w:r>
          </w:p>
        </w:tc>
        <w:tc>
          <w:tcPr>
            <w:tcW w:w="2982" w:type="dxa"/>
          </w:tcPr>
          <w:p w14:paraId="2B0643F6" w14:textId="77777777" w:rsidR="004631AB" w:rsidRPr="00863569" w:rsidRDefault="00000000">
            <w:pPr>
              <w:rPr>
                <w:sz w:val="18"/>
                <w:szCs w:val="18"/>
                <w:lang w:val="pt-BR"/>
              </w:rPr>
            </w:pPr>
            <w:r w:rsidRPr="00863569">
              <w:rPr>
                <w:sz w:val="18"/>
                <w:szCs w:val="18"/>
                <w:lang w:val="pt-BR"/>
              </w:rPr>
              <w:t>Thr-35(N):: Unl1(C23) O5</w:t>
            </w:r>
          </w:p>
          <w:p w14:paraId="2A6A04EB" w14:textId="77777777" w:rsidR="004631AB" w:rsidRPr="00863569" w:rsidRDefault="00000000">
            <w:pPr>
              <w:rPr>
                <w:sz w:val="18"/>
                <w:szCs w:val="18"/>
                <w:lang w:val="pt-BR"/>
              </w:rPr>
            </w:pPr>
            <w:r w:rsidRPr="00863569">
              <w:rPr>
                <w:sz w:val="18"/>
                <w:szCs w:val="18"/>
                <w:lang w:val="pt-BR"/>
              </w:rPr>
              <w:t>Asp-12(OD1):: Unl1(N)</w:t>
            </w:r>
          </w:p>
          <w:p w14:paraId="404B68F6" w14:textId="77777777" w:rsidR="004631AB" w:rsidRPr="00863569" w:rsidRDefault="00000000">
            <w:pPr>
              <w:rPr>
                <w:sz w:val="18"/>
                <w:szCs w:val="18"/>
              </w:rPr>
            </w:pPr>
            <w:r w:rsidRPr="00863569">
              <w:rPr>
                <w:sz w:val="18"/>
                <w:szCs w:val="18"/>
              </w:rPr>
              <w:t>Gly-60(N):: Unl1(OXT)</w:t>
            </w:r>
          </w:p>
          <w:p w14:paraId="28068B0C" w14:textId="77777777" w:rsidR="004631AB" w:rsidRPr="00863569" w:rsidRDefault="00000000">
            <w:pPr>
              <w:rPr>
                <w:sz w:val="18"/>
                <w:szCs w:val="18"/>
              </w:rPr>
            </w:pPr>
            <w:r w:rsidRPr="00863569">
              <w:rPr>
                <w:sz w:val="18"/>
                <w:szCs w:val="18"/>
              </w:rPr>
              <w:t>Lys-16(NZ):: Unl1(OXT)</w:t>
            </w:r>
          </w:p>
          <w:p w14:paraId="1E11117F" w14:textId="77777777" w:rsidR="004631AB" w:rsidRPr="00863569" w:rsidRDefault="004631AB">
            <w:pPr>
              <w:rPr>
                <w:sz w:val="18"/>
                <w:szCs w:val="18"/>
              </w:rPr>
            </w:pPr>
          </w:p>
        </w:tc>
        <w:tc>
          <w:tcPr>
            <w:tcW w:w="3255" w:type="dxa"/>
          </w:tcPr>
          <w:p w14:paraId="0FD8E937" w14:textId="77777777" w:rsidR="004631AB" w:rsidRPr="00863569" w:rsidRDefault="00000000">
            <w:pPr>
              <w:rPr>
                <w:sz w:val="18"/>
                <w:szCs w:val="18"/>
                <w:lang w:val="pt-BR"/>
              </w:rPr>
            </w:pPr>
            <w:r w:rsidRPr="00863569">
              <w:rPr>
                <w:sz w:val="18"/>
                <w:szCs w:val="18"/>
                <w:lang w:val="pt-BR"/>
              </w:rPr>
              <w:t>Ser-17, Gly-15, Asn-116, Lys-117, Phe-28, Lys-147, Ala-146, Asp-119, Ser-145, Ala-18, Tyr-32,</w:t>
            </w:r>
          </w:p>
          <w:p w14:paraId="0F779FAD" w14:textId="77777777" w:rsidR="004631AB" w:rsidRPr="00863569" w:rsidRDefault="00000000">
            <w:pPr>
              <w:rPr>
                <w:sz w:val="18"/>
                <w:szCs w:val="18"/>
              </w:rPr>
            </w:pPr>
            <w:r w:rsidRPr="00863569">
              <w:rPr>
                <w:sz w:val="18"/>
                <w:szCs w:val="18"/>
              </w:rPr>
              <w:t>Asp-13</w:t>
            </w:r>
          </w:p>
        </w:tc>
      </w:tr>
      <w:tr w:rsidR="00863569" w:rsidRPr="00863569" w14:paraId="01319E4A" w14:textId="77777777">
        <w:tc>
          <w:tcPr>
            <w:tcW w:w="481" w:type="dxa"/>
          </w:tcPr>
          <w:p w14:paraId="4AEDF04A" w14:textId="77777777" w:rsidR="004631AB" w:rsidRPr="00863569" w:rsidRDefault="00000000">
            <w:pPr>
              <w:jc w:val="center"/>
              <w:rPr>
                <w:sz w:val="18"/>
                <w:szCs w:val="18"/>
              </w:rPr>
            </w:pPr>
            <w:r w:rsidRPr="00863569">
              <w:rPr>
                <w:sz w:val="18"/>
                <w:szCs w:val="18"/>
              </w:rPr>
              <w:t>3</w:t>
            </w:r>
          </w:p>
        </w:tc>
        <w:tc>
          <w:tcPr>
            <w:tcW w:w="1357" w:type="dxa"/>
          </w:tcPr>
          <w:p w14:paraId="25281CD4" w14:textId="77777777" w:rsidR="004631AB" w:rsidRPr="00863569" w:rsidRDefault="00000000">
            <w:pPr>
              <w:rPr>
                <w:sz w:val="18"/>
                <w:szCs w:val="18"/>
              </w:rPr>
            </w:pPr>
            <w:r w:rsidRPr="00863569">
              <w:rPr>
                <w:sz w:val="18"/>
                <w:szCs w:val="18"/>
              </w:rPr>
              <w:t>ZINC02096815</w:t>
            </w:r>
          </w:p>
        </w:tc>
        <w:tc>
          <w:tcPr>
            <w:tcW w:w="1559" w:type="dxa"/>
          </w:tcPr>
          <w:p w14:paraId="0EE6B19B" w14:textId="77777777" w:rsidR="004631AB" w:rsidRPr="00863569" w:rsidRDefault="00000000">
            <w:pPr>
              <w:jc w:val="center"/>
              <w:rPr>
                <w:sz w:val="18"/>
                <w:szCs w:val="18"/>
              </w:rPr>
            </w:pPr>
            <w:r w:rsidRPr="00863569">
              <w:rPr>
                <w:sz w:val="18"/>
                <w:szCs w:val="18"/>
              </w:rPr>
              <w:t>-10.33</w:t>
            </w:r>
          </w:p>
        </w:tc>
        <w:tc>
          <w:tcPr>
            <w:tcW w:w="2982" w:type="dxa"/>
          </w:tcPr>
          <w:p w14:paraId="433850D0" w14:textId="77777777" w:rsidR="004631AB" w:rsidRPr="00863569" w:rsidRDefault="00000000">
            <w:pPr>
              <w:rPr>
                <w:sz w:val="18"/>
                <w:szCs w:val="18"/>
                <w:lang w:val="pt-BR"/>
              </w:rPr>
            </w:pPr>
            <w:r w:rsidRPr="00863569">
              <w:rPr>
                <w:sz w:val="18"/>
                <w:szCs w:val="18"/>
                <w:lang w:val="pt-BR"/>
              </w:rPr>
              <w:t>Lys-16(N):: Unl1(C23)O5</w:t>
            </w:r>
          </w:p>
          <w:p w14:paraId="62811CAB" w14:textId="77777777" w:rsidR="004631AB" w:rsidRPr="00863569" w:rsidRDefault="00000000">
            <w:pPr>
              <w:rPr>
                <w:sz w:val="18"/>
                <w:szCs w:val="18"/>
                <w:lang w:val="pt-BR"/>
              </w:rPr>
            </w:pPr>
            <w:r w:rsidRPr="00863569">
              <w:rPr>
                <w:sz w:val="18"/>
                <w:szCs w:val="18"/>
                <w:lang w:val="pt-BR"/>
              </w:rPr>
              <w:t>Lys-16(NZ):: Unl1(C23)OXT Gly15(N):: Unl1(C23)O5</w:t>
            </w:r>
          </w:p>
          <w:p w14:paraId="0E35B58C" w14:textId="77777777" w:rsidR="004631AB" w:rsidRPr="00863569" w:rsidRDefault="00000000">
            <w:pPr>
              <w:rPr>
                <w:sz w:val="18"/>
                <w:szCs w:val="18"/>
              </w:rPr>
            </w:pPr>
            <w:r w:rsidRPr="00863569">
              <w:rPr>
                <w:sz w:val="18"/>
                <w:szCs w:val="18"/>
              </w:rPr>
              <w:t>Ser17(OG):: Unl1(C20)O4</w:t>
            </w:r>
          </w:p>
          <w:p w14:paraId="3D828524" w14:textId="77777777" w:rsidR="004631AB" w:rsidRPr="00863569" w:rsidRDefault="004631AB">
            <w:pPr>
              <w:rPr>
                <w:sz w:val="18"/>
                <w:szCs w:val="18"/>
              </w:rPr>
            </w:pPr>
          </w:p>
        </w:tc>
        <w:tc>
          <w:tcPr>
            <w:tcW w:w="3255" w:type="dxa"/>
          </w:tcPr>
          <w:p w14:paraId="533A8248" w14:textId="77777777" w:rsidR="004631AB" w:rsidRPr="00863569" w:rsidRDefault="00000000">
            <w:pPr>
              <w:rPr>
                <w:sz w:val="18"/>
                <w:szCs w:val="18"/>
              </w:rPr>
            </w:pPr>
            <w:r w:rsidRPr="00863569">
              <w:rPr>
                <w:sz w:val="18"/>
                <w:szCs w:val="18"/>
              </w:rPr>
              <w:t>Asp-12, Thr-58, Asp-13, Asp-33,</w:t>
            </w:r>
          </w:p>
          <w:p w14:paraId="06A4D396" w14:textId="77777777" w:rsidR="004631AB" w:rsidRPr="00863569" w:rsidRDefault="00000000">
            <w:pPr>
              <w:rPr>
                <w:sz w:val="18"/>
                <w:szCs w:val="18"/>
              </w:rPr>
            </w:pPr>
            <w:r w:rsidRPr="00863569">
              <w:rPr>
                <w:sz w:val="18"/>
                <w:szCs w:val="18"/>
              </w:rPr>
              <w:t>Try-32, Glu-31, Phe-28, Lys-147, Asp-119, Ala-146,</w:t>
            </w:r>
          </w:p>
          <w:p w14:paraId="7C55C348" w14:textId="77777777" w:rsidR="004631AB" w:rsidRPr="00863569" w:rsidRDefault="00000000">
            <w:pPr>
              <w:rPr>
                <w:sz w:val="18"/>
                <w:szCs w:val="18"/>
              </w:rPr>
            </w:pPr>
            <w:r w:rsidRPr="00863569">
              <w:rPr>
                <w:sz w:val="18"/>
                <w:szCs w:val="18"/>
              </w:rPr>
              <w:t>Lys-117, Asn-116, Thr-35</w:t>
            </w:r>
          </w:p>
        </w:tc>
      </w:tr>
      <w:tr w:rsidR="00863569" w:rsidRPr="00863569" w14:paraId="4D0116D8" w14:textId="77777777">
        <w:tc>
          <w:tcPr>
            <w:tcW w:w="481" w:type="dxa"/>
          </w:tcPr>
          <w:p w14:paraId="67923D8B" w14:textId="77777777" w:rsidR="004631AB" w:rsidRPr="00863569" w:rsidRDefault="00000000">
            <w:pPr>
              <w:jc w:val="center"/>
              <w:rPr>
                <w:sz w:val="18"/>
                <w:szCs w:val="18"/>
              </w:rPr>
            </w:pPr>
            <w:r w:rsidRPr="00863569">
              <w:rPr>
                <w:sz w:val="18"/>
                <w:szCs w:val="18"/>
              </w:rPr>
              <w:t>4</w:t>
            </w:r>
          </w:p>
        </w:tc>
        <w:tc>
          <w:tcPr>
            <w:tcW w:w="1357" w:type="dxa"/>
          </w:tcPr>
          <w:p w14:paraId="704FF455" w14:textId="77777777" w:rsidR="004631AB" w:rsidRPr="00863569" w:rsidRDefault="00000000">
            <w:pPr>
              <w:rPr>
                <w:sz w:val="18"/>
                <w:szCs w:val="18"/>
              </w:rPr>
            </w:pPr>
            <w:r w:rsidRPr="00863569">
              <w:rPr>
                <w:sz w:val="18"/>
                <w:szCs w:val="18"/>
              </w:rPr>
              <w:t>ZINC02114326</w:t>
            </w:r>
          </w:p>
        </w:tc>
        <w:tc>
          <w:tcPr>
            <w:tcW w:w="1559" w:type="dxa"/>
          </w:tcPr>
          <w:p w14:paraId="465D4954" w14:textId="77777777" w:rsidR="004631AB" w:rsidRPr="00863569" w:rsidRDefault="00000000">
            <w:pPr>
              <w:jc w:val="center"/>
              <w:rPr>
                <w:sz w:val="18"/>
                <w:szCs w:val="18"/>
              </w:rPr>
            </w:pPr>
            <w:r w:rsidRPr="00863569">
              <w:rPr>
                <w:sz w:val="18"/>
                <w:szCs w:val="18"/>
              </w:rPr>
              <w:t>-10.23</w:t>
            </w:r>
          </w:p>
        </w:tc>
        <w:tc>
          <w:tcPr>
            <w:tcW w:w="2982" w:type="dxa"/>
          </w:tcPr>
          <w:p w14:paraId="03D2FD73" w14:textId="77777777" w:rsidR="004631AB" w:rsidRPr="00863569" w:rsidRDefault="00000000">
            <w:pPr>
              <w:rPr>
                <w:sz w:val="18"/>
                <w:szCs w:val="18"/>
              </w:rPr>
            </w:pPr>
            <w:r w:rsidRPr="00863569">
              <w:rPr>
                <w:sz w:val="18"/>
                <w:szCs w:val="18"/>
              </w:rPr>
              <w:t>Asn-116(ND2):: Unl1(CL) Lys-147(NZ):: Unl1(OXT) Asp-33(N):: Unl1 (C12) O4</w:t>
            </w:r>
          </w:p>
          <w:p w14:paraId="5051E7C3" w14:textId="77777777" w:rsidR="004631AB" w:rsidRPr="00863569" w:rsidRDefault="004631AB">
            <w:pPr>
              <w:rPr>
                <w:sz w:val="18"/>
                <w:szCs w:val="18"/>
              </w:rPr>
            </w:pPr>
          </w:p>
        </w:tc>
        <w:tc>
          <w:tcPr>
            <w:tcW w:w="3255" w:type="dxa"/>
          </w:tcPr>
          <w:p w14:paraId="71350C83" w14:textId="77777777" w:rsidR="004631AB" w:rsidRPr="00863569" w:rsidRDefault="00000000">
            <w:pPr>
              <w:rPr>
                <w:sz w:val="18"/>
                <w:szCs w:val="18"/>
              </w:rPr>
            </w:pPr>
            <w:r w:rsidRPr="00863569">
              <w:rPr>
                <w:sz w:val="18"/>
                <w:szCs w:val="18"/>
              </w:rPr>
              <w:t>Phe-28, Asp-119, Leu-120, Gly-15, Lys-117, Asp-30, Lys-16, Ser-17, Ala-18, Tyr-32, Glu-31</w:t>
            </w:r>
          </w:p>
          <w:p w14:paraId="1B2DF447" w14:textId="77777777" w:rsidR="004631AB" w:rsidRPr="00863569" w:rsidRDefault="004631AB">
            <w:pPr>
              <w:rPr>
                <w:sz w:val="18"/>
                <w:szCs w:val="18"/>
              </w:rPr>
            </w:pPr>
          </w:p>
        </w:tc>
      </w:tr>
      <w:tr w:rsidR="00863569" w:rsidRPr="00863569" w14:paraId="0E9D6883" w14:textId="77777777">
        <w:tc>
          <w:tcPr>
            <w:tcW w:w="481" w:type="dxa"/>
          </w:tcPr>
          <w:p w14:paraId="3DD62826" w14:textId="77777777" w:rsidR="004631AB" w:rsidRPr="00863569" w:rsidRDefault="00000000">
            <w:pPr>
              <w:jc w:val="center"/>
              <w:rPr>
                <w:sz w:val="18"/>
                <w:szCs w:val="18"/>
              </w:rPr>
            </w:pPr>
            <w:r w:rsidRPr="00863569">
              <w:rPr>
                <w:sz w:val="18"/>
                <w:szCs w:val="18"/>
              </w:rPr>
              <w:t>5</w:t>
            </w:r>
          </w:p>
        </w:tc>
        <w:tc>
          <w:tcPr>
            <w:tcW w:w="1357" w:type="dxa"/>
          </w:tcPr>
          <w:p w14:paraId="5BCEFED0" w14:textId="77777777" w:rsidR="004631AB" w:rsidRPr="00863569" w:rsidRDefault="00000000">
            <w:pPr>
              <w:rPr>
                <w:sz w:val="18"/>
                <w:szCs w:val="18"/>
              </w:rPr>
            </w:pPr>
            <w:r w:rsidRPr="00863569">
              <w:rPr>
                <w:sz w:val="18"/>
                <w:szCs w:val="18"/>
              </w:rPr>
              <w:t>ZINC01020381</w:t>
            </w:r>
          </w:p>
        </w:tc>
        <w:tc>
          <w:tcPr>
            <w:tcW w:w="1559" w:type="dxa"/>
          </w:tcPr>
          <w:p w14:paraId="2F125691" w14:textId="77777777" w:rsidR="004631AB" w:rsidRPr="00863569" w:rsidRDefault="00000000">
            <w:pPr>
              <w:jc w:val="center"/>
              <w:rPr>
                <w:sz w:val="18"/>
                <w:szCs w:val="18"/>
              </w:rPr>
            </w:pPr>
            <w:r w:rsidRPr="00863569">
              <w:rPr>
                <w:sz w:val="18"/>
                <w:szCs w:val="18"/>
              </w:rPr>
              <w:t>-10.16</w:t>
            </w:r>
          </w:p>
        </w:tc>
        <w:tc>
          <w:tcPr>
            <w:tcW w:w="2982" w:type="dxa"/>
          </w:tcPr>
          <w:p w14:paraId="6D8FCCD1" w14:textId="77777777" w:rsidR="004631AB" w:rsidRPr="00863569" w:rsidRDefault="00000000">
            <w:pPr>
              <w:rPr>
                <w:sz w:val="18"/>
                <w:szCs w:val="18"/>
                <w:lang w:val="pt-BR"/>
              </w:rPr>
            </w:pPr>
            <w:r w:rsidRPr="00863569">
              <w:rPr>
                <w:sz w:val="18"/>
                <w:szCs w:val="18"/>
                <w:lang w:val="pt-BR"/>
              </w:rPr>
              <w:t>Gly-15(N):: Unl1(C24) O2 Lys-16(N):: Unl1(C24) O2 Lys-16(NZ):: Unl1(C24) O2</w:t>
            </w:r>
          </w:p>
        </w:tc>
        <w:tc>
          <w:tcPr>
            <w:tcW w:w="3255" w:type="dxa"/>
          </w:tcPr>
          <w:p w14:paraId="40B16D74" w14:textId="77777777" w:rsidR="004631AB" w:rsidRPr="00863569" w:rsidRDefault="00000000">
            <w:pPr>
              <w:rPr>
                <w:sz w:val="18"/>
                <w:szCs w:val="18"/>
              </w:rPr>
            </w:pPr>
            <w:r w:rsidRPr="00863569">
              <w:rPr>
                <w:sz w:val="18"/>
                <w:szCs w:val="18"/>
              </w:rPr>
              <w:t>Asp-119, Lys-147, Asn-116, Ala-146, Ser-145, Glu-31, Phe-28, Asp-30, Asp-13, Thr-58, Asp-33</w:t>
            </w:r>
          </w:p>
          <w:p w14:paraId="71C0DAF9" w14:textId="77777777" w:rsidR="004631AB" w:rsidRPr="00863569" w:rsidRDefault="004631AB">
            <w:pPr>
              <w:rPr>
                <w:sz w:val="18"/>
                <w:szCs w:val="18"/>
              </w:rPr>
            </w:pPr>
          </w:p>
        </w:tc>
      </w:tr>
      <w:tr w:rsidR="00863569" w:rsidRPr="00863569" w14:paraId="64FED313" w14:textId="77777777">
        <w:tc>
          <w:tcPr>
            <w:tcW w:w="481" w:type="dxa"/>
          </w:tcPr>
          <w:p w14:paraId="47BF2C5A" w14:textId="77777777" w:rsidR="004631AB" w:rsidRPr="00863569" w:rsidRDefault="00000000">
            <w:pPr>
              <w:jc w:val="center"/>
              <w:rPr>
                <w:sz w:val="18"/>
                <w:szCs w:val="18"/>
              </w:rPr>
            </w:pPr>
            <w:r w:rsidRPr="00863569">
              <w:rPr>
                <w:sz w:val="18"/>
                <w:szCs w:val="18"/>
              </w:rPr>
              <w:t>6</w:t>
            </w:r>
          </w:p>
        </w:tc>
        <w:tc>
          <w:tcPr>
            <w:tcW w:w="1357" w:type="dxa"/>
          </w:tcPr>
          <w:p w14:paraId="0C154C78" w14:textId="77777777" w:rsidR="004631AB" w:rsidRPr="00863569" w:rsidRDefault="00000000">
            <w:pPr>
              <w:rPr>
                <w:sz w:val="18"/>
                <w:szCs w:val="18"/>
              </w:rPr>
            </w:pPr>
            <w:r w:rsidRPr="00863569">
              <w:rPr>
                <w:sz w:val="18"/>
                <w:szCs w:val="18"/>
              </w:rPr>
              <w:t>ZINC06167356</w:t>
            </w:r>
          </w:p>
        </w:tc>
        <w:tc>
          <w:tcPr>
            <w:tcW w:w="1559" w:type="dxa"/>
          </w:tcPr>
          <w:p w14:paraId="28234DEB" w14:textId="77777777" w:rsidR="004631AB" w:rsidRPr="00863569" w:rsidRDefault="00000000">
            <w:pPr>
              <w:jc w:val="center"/>
              <w:rPr>
                <w:sz w:val="18"/>
                <w:szCs w:val="18"/>
              </w:rPr>
            </w:pPr>
            <w:r w:rsidRPr="00863569">
              <w:rPr>
                <w:sz w:val="18"/>
                <w:szCs w:val="18"/>
              </w:rPr>
              <w:t>-10.16</w:t>
            </w:r>
          </w:p>
        </w:tc>
        <w:tc>
          <w:tcPr>
            <w:tcW w:w="2982" w:type="dxa"/>
          </w:tcPr>
          <w:p w14:paraId="6D70FE4B" w14:textId="77777777" w:rsidR="004631AB" w:rsidRPr="00863569" w:rsidRDefault="00000000">
            <w:pPr>
              <w:rPr>
                <w:sz w:val="18"/>
                <w:szCs w:val="18"/>
                <w:lang w:val="pt-BR"/>
              </w:rPr>
            </w:pPr>
            <w:r w:rsidRPr="00863569">
              <w:rPr>
                <w:sz w:val="18"/>
                <w:szCs w:val="18"/>
                <w:lang w:val="pt-BR"/>
              </w:rPr>
              <w:t xml:space="preserve">Thr-58(O)::Unl1(C6) O6 Gly-60(N):: Unl1(C6) O6 Lys-117(NZ):: Unl1(C18) O5 Asp-30(N):: </w:t>
            </w:r>
            <w:r w:rsidRPr="00863569">
              <w:rPr>
                <w:sz w:val="18"/>
                <w:szCs w:val="18"/>
                <w:lang w:val="pt-BR"/>
              </w:rPr>
              <w:lastRenderedPageBreak/>
              <w:t>Unl1(C16) O4 Glu-31(N):: Unl1(C16) O 4 Ala-18(N):: Unl1(C9) O 2 Ser-17(N):: Unl1(O1)</w:t>
            </w:r>
          </w:p>
          <w:p w14:paraId="22D87FDB" w14:textId="77777777" w:rsidR="004631AB" w:rsidRPr="00863569" w:rsidRDefault="004631AB">
            <w:pPr>
              <w:rPr>
                <w:sz w:val="18"/>
                <w:szCs w:val="18"/>
                <w:lang w:val="pt-BR"/>
              </w:rPr>
            </w:pPr>
          </w:p>
        </w:tc>
        <w:tc>
          <w:tcPr>
            <w:tcW w:w="3255" w:type="dxa"/>
          </w:tcPr>
          <w:p w14:paraId="66ADAABB" w14:textId="77777777" w:rsidR="004631AB" w:rsidRPr="00863569" w:rsidRDefault="00000000">
            <w:pPr>
              <w:rPr>
                <w:sz w:val="18"/>
                <w:szCs w:val="18"/>
              </w:rPr>
            </w:pPr>
            <w:r w:rsidRPr="00863569">
              <w:rPr>
                <w:sz w:val="18"/>
                <w:szCs w:val="18"/>
              </w:rPr>
              <w:lastRenderedPageBreak/>
              <w:t>Asp-33, Asp-12, Lys-16, Thr-35, Gly-15, Pro-34, Ala-59, Asp-13, Val-29</w:t>
            </w:r>
          </w:p>
          <w:p w14:paraId="2F7BAE49" w14:textId="77777777" w:rsidR="004631AB" w:rsidRPr="00863569" w:rsidRDefault="004631AB">
            <w:pPr>
              <w:rPr>
                <w:sz w:val="18"/>
                <w:szCs w:val="18"/>
              </w:rPr>
            </w:pPr>
          </w:p>
          <w:p w14:paraId="36DA0501" w14:textId="77777777" w:rsidR="004631AB" w:rsidRPr="00863569" w:rsidRDefault="004631AB">
            <w:pPr>
              <w:rPr>
                <w:sz w:val="18"/>
                <w:szCs w:val="18"/>
              </w:rPr>
            </w:pPr>
          </w:p>
        </w:tc>
      </w:tr>
      <w:tr w:rsidR="00863569" w:rsidRPr="00863569" w14:paraId="07EE45E7" w14:textId="77777777">
        <w:tc>
          <w:tcPr>
            <w:tcW w:w="481" w:type="dxa"/>
          </w:tcPr>
          <w:p w14:paraId="1EF46655" w14:textId="77777777" w:rsidR="004631AB" w:rsidRPr="00863569" w:rsidRDefault="00000000">
            <w:pPr>
              <w:jc w:val="center"/>
              <w:rPr>
                <w:sz w:val="18"/>
                <w:szCs w:val="18"/>
              </w:rPr>
            </w:pPr>
            <w:r w:rsidRPr="00863569">
              <w:rPr>
                <w:sz w:val="18"/>
                <w:szCs w:val="18"/>
              </w:rPr>
              <w:t>7</w:t>
            </w:r>
          </w:p>
        </w:tc>
        <w:tc>
          <w:tcPr>
            <w:tcW w:w="1357" w:type="dxa"/>
          </w:tcPr>
          <w:p w14:paraId="210689F9" w14:textId="77777777" w:rsidR="004631AB" w:rsidRPr="00863569" w:rsidRDefault="00000000">
            <w:pPr>
              <w:rPr>
                <w:sz w:val="18"/>
                <w:szCs w:val="18"/>
              </w:rPr>
            </w:pPr>
            <w:r w:rsidRPr="00863569">
              <w:rPr>
                <w:sz w:val="18"/>
                <w:szCs w:val="18"/>
              </w:rPr>
              <w:t>ZINC02120343</w:t>
            </w:r>
          </w:p>
        </w:tc>
        <w:tc>
          <w:tcPr>
            <w:tcW w:w="1559" w:type="dxa"/>
          </w:tcPr>
          <w:p w14:paraId="12E7C6B0" w14:textId="77777777" w:rsidR="004631AB" w:rsidRPr="00863569" w:rsidRDefault="00000000">
            <w:pPr>
              <w:jc w:val="center"/>
              <w:rPr>
                <w:sz w:val="18"/>
                <w:szCs w:val="18"/>
              </w:rPr>
            </w:pPr>
            <w:r w:rsidRPr="00863569">
              <w:rPr>
                <w:sz w:val="18"/>
                <w:szCs w:val="18"/>
              </w:rPr>
              <w:t>-10.14</w:t>
            </w:r>
          </w:p>
        </w:tc>
        <w:tc>
          <w:tcPr>
            <w:tcW w:w="2982" w:type="dxa"/>
          </w:tcPr>
          <w:p w14:paraId="60BE0E60" w14:textId="77777777" w:rsidR="004631AB" w:rsidRPr="00863569" w:rsidRDefault="00000000">
            <w:pPr>
              <w:rPr>
                <w:sz w:val="18"/>
                <w:szCs w:val="18"/>
                <w:lang w:val="pt-BR"/>
              </w:rPr>
            </w:pPr>
            <w:r w:rsidRPr="00863569">
              <w:rPr>
                <w:sz w:val="18"/>
                <w:szCs w:val="18"/>
                <w:lang w:val="pt-BR"/>
              </w:rPr>
              <w:t>Asp-33(N):: Unl1(C9) O2 Ser-17(N):: Unl1(C22) O5 Lys-16(N):: Unl1(C22) O4 Lys-16(NZ):: Unl1(C22) O 4 Asp-13(N):: Unl1(C22) O4 Gly-15(N):: Unl1(C22) O4</w:t>
            </w:r>
          </w:p>
          <w:p w14:paraId="763A5ACE" w14:textId="77777777" w:rsidR="004631AB" w:rsidRPr="00863569" w:rsidRDefault="004631AB">
            <w:pPr>
              <w:rPr>
                <w:sz w:val="18"/>
                <w:szCs w:val="18"/>
                <w:lang w:val="pt-BR"/>
              </w:rPr>
            </w:pPr>
          </w:p>
        </w:tc>
        <w:tc>
          <w:tcPr>
            <w:tcW w:w="3255" w:type="dxa"/>
          </w:tcPr>
          <w:p w14:paraId="37BA7A30" w14:textId="77777777" w:rsidR="004631AB" w:rsidRPr="00863569" w:rsidRDefault="00000000">
            <w:pPr>
              <w:rPr>
                <w:sz w:val="18"/>
                <w:szCs w:val="18"/>
              </w:rPr>
            </w:pPr>
            <w:r w:rsidRPr="00863569">
              <w:rPr>
                <w:sz w:val="18"/>
                <w:szCs w:val="18"/>
              </w:rPr>
              <w:t>Asp-119,Ser-145, Lys-147,Ala-146, Phe-28,Ala-18,Asn-116, Lys-117,Glu-31,Tyr-32, Pro-34,Asp-12,Val-14</w:t>
            </w:r>
          </w:p>
        </w:tc>
      </w:tr>
      <w:tr w:rsidR="00863569" w:rsidRPr="00863569" w14:paraId="16ABFD4D" w14:textId="77777777">
        <w:tc>
          <w:tcPr>
            <w:tcW w:w="481" w:type="dxa"/>
          </w:tcPr>
          <w:p w14:paraId="5AFC66D0" w14:textId="77777777" w:rsidR="004631AB" w:rsidRPr="00863569" w:rsidRDefault="00000000">
            <w:pPr>
              <w:jc w:val="center"/>
              <w:rPr>
                <w:sz w:val="18"/>
                <w:szCs w:val="18"/>
              </w:rPr>
            </w:pPr>
            <w:r w:rsidRPr="00863569">
              <w:rPr>
                <w:sz w:val="18"/>
                <w:szCs w:val="18"/>
              </w:rPr>
              <w:t>8</w:t>
            </w:r>
          </w:p>
        </w:tc>
        <w:tc>
          <w:tcPr>
            <w:tcW w:w="1357" w:type="dxa"/>
          </w:tcPr>
          <w:p w14:paraId="200126BC" w14:textId="77777777" w:rsidR="004631AB" w:rsidRPr="00863569" w:rsidRDefault="00000000">
            <w:pPr>
              <w:rPr>
                <w:sz w:val="18"/>
                <w:szCs w:val="18"/>
              </w:rPr>
            </w:pPr>
            <w:r w:rsidRPr="00863569">
              <w:rPr>
                <w:sz w:val="18"/>
                <w:szCs w:val="18"/>
              </w:rPr>
              <w:t>ZINC02102162</w:t>
            </w:r>
          </w:p>
        </w:tc>
        <w:tc>
          <w:tcPr>
            <w:tcW w:w="1559" w:type="dxa"/>
          </w:tcPr>
          <w:p w14:paraId="6737C6B9" w14:textId="77777777" w:rsidR="004631AB" w:rsidRPr="00863569" w:rsidRDefault="00000000">
            <w:pPr>
              <w:jc w:val="center"/>
              <w:rPr>
                <w:sz w:val="18"/>
                <w:szCs w:val="18"/>
              </w:rPr>
            </w:pPr>
            <w:r w:rsidRPr="00863569">
              <w:rPr>
                <w:sz w:val="18"/>
                <w:szCs w:val="18"/>
              </w:rPr>
              <w:t>-10.14</w:t>
            </w:r>
          </w:p>
        </w:tc>
        <w:tc>
          <w:tcPr>
            <w:tcW w:w="2982" w:type="dxa"/>
          </w:tcPr>
          <w:p w14:paraId="61CF8B89" w14:textId="77777777" w:rsidR="004631AB" w:rsidRPr="00863569" w:rsidRDefault="00000000">
            <w:pPr>
              <w:rPr>
                <w:sz w:val="18"/>
                <w:szCs w:val="18"/>
                <w:lang w:val="pt-BR"/>
              </w:rPr>
            </w:pPr>
            <w:r w:rsidRPr="00863569">
              <w:rPr>
                <w:sz w:val="18"/>
                <w:szCs w:val="18"/>
                <w:lang w:val="pt-BR"/>
              </w:rPr>
              <w:t>Lys-16(N):: Unl1(C22) O6 Lys-16(N)::Unl1(C22) O5 Val-14(N):: Unl1(C22) O5 Gly-15(N):: Unl1(C22) O5 Ser-17(N):: Unl1(C22) O6</w:t>
            </w:r>
          </w:p>
          <w:p w14:paraId="7228E8EC" w14:textId="77777777" w:rsidR="004631AB" w:rsidRPr="00863569" w:rsidRDefault="004631AB">
            <w:pPr>
              <w:rPr>
                <w:sz w:val="18"/>
                <w:szCs w:val="18"/>
                <w:lang w:val="pt-BR"/>
              </w:rPr>
            </w:pPr>
          </w:p>
        </w:tc>
        <w:tc>
          <w:tcPr>
            <w:tcW w:w="3255" w:type="dxa"/>
          </w:tcPr>
          <w:p w14:paraId="267CA3FE" w14:textId="77777777" w:rsidR="004631AB" w:rsidRPr="00863569" w:rsidRDefault="00000000">
            <w:pPr>
              <w:rPr>
                <w:sz w:val="18"/>
                <w:szCs w:val="18"/>
              </w:rPr>
            </w:pPr>
            <w:r w:rsidRPr="00863569">
              <w:rPr>
                <w:sz w:val="18"/>
                <w:szCs w:val="18"/>
              </w:rPr>
              <w:t>Pro-34,Asp-12, Asp-13,Asp-33, Glu-31,Tyr-32, Phe-28,Lys-117, Asn-116,Ala-18, Ala-146,Lys-147, Asp-119</w:t>
            </w:r>
          </w:p>
        </w:tc>
      </w:tr>
      <w:tr w:rsidR="00863569" w:rsidRPr="00863569" w14:paraId="6081F69D" w14:textId="77777777">
        <w:tc>
          <w:tcPr>
            <w:tcW w:w="481" w:type="dxa"/>
          </w:tcPr>
          <w:p w14:paraId="5F212506" w14:textId="77777777" w:rsidR="004631AB" w:rsidRPr="00863569" w:rsidRDefault="00000000">
            <w:pPr>
              <w:jc w:val="center"/>
              <w:rPr>
                <w:sz w:val="18"/>
                <w:szCs w:val="18"/>
              </w:rPr>
            </w:pPr>
            <w:r w:rsidRPr="00863569">
              <w:rPr>
                <w:sz w:val="18"/>
                <w:szCs w:val="18"/>
              </w:rPr>
              <w:t>9</w:t>
            </w:r>
          </w:p>
        </w:tc>
        <w:tc>
          <w:tcPr>
            <w:tcW w:w="1357" w:type="dxa"/>
          </w:tcPr>
          <w:p w14:paraId="15963DE9" w14:textId="77777777" w:rsidR="004631AB" w:rsidRPr="00863569" w:rsidRDefault="00000000">
            <w:pPr>
              <w:rPr>
                <w:sz w:val="18"/>
                <w:szCs w:val="18"/>
              </w:rPr>
            </w:pPr>
            <w:r w:rsidRPr="00863569">
              <w:rPr>
                <w:sz w:val="18"/>
                <w:szCs w:val="18"/>
              </w:rPr>
              <w:t>ZINC02114643</w:t>
            </w:r>
          </w:p>
        </w:tc>
        <w:tc>
          <w:tcPr>
            <w:tcW w:w="1559" w:type="dxa"/>
          </w:tcPr>
          <w:p w14:paraId="3FD1C83F" w14:textId="77777777" w:rsidR="004631AB" w:rsidRPr="00863569" w:rsidRDefault="00000000">
            <w:pPr>
              <w:jc w:val="center"/>
              <w:rPr>
                <w:sz w:val="18"/>
                <w:szCs w:val="18"/>
              </w:rPr>
            </w:pPr>
            <w:r w:rsidRPr="00863569">
              <w:rPr>
                <w:sz w:val="18"/>
                <w:szCs w:val="18"/>
              </w:rPr>
              <w:t>-10.1</w:t>
            </w:r>
          </w:p>
        </w:tc>
        <w:tc>
          <w:tcPr>
            <w:tcW w:w="2982" w:type="dxa"/>
          </w:tcPr>
          <w:p w14:paraId="6DFBDFFE" w14:textId="77777777" w:rsidR="004631AB" w:rsidRPr="00863569" w:rsidRDefault="00000000">
            <w:pPr>
              <w:rPr>
                <w:sz w:val="18"/>
                <w:szCs w:val="18"/>
                <w:lang w:val="pt-BR"/>
              </w:rPr>
            </w:pPr>
            <w:r w:rsidRPr="00863569">
              <w:rPr>
                <w:sz w:val="18"/>
                <w:szCs w:val="18"/>
                <w:lang w:val="pt-BR"/>
              </w:rPr>
              <w:t>Asp-33(N)::Unl1(C16) O4 Lys-16(N)::Unl1(C24) O5 Lys-16(NZ)::Unl1(C24) O6 Gly-15(N)::Unl1(C24) O5</w:t>
            </w:r>
          </w:p>
          <w:p w14:paraId="72CCFB92" w14:textId="77777777" w:rsidR="004631AB" w:rsidRPr="00863569" w:rsidRDefault="004631AB">
            <w:pPr>
              <w:rPr>
                <w:sz w:val="18"/>
                <w:szCs w:val="18"/>
                <w:lang w:val="pt-BR"/>
              </w:rPr>
            </w:pPr>
          </w:p>
        </w:tc>
        <w:tc>
          <w:tcPr>
            <w:tcW w:w="3255" w:type="dxa"/>
          </w:tcPr>
          <w:p w14:paraId="3CDC0A3F" w14:textId="77777777" w:rsidR="004631AB" w:rsidRPr="00863569" w:rsidRDefault="00000000">
            <w:pPr>
              <w:rPr>
                <w:sz w:val="18"/>
                <w:szCs w:val="18"/>
                <w:lang w:val="pt-BR"/>
              </w:rPr>
            </w:pPr>
            <w:r w:rsidRPr="00863569">
              <w:rPr>
                <w:sz w:val="18"/>
                <w:szCs w:val="18"/>
                <w:lang w:val="pt-BR"/>
              </w:rPr>
              <w:t>Asp-19,Phe-28, Lys-147,Lys-147, Leu-120,Tyr-32, Ala-18,Ala-146, Lys-117,Thr-35, Glu-31,Pro-34,Asp-13</w:t>
            </w:r>
          </w:p>
        </w:tc>
      </w:tr>
      <w:tr w:rsidR="00863569" w:rsidRPr="00863569" w14:paraId="3E5EDFC1" w14:textId="77777777">
        <w:tc>
          <w:tcPr>
            <w:tcW w:w="481" w:type="dxa"/>
          </w:tcPr>
          <w:p w14:paraId="74DEDC2B" w14:textId="77777777" w:rsidR="004631AB" w:rsidRPr="00863569" w:rsidRDefault="00000000">
            <w:pPr>
              <w:jc w:val="center"/>
              <w:rPr>
                <w:sz w:val="18"/>
                <w:szCs w:val="18"/>
              </w:rPr>
            </w:pPr>
            <w:r w:rsidRPr="00863569">
              <w:rPr>
                <w:sz w:val="18"/>
                <w:szCs w:val="18"/>
              </w:rPr>
              <w:t>10</w:t>
            </w:r>
          </w:p>
        </w:tc>
        <w:tc>
          <w:tcPr>
            <w:tcW w:w="1357" w:type="dxa"/>
          </w:tcPr>
          <w:p w14:paraId="24B1567C" w14:textId="77777777" w:rsidR="004631AB" w:rsidRPr="00863569" w:rsidRDefault="00000000">
            <w:pPr>
              <w:rPr>
                <w:sz w:val="18"/>
                <w:szCs w:val="18"/>
              </w:rPr>
            </w:pPr>
            <w:r w:rsidRPr="00863569">
              <w:rPr>
                <w:sz w:val="18"/>
                <w:szCs w:val="18"/>
              </w:rPr>
              <w:t>ZINC00518885</w:t>
            </w:r>
          </w:p>
        </w:tc>
        <w:tc>
          <w:tcPr>
            <w:tcW w:w="1559" w:type="dxa"/>
          </w:tcPr>
          <w:p w14:paraId="424F8613" w14:textId="77777777" w:rsidR="004631AB" w:rsidRPr="00863569" w:rsidRDefault="00000000">
            <w:pPr>
              <w:jc w:val="center"/>
              <w:rPr>
                <w:sz w:val="18"/>
                <w:szCs w:val="18"/>
              </w:rPr>
            </w:pPr>
            <w:r w:rsidRPr="00863569">
              <w:rPr>
                <w:sz w:val="18"/>
                <w:szCs w:val="18"/>
              </w:rPr>
              <w:t>-10.06</w:t>
            </w:r>
          </w:p>
        </w:tc>
        <w:tc>
          <w:tcPr>
            <w:tcW w:w="2982" w:type="dxa"/>
          </w:tcPr>
          <w:p w14:paraId="7FD75520" w14:textId="77777777" w:rsidR="004631AB" w:rsidRPr="00863569" w:rsidRDefault="00000000">
            <w:pPr>
              <w:rPr>
                <w:sz w:val="18"/>
                <w:szCs w:val="18"/>
                <w:lang w:val="pt-BR"/>
              </w:rPr>
            </w:pPr>
            <w:r w:rsidRPr="00863569">
              <w:rPr>
                <w:sz w:val="18"/>
                <w:szCs w:val="18"/>
                <w:lang w:val="pt-BR"/>
              </w:rPr>
              <w:t>Lys-117(N):: Unk0(C9) O2 Ala-146(N):: Unk0(C9) O2 Asn-116(ND2)::Unk0(O3) Asp-13(N):: Unk0(OXT) Lys-16(N)::Unk0(O) Lys-16(NZ)::Unk0(O) Gly-15(N)::Unk0(O) Val-14(N)::Unk0(O)</w:t>
            </w:r>
          </w:p>
          <w:p w14:paraId="02E99EBF" w14:textId="77777777" w:rsidR="004631AB" w:rsidRPr="00863569" w:rsidRDefault="004631AB">
            <w:pPr>
              <w:rPr>
                <w:sz w:val="18"/>
                <w:szCs w:val="18"/>
                <w:lang w:val="pt-BR"/>
              </w:rPr>
            </w:pPr>
          </w:p>
        </w:tc>
        <w:tc>
          <w:tcPr>
            <w:tcW w:w="3255" w:type="dxa"/>
          </w:tcPr>
          <w:p w14:paraId="577BAB13" w14:textId="77777777" w:rsidR="004631AB" w:rsidRPr="00863569" w:rsidRDefault="00000000">
            <w:pPr>
              <w:rPr>
                <w:sz w:val="18"/>
                <w:szCs w:val="18"/>
                <w:lang w:val="pt-BR"/>
              </w:rPr>
            </w:pPr>
            <w:r w:rsidRPr="00863569">
              <w:rPr>
                <w:sz w:val="18"/>
                <w:szCs w:val="18"/>
                <w:lang w:val="pt-BR"/>
              </w:rPr>
              <w:t>Asp-119,Phe-28, Asp-33,Pro-34,Asp-12, Ala-18,Ser-17,Lys-147, Ser-145</w:t>
            </w:r>
          </w:p>
        </w:tc>
      </w:tr>
      <w:tr w:rsidR="00863569" w:rsidRPr="00863569" w14:paraId="68007CF5" w14:textId="77777777">
        <w:trPr>
          <w:trHeight w:val="52"/>
        </w:trPr>
        <w:tc>
          <w:tcPr>
            <w:tcW w:w="481" w:type="dxa"/>
          </w:tcPr>
          <w:p w14:paraId="58BAD683" w14:textId="77777777" w:rsidR="004631AB" w:rsidRPr="00863569" w:rsidRDefault="00000000">
            <w:pPr>
              <w:jc w:val="center"/>
              <w:rPr>
                <w:sz w:val="18"/>
                <w:szCs w:val="18"/>
              </w:rPr>
            </w:pPr>
            <w:r w:rsidRPr="00863569">
              <w:rPr>
                <w:sz w:val="18"/>
                <w:szCs w:val="18"/>
              </w:rPr>
              <w:t>11</w:t>
            </w:r>
          </w:p>
        </w:tc>
        <w:tc>
          <w:tcPr>
            <w:tcW w:w="1357" w:type="dxa"/>
          </w:tcPr>
          <w:p w14:paraId="12C452E8" w14:textId="77777777" w:rsidR="004631AB" w:rsidRPr="00863569" w:rsidRDefault="00000000">
            <w:pPr>
              <w:rPr>
                <w:sz w:val="18"/>
                <w:szCs w:val="18"/>
              </w:rPr>
            </w:pPr>
            <w:r w:rsidRPr="00863569">
              <w:rPr>
                <w:sz w:val="18"/>
                <w:szCs w:val="18"/>
              </w:rPr>
              <w:t>ZINC03882094</w:t>
            </w:r>
          </w:p>
        </w:tc>
        <w:tc>
          <w:tcPr>
            <w:tcW w:w="1559" w:type="dxa"/>
          </w:tcPr>
          <w:p w14:paraId="10AD56AA" w14:textId="77777777" w:rsidR="004631AB" w:rsidRPr="00863569" w:rsidRDefault="00000000">
            <w:pPr>
              <w:jc w:val="center"/>
              <w:rPr>
                <w:sz w:val="18"/>
                <w:szCs w:val="18"/>
              </w:rPr>
            </w:pPr>
            <w:r w:rsidRPr="00863569">
              <w:rPr>
                <w:sz w:val="18"/>
                <w:szCs w:val="18"/>
              </w:rPr>
              <w:t>-10.04</w:t>
            </w:r>
          </w:p>
        </w:tc>
        <w:tc>
          <w:tcPr>
            <w:tcW w:w="2982" w:type="dxa"/>
          </w:tcPr>
          <w:p w14:paraId="64E27D11" w14:textId="77777777" w:rsidR="004631AB" w:rsidRPr="00863569" w:rsidRDefault="00000000">
            <w:pPr>
              <w:rPr>
                <w:sz w:val="18"/>
                <w:szCs w:val="18"/>
                <w:lang w:val="pt-BR"/>
              </w:rPr>
            </w:pPr>
            <w:r w:rsidRPr="00863569">
              <w:rPr>
                <w:sz w:val="18"/>
                <w:szCs w:val="18"/>
                <w:lang w:val="pt-BR"/>
              </w:rPr>
              <w:t>Lys-16(NZ)::Unl1(C21) O3 Gly-15(N):: Unl1(C21) O3 Ser-17(N)::Unl1(C22) O4</w:t>
            </w:r>
          </w:p>
        </w:tc>
        <w:tc>
          <w:tcPr>
            <w:tcW w:w="3255" w:type="dxa"/>
          </w:tcPr>
          <w:p w14:paraId="5FE4CFB0" w14:textId="77777777" w:rsidR="004631AB" w:rsidRPr="00863569" w:rsidRDefault="00000000">
            <w:pPr>
              <w:rPr>
                <w:sz w:val="18"/>
                <w:szCs w:val="18"/>
              </w:rPr>
            </w:pPr>
            <w:r w:rsidRPr="00863569">
              <w:rPr>
                <w:sz w:val="18"/>
                <w:szCs w:val="18"/>
              </w:rPr>
              <w:t>Thr-35,Asp-13, Val-14,Asp-12, Asp-30,Glu-13, Asp-119,Lys-117, Phe-28,Asp-57, Ala-18,Thr-58</w:t>
            </w:r>
          </w:p>
        </w:tc>
      </w:tr>
    </w:tbl>
    <w:p w14:paraId="655B3880" w14:textId="77777777" w:rsidR="004631AB" w:rsidRPr="00863569" w:rsidRDefault="004631AB">
      <w:pPr>
        <w:jc w:val="both"/>
        <w:rPr>
          <w:rFonts w:eastAsia="Calibri"/>
          <w:sz w:val="20"/>
          <w:szCs w:val="20"/>
        </w:rPr>
        <w:sectPr w:rsidR="004631AB" w:rsidRPr="00863569">
          <w:type w:val="continuous"/>
          <w:pgSz w:w="11907" w:h="16839"/>
          <w:pgMar w:top="1701" w:right="1134" w:bottom="1701" w:left="1134" w:header="706" w:footer="706" w:gutter="0"/>
          <w:pgNumType w:start="125"/>
          <w:cols w:space="567"/>
          <w:docGrid w:linePitch="360"/>
        </w:sectPr>
      </w:pPr>
    </w:p>
    <w:p w14:paraId="03BAA5EA" w14:textId="77777777" w:rsidR="002645AF" w:rsidRPr="002645AF" w:rsidRDefault="002645AF" w:rsidP="002645AF">
      <w:pPr>
        <w:jc w:val="both"/>
        <w:rPr>
          <w:rFonts w:eastAsia="Calibri"/>
          <w:b/>
          <w:bCs/>
          <w:color w:val="0070C0"/>
          <w:sz w:val="20"/>
          <w:szCs w:val="20"/>
          <w:lang w:val="en-IN"/>
        </w:rPr>
      </w:pPr>
      <w:r w:rsidRPr="002645AF">
        <w:rPr>
          <w:rFonts w:eastAsia="Calibri"/>
          <w:b/>
          <w:bCs/>
          <w:color w:val="0070C0"/>
          <w:sz w:val="20"/>
          <w:szCs w:val="20"/>
          <w:lang w:val="en-IN"/>
        </w:rPr>
        <w:t>3.3.1 Mutant Residue Contributions</w:t>
      </w:r>
    </w:p>
    <w:p w14:paraId="2A7BB077" w14:textId="77777777" w:rsidR="002645AF" w:rsidRPr="002645AF" w:rsidRDefault="002645AF" w:rsidP="002645AF">
      <w:pPr>
        <w:jc w:val="both"/>
        <w:rPr>
          <w:rFonts w:eastAsia="Calibri"/>
          <w:sz w:val="20"/>
          <w:szCs w:val="20"/>
          <w:lang w:val="en-IN"/>
        </w:rPr>
      </w:pPr>
      <w:r w:rsidRPr="002645AF">
        <w:rPr>
          <w:rFonts w:eastAsia="Calibri"/>
          <w:sz w:val="20"/>
          <w:szCs w:val="20"/>
          <w:lang w:val="en-IN"/>
        </w:rPr>
        <w:t> </w:t>
      </w:r>
    </w:p>
    <w:p w14:paraId="662D9062" w14:textId="77777777" w:rsidR="002645AF" w:rsidRPr="002645AF" w:rsidRDefault="002645AF" w:rsidP="002645AF">
      <w:pPr>
        <w:jc w:val="both"/>
        <w:rPr>
          <w:rFonts w:eastAsia="Calibri"/>
          <w:sz w:val="20"/>
          <w:szCs w:val="20"/>
          <w:lang w:val="en-IN"/>
        </w:rPr>
      </w:pPr>
      <w:r w:rsidRPr="002645AF">
        <w:rPr>
          <w:rFonts w:eastAsia="Calibri"/>
          <w:sz w:val="20"/>
          <w:szCs w:val="20"/>
          <w:lang w:val="en-IN"/>
        </w:rPr>
        <w:t>Beyond conserved sites, mutant residues also established direct ligand interactions. The variant Asp-12 (G12D) formed a hydrogen bond in compound 2 (2.88 Å) and engaged in additional stabilising contacts across multiple complexes.  Asp-13 (G13D) formed hydrogen bonds in compounds 7 (3.05 Å) and 10 (2.84 Å), while Arg-61 (Q61R), located in the Switch II region, which is not that common, participated in electrostatic and hydrogen-bond interactions depending on ligand orientation.</w:t>
      </w:r>
    </w:p>
    <w:p w14:paraId="290AF541" w14:textId="60A2BCF4" w:rsidR="002802E5" w:rsidRPr="00863569" w:rsidRDefault="002645AF">
      <w:pPr>
        <w:jc w:val="both"/>
        <w:rPr>
          <w:rFonts w:eastAsia="Calibri"/>
          <w:sz w:val="20"/>
          <w:szCs w:val="20"/>
          <w:lang w:val="en-IN"/>
        </w:rPr>
      </w:pPr>
      <w:r w:rsidRPr="002645AF">
        <w:rPr>
          <w:rFonts w:eastAsia="Calibri"/>
          <w:sz w:val="20"/>
          <w:szCs w:val="20"/>
          <w:lang w:val="en-IN"/>
        </w:rPr>
        <w:t> </w:t>
      </w:r>
    </w:p>
    <w:p w14:paraId="44134FED" w14:textId="5F570941" w:rsidR="002802E5" w:rsidRPr="00863569" w:rsidRDefault="002802E5">
      <w:pPr>
        <w:jc w:val="both"/>
        <w:rPr>
          <w:rFonts w:eastAsia="Calibri"/>
          <w:b/>
          <w:bCs/>
          <w:color w:val="0070C0"/>
          <w:sz w:val="20"/>
          <w:szCs w:val="20"/>
        </w:rPr>
      </w:pPr>
      <w:r w:rsidRPr="00863569">
        <w:rPr>
          <w:rFonts w:eastAsia="Calibri"/>
          <w:b/>
          <w:bCs/>
          <w:color w:val="0070C0"/>
          <w:sz w:val="20"/>
          <w:szCs w:val="20"/>
        </w:rPr>
        <w:t>3.3.2 Lead Compound Identification</w:t>
      </w:r>
    </w:p>
    <w:p w14:paraId="36C2762A" w14:textId="77777777" w:rsidR="002802E5" w:rsidRPr="00863569" w:rsidRDefault="002802E5">
      <w:pPr>
        <w:jc w:val="both"/>
        <w:rPr>
          <w:rFonts w:eastAsia="Calibri"/>
          <w:sz w:val="20"/>
          <w:szCs w:val="20"/>
        </w:rPr>
      </w:pPr>
    </w:p>
    <w:p w14:paraId="611C5DEA" w14:textId="77777777" w:rsidR="002645AF" w:rsidRPr="002645AF" w:rsidRDefault="002645AF" w:rsidP="002645AF">
      <w:pPr>
        <w:jc w:val="both"/>
        <w:rPr>
          <w:rFonts w:eastAsia="Calibri"/>
          <w:sz w:val="20"/>
          <w:szCs w:val="20"/>
          <w:lang w:val="en-IN"/>
        </w:rPr>
      </w:pPr>
      <w:r w:rsidRPr="002645AF">
        <w:rPr>
          <w:rFonts w:eastAsia="Calibri"/>
          <w:sz w:val="20"/>
          <w:szCs w:val="20"/>
          <w:lang w:val="en-IN"/>
        </w:rPr>
        <w:t xml:space="preserve">Among the eleven shortlisted compounds, ZINC02096813, ZINC02120343, and ZINC00518885 consistently demonstrated strong binding affinities. These compounds simultaneously interact with catalytic stabilisers (Tyr-32, Phe-28, Asp-119) and mutant residues (Asp-12, Asp-13, or Arg-61), forming </w:t>
      </w:r>
    </w:p>
    <w:p w14:paraId="60C39CD3" w14:textId="4B6438DF" w:rsidR="00425D9C" w:rsidRPr="00425D9C" w:rsidRDefault="00A25553" w:rsidP="00425D9C">
      <w:pPr>
        <w:jc w:val="both"/>
        <w:rPr>
          <w:rFonts w:eastAsia="Calibri"/>
          <w:sz w:val="20"/>
          <w:szCs w:val="20"/>
        </w:rPr>
      </w:pPr>
      <w:r w:rsidRPr="00B656D4">
        <w:rPr>
          <w:rFonts w:eastAsia="Calibri"/>
          <w:sz w:val="20"/>
          <w:szCs w:val="20"/>
        </w:rPr>
        <w:t xml:space="preserve">complementary networks of hydrogen bonds and hydrophobic contacts. This dual engagement of hydrogen bonds with mutant residues alongside hydrophobic contacts with conserved structural </w:t>
      </w:r>
      <w:r w:rsidR="002802E5" w:rsidRPr="00B656D4">
        <w:rPr>
          <w:rFonts w:eastAsia="Calibri"/>
          <w:sz w:val="20"/>
          <w:szCs w:val="20"/>
        </w:rPr>
        <w:t>stabilisers</w:t>
      </w:r>
      <w:r w:rsidRPr="00B656D4">
        <w:rPr>
          <w:rFonts w:eastAsia="Calibri"/>
          <w:sz w:val="20"/>
          <w:szCs w:val="20"/>
        </w:rPr>
        <w:t xml:space="preserve"> suggests enhanced stability and specificity of binding</w:t>
      </w:r>
      <w:r w:rsidR="00B656D4">
        <w:rPr>
          <w:rFonts w:eastAsia="Calibri"/>
          <w:sz w:val="20"/>
          <w:szCs w:val="20"/>
        </w:rPr>
        <w:t>.</w:t>
      </w:r>
      <w:r w:rsidRPr="00863569">
        <w:rPr>
          <w:rFonts w:eastAsia="Calibri"/>
          <w:sz w:val="20"/>
          <w:szCs w:val="20"/>
        </w:rPr>
        <w:t xml:space="preserve"> These </w:t>
      </w:r>
      <w:r w:rsidRPr="00863569">
        <w:rPr>
          <w:rFonts w:eastAsia="Calibri"/>
          <w:sz w:val="20"/>
          <w:szCs w:val="20"/>
        </w:rPr>
        <w:t>compounds therefore represent the most promising leads for further optimization and in vitro testing against NRAS-driven melanoma.</w:t>
      </w:r>
      <w:r w:rsidR="00B656D4">
        <w:rPr>
          <w:rFonts w:eastAsia="Calibri"/>
          <w:sz w:val="20"/>
          <w:szCs w:val="20"/>
        </w:rPr>
        <w:t xml:space="preserve"> </w:t>
      </w:r>
      <w:r w:rsidRPr="00A906D3">
        <w:rPr>
          <w:rFonts w:eastAsia="Calibri"/>
          <w:sz w:val="20"/>
          <w:szCs w:val="20"/>
        </w:rPr>
        <w:t>Collectively,</w:t>
      </w:r>
      <w:r w:rsidR="00B656D4" w:rsidRPr="00A906D3">
        <w:rPr>
          <w:rFonts w:eastAsia="Calibri"/>
          <w:sz w:val="20"/>
          <w:szCs w:val="20"/>
        </w:rPr>
        <w:t xml:space="preserve"> </w:t>
      </w:r>
      <w:r w:rsidRPr="00A906D3">
        <w:rPr>
          <w:rFonts w:eastAsia="Calibri"/>
          <w:sz w:val="20"/>
          <w:szCs w:val="20"/>
        </w:rPr>
        <w:t xml:space="preserve">these observations suggest that gain-of-function mutations in NRAS do more than </w:t>
      </w:r>
      <w:r w:rsidR="00B656D4" w:rsidRPr="00A906D3">
        <w:rPr>
          <w:rFonts w:eastAsia="Calibri"/>
          <w:sz w:val="20"/>
          <w:szCs w:val="20"/>
        </w:rPr>
        <w:t xml:space="preserve">just changing the </w:t>
      </w:r>
      <w:r w:rsidRPr="00A906D3">
        <w:rPr>
          <w:rFonts w:eastAsia="Calibri"/>
          <w:sz w:val="20"/>
          <w:szCs w:val="20"/>
        </w:rPr>
        <w:t>intrinsic catalytic properties</w:t>
      </w:r>
      <w:r w:rsidR="00C85900" w:rsidRPr="00A906D3">
        <w:rPr>
          <w:rFonts w:eastAsia="Calibri"/>
          <w:sz w:val="20"/>
          <w:szCs w:val="20"/>
        </w:rPr>
        <w:t>,</w:t>
      </w:r>
      <w:r w:rsidRPr="00A906D3">
        <w:rPr>
          <w:rFonts w:eastAsia="Calibri"/>
          <w:sz w:val="20"/>
          <w:szCs w:val="20"/>
        </w:rPr>
        <w:t xml:space="preserve"> they </w:t>
      </w:r>
      <w:r w:rsidR="00B656D4" w:rsidRPr="00A906D3">
        <w:rPr>
          <w:rFonts w:eastAsia="Calibri"/>
          <w:sz w:val="20"/>
          <w:szCs w:val="20"/>
        </w:rPr>
        <w:t xml:space="preserve">also </w:t>
      </w:r>
      <w:r w:rsidRPr="00A906D3">
        <w:rPr>
          <w:rFonts w:eastAsia="Calibri"/>
          <w:sz w:val="20"/>
          <w:szCs w:val="20"/>
        </w:rPr>
        <w:t>actively reshape the protein’s binding pocket</w:t>
      </w:r>
      <w:r w:rsidR="002F65A5">
        <w:rPr>
          <w:rFonts w:eastAsia="Calibri"/>
          <w:sz w:val="20"/>
          <w:szCs w:val="20"/>
        </w:rPr>
        <w:t xml:space="preserve"> </w:t>
      </w:r>
      <w:r w:rsidRPr="00A906D3">
        <w:rPr>
          <w:rFonts w:eastAsia="Calibri"/>
          <w:sz w:val="20"/>
          <w:szCs w:val="20"/>
        </w:rPr>
        <w:t xml:space="preserve">creating new </w:t>
      </w:r>
      <w:r w:rsidR="00C85900" w:rsidRPr="00A906D3">
        <w:rPr>
          <w:rFonts w:eastAsia="Calibri"/>
          <w:sz w:val="20"/>
          <w:szCs w:val="20"/>
        </w:rPr>
        <w:t>places</w:t>
      </w:r>
      <w:r w:rsidRPr="00A906D3">
        <w:rPr>
          <w:rFonts w:eastAsia="Calibri"/>
          <w:sz w:val="20"/>
          <w:szCs w:val="20"/>
        </w:rPr>
        <w:t xml:space="preserve"> for ligand engagement</w:t>
      </w:r>
      <w:r w:rsidR="00690114" w:rsidRPr="00A906D3">
        <w:rPr>
          <w:rFonts w:eastAsia="Calibri"/>
          <w:sz w:val="20"/>
          <w:szCs w:val="20"/>
        </w:rPr>
        <w:t xml:space="preserve">. </w:t>
      </w:r>
      <w:r w:rsidRPr="00A906D3">
        <w:rPr>
          <w:rFonts w:eastAsia="Calibri"/>
          <w:sz w:val="20"/>
          <w:szCs w:val="20"/>
        </w:rPr>
        <w:t xml:space="preserve">Taken together, these results underscore the value of targeting both conserved and mutant-specific interactions for inhibitor design. </w:t>
      </w:r>
      <w:r w:rsidR="00425D9C" w:rsidRPr="002645AF">
        <w:rPr>
          <w:rFonts w:eastAsia="Segoe UI"/>
          <w:spacing w:val="1"/>
          <w:sz w:val="20"/>
          <w:szCs w:val="20"/>
          <w:lang w:val="en-IN"/>
        </w:rPr>
        <w:t xml:space="preserve">This phenomenon parallels findings in KRAS G12C targeting, where mutation-specific pockets enabled selective inhibitor development </w:t>
      </w:r>
      <w:r w:rsidR="00425D9C" w:rsidRPr="000123A7">
        <w:rPr>
          <w:rFonts w:eastAsia="Segoe UI"/>
          <w:color w:val="0070C0"/>
          <w:spacing w:val="1"/>
          <w:sz w:val="20"/>
          <w:szCs w:val="20"/>
          <w:lang w:val="en-IN"/>
        </w:rPr>
        <w:t>(</w:t>
      </w:r>
      <w:r w:rsidR="00425D9C" w:rsidRPr="002645AF">
        <w:rPr>
          <w:rFonts w:eastAsia="Segoe UI"/>
          <w:color w:val="0070C0"/>
          <w:spacing w:val="1"/>
          <w:sz w:val="20"/>
          <w:szCs w:val="20"/>
          <w:lang w:val="en-IN"/>
        </w:rPr>
        <w:t>Ostrem et al., 2013</w:t>
      </w:r>
      <w:r w:rsidR="00425D9C" w:rsidRPr="000123A7">
        <w:rPr>
          <w:rFonts w:eastAsia="Segoe UI"/>
          <w:color w:val="0070C0"/>
          <w:spacing w:val="1"/>
          <w:sz w:val="20"/>
          <w:szCs w:val="20"/>
          <w:lang w:val="en-IN"/>
        </w:rPr>
        <w:t>)</w:t>
      </w:r>
      <w:r w:rsidR="00425D9C" w:rsidRPr="002645AF">
        <w:rPr>
          <w:rFonts w:eastAsia="Segoe UI"/>
          <w:color w:val="0070C0"/>
          <w:spacing w:val="1"/>
          <w:sz w:val="20"/>
          <w:szCs w:val="20"/>
          <w:lang w:val="en-IN"/>
        </w:rPr>
        <w:t xml:space="preserve">. </w:t>
      </w:r>
      <w:r w:rsidR="00425D9C" w:rsidRPr="002645AF">
        <w:rPr>
          <w:rFonts w:eastAsia="Segoe UI"/>
          <w:spacing w:val="1"/>
          <w:sz w:val="20"/>
          <w:szCs w:val="20"/>
          <w:lang w:val="en-IN"/>
        </w:rPr>
        <w:t>The dual engagement of conserved catalytic stabilisers and mutation-specific residues suggests a rational framework for designing selective NRAS inhibitors</w:t>
      </w:r>
      <w:r w:rsidR="00425D9C">
        <w:rPr>
          <w:rFonts w:eastAsia="Segoe UI"/>
          <w:spacing w:val="1"/>
          <w:sz w:val="20"/>
          <w:szCs w:val="20"/>
          <w:lang w:val="en-IN"/>
        </w:rPr>
        <w:t xml:space="preserve"> in the future.</w:t>
      </w:r>
    </w:p>
    <w:p w14:paraId="6723BAD6" w14:textId="77777777" w:rsidR="00425D9C" w:rsidRPr="00425D9C" w:rsidRDefault="00425D9C">
      <w:pPr>
        <w:jc w:val="both"/>
        <w:rPr>
          <w:rFonts w:eastAsia="Calibri"/>
          <w:sz w:val="20"/>
          <w:szCs w:val="20"/>
          <w:lang w:val="en-IN"/>
        </w:rPr>
      </w:pPr>
    </w:p>
    <w:p w14:paraId="4A11D7C0" w14:textId="77777777" w:rsidR="00553B22" w:rsidRPr="00931410" w:rsidRDefault="00553B22" w:rsidP="00553B22">
      <w:pPr>
        <w:jc w:val="both"/>
        <w:rPr>
          <w:rFonts w:eastAsia="Calibri"/>
          <w:b/>
          <w:bCs/>
          <w:color w:val="0070C0"/>
          <w:sz w:val="20"/>
          <w:szCs w:val="20"/>
          <w:lang w:val="en-IN"/>
        </w:rPr>
      </w:pPr>
      <w:r w:rsidRPr="00931410">
        <w:rPr>
          <w:rFonts w:eastAsia="Calibri"/>
          <w:b/>
          <w:bCs/>
          <w:color w:val="0070C0"/>
          <w:sz w:val="20"/>
          <w:szCs w:val="20"/>
          <w:lang w:val="en-IN"/>
        </w:rPr>
        <w:t>4. DISCUSSION</w:t>
      </w:r>
    </w:p>
    <w:p w14:paraId="298EC036" w14:textId="77777777" w:rsidR="00553B22" w:rsidRPr="00931410" w:rsidRDefault="00553B22" w:rsidP="00553B22">
      <w:pPr>
        <w:jc w:val="both"/>
        <w:rPr>
          <w:rFonts w:eastAsia="Calibri"/>
          <w:sz w:val="20"/>
          <w:szCs w:val="20"/>
          <w:lang w:val="en-IN"/>
        </w:rPr>
      </w:pPr>
      <w:r w:rsidRPr="00931410">
        <w:rPr>
          <w:rFonts w:eastAsia="Calibri"/>
          <w:sz w:val="20"/>
          <w:szCs w:val="20"/>
          <w:lang w:val="en-IN"/>
        </w:rPr>
        <w:t> </w:t>
      </w:r>
    </w:p>
    <w:p w14:paraId="7089C5BC" w14:textId="4F8C78A2" w:rsidR="002F65A5" w:rsidRPr="00863569" w:rsidRDefault="00553B22" w:rsidP="00553B22">
      <w:pPr>
        <w:jc w:val="both"/>
        <w:rPr>
          <w:rFonts w:eastAsia="Calibri"/>
          <w:sz w:val="20"/>
          <w:szCs w:val="20"/>
          <w:lang w:val="en-US"/>
        </w:rPr>
        <w:sectPr w:rsidR="002F65A5" w:rsidRPr="00863569">
          <w:type w:val="continuous"/>
          <w:pgSz w:w="11907" w:h="16839"/>
          <w:pgMar w:top="1701" w:right="1134" w:bottom="1701" w:left="1134" w:header="706" w:footer="706" w:gutter="0"/>
          <w:pgNumType w:start="125"/>
          <w:cols w:num="2" w:space="567"/>
          <w:docGrid w:linePitch="360"/>
        </w:sectPr>
      </w:pPr>
      <w:r w:rsidRPr="00931410">
        <w:rPr>
          <w:rFonts w:eastAsia="Calibri"/>
          <w:sz w:val="20"/>
          <w:szCs w:val="20"/>
          <w:lang w:val="en-IN"/>
        </w:rPr>
        <w:t xml:space="preserve">NRAS is involved in one of the most important signalling pathways called MAPK </w:t>
      </w:r>
      <w:r w:rsidRPr="00931410">
        <w:rPr>
          <w:rFonts w:eastAsia="Calibri"/>
          <w:color w:val="0070C0"/>
          <w:sz w:val="20"/>
          <w:szCs w:val="20"/>
          <w:lang w:val="en-IN"/>
        </w:rPr>
        <w:t xml:space="preserve">(Wellbrock &amp; </w:t>
      </w:r>
      <w:proofErr w:type="spellStart"/>
      <w:r w:rsidRPr="00931410">
        <w:rPr>
          <w:rFonts w:eastAsia="Calibri"/>
          <w:color w:val="0070C0"/>
          <w:sz w:val="20"/>
          <w:szCs w:val="20"/>
          <w:lang w:val="en-IN"/>
        </w:rPr>
        <w:t>Arozarena</w:t>
      </w:r>
      <w:proofErr w:type="spellEnd"/>
      <w:r w:rsidRPr="00931410">
        <w:rPr>
          <w:rFonts w:eastAsia="Calibri"/>
          <w:color w:val="0070C0"/>
          <w:sz w:val="20"/>
          <w:szCs w:val="20"/>
          <w:lang w:val="en-IN"/>
        </w:rPr>
        <w:t>, 2016)</w:t>
      </w:r>
      <w:r w:rsidRPr="00931410">
        <w:rPr>
          <w:rFonts w:eastAsia="Calibri"/>
          <w:sz w:val="20"/>
          <w:szCs w:val="20"/>
          <w:lang w:val="en-IN"/>
        </w:rPr>
        <w:t xml:space="preserve">, and despite its clinical importance, direct pharmacological inhibition remains limited and is yet to be explored. </w:t>
      </w:r>
    </w:p>
    <w:p w14:paraId="7073AAEA" w14:textId="4694654E" w:rsidR="004631AB" w:rsidRPr="00863569" w:rsidRDefault="004631AB">
      <w:pPr>
        <w:jc w:val="both"/>
        <w:rPr>
          <w:rFonts w:eastAsia="Calibri"/>
          <w:sz w:val="20"/>
          <w:szCs w:val="20"/>
          <w:lang w:val="en-IN"/>
        </w:rPr>
      </w:pPr>
    </w:p>
    <w:p w14:paraId="2070C952" w14:textId="77777777" w:rsidR="004631AB" w:rsidRPr="00863569" w:rsidRDefault="00000000">
      <w:pPr>
        <w:jc w:val="center"/>
      </w:pPr>
      <w:r w:rsidRPr="00863569">
        <w:rPr>
          <w:noProof/>
        </w:rPr>
        <w:lastRenderedPageBreak/>
        <w:drawing>
          <wp:inline distT="0" distB="0" distL="114300" distR="114300" wp14:anchorId="2EF880C9" wp14:editId="0E716682">
            <wp:extent cx="1306195" cy="1619885"/>
            <wp:effectExtent l="19050" t="19050" r="27305" b="18415"/>
            <wp:docPr id="7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1.jpeg"/>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1306800" cy="1620000"/>
                    </a:xfrm>
                    <a:prstGeom prst="rect">
                      <a:avLst/>
                    </a:prstGeom>
                    <a:ln>
                      <a:solidFill>
                        <a:schemeClr val="bg1">
                          <a:lumMod val="65000"/>
                        </a:schemeClr>
                      </a:solidFill>
                    </a:ln>
                  </pic:spPr>
                </pic:pic>
              </a:graphicData>
            </a:graphic>
          </wp:inline>
        </w:drawing>
      </w:r>
      <w:r w:rsidRPr="00863569">
        <w:t xml:space="preserve">  </w:t>
      </w:r>
      <w:r w:rsidRPr="00863569">
        <w:rPr>
          <w:noProof/>
        </w:rPr>
        <w:drawing>
          <wp:inline distT="0" distB="0" distL="114300" distR="114300" wp14:anchorId="2F763848" wp14:editId="6559FEB1">
            <wp:extent cx="1266825" cy="1619885"/>
            <wp:effectExtent l="19050" t="19050" r="28575" b="18415"/>
            <wp:docPr id="78"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2.jpeg"/>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67200" cy="1620000"/>
                    </a:xfrm>
                    <a:prstGeom prst="rect">
                      <a:avLst/>
                    </a:prstGeom>
                    <a:ln>
                      <a:solidFill>
                        <a:schemeClr val="bg1">
                          <a:lumMod val="65000"/>
                        </a:schemeClr>
                      </a:solidFill>
                    </a:ln>
                  </pic:spPr>
                </pic:pic>
              </a:graphicData>
            </a:graphic>
          </wp:inline>
        </w:drawing>
      </w:r>
      <w:r w:rsidRPr="00863569">
        <w:t xml:space="preserve">  </w:t>
      </w:r>
      <w:r w:rsidRPr="00863569">
        <w:rPr>
          <w:noProof/>
        </w:rPr>
        <w:drawing>
          <wp:inline distT="0" distB="0" distL="114300" distR="114300" wp14:anchorId="488CB2A7" wp14:editId="58AE8F27">
            <wp:extent cx="1310005" cy="1619885"/>
            <wp:effectExtent l="19050" t="19050" r="23495" b="18415"/>
            <wp:docPr id="79"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4.jpeg"/>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1310400" cy="1620000"/>
                    </a:xfrm>
                    <a:prstGeom prst="rect">
                      <a:avLst/>
                    </a:prstGeom>
                    <a:ln>
                      <a:solidFill>
                        <a:schemeClr val="bg1">
                          <a:lumMod val="65000"/>
                        </a:schemeClr>
                      </a:solidFill>
                    </a:ln>
                  </pic:spPr>
                </pic:pic>
              </a:graphicData>
            </a:graphic>
          </wp:inline>
        </w:drawing>
      </w:r>
      <w:r w:rsidRPr="00863569">
        <w:t xml:space="preserve">  </w:t>
      </w:r>
      <w:r w:rsidRPr="00863569">
        <w:rPr>
          <w:noProof/>
        </w:rPr>
        <w:drawing>
          <wp:inline distT="0" distB="0" distL="114300" distR="114300" wp14:anchorId="3BB6A6E1" wp14:editId="692CEC2A">
            <wp:extent cx="1292225" cy="1619885"/>
            <wp:effectExtent l="19050" t="19050" r="22225" b="18415"/>
            <wp:docPr id="80"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3.jpeg"/>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292400" cy="1620000"/>
                    </a:xfrm>
                    <a:prstGeom prst="rect">
                      <a:avLst/>
                    </a:prstGeom>
                    <a:ln>
                      <a:solidFill>
                        <a:schemeClr val="bg1">
                          <a:lumMod val="65000"/>
                        </a:schemeClr>
                      </a:solidFill>
                    </a:ln>
                  </pic:spPr>
                </pic:pic>
              </a:graphicData>
            </a:graphic>
          </wp:inline>
        </w:drawing>
      </w:r>
    </w:p>
    <w:p w14:paraId="21E82170" w14:textId="77777777" w:rsidR="004631AB" w:rsidRPr="00863569" w:rsidRDefault="00000000">
      <w:pPr>
        <w:jc w:val="center"/>
        <w:rPr>
          <w:rFonts w:eastAsia="Segoe UI"/>
          <w:spacing w:val="1"/>
          <w:sz w:val="20"/>
          <w:szCs w:val="20"/>
        </w:rPr>
      </w:pPr>
      <w:r w:rsidRPr="00863569">
        <w:rPr>
          <w:rFonts w:eastAsia="Segoe UI"/>
          <w:spacing w:val="1"/>
          <w:sz w:val="20"/>
          <w:szCs w:val="20"/>
        </w:rPr>
        <w:t>(</w:t>
      </w:r>
      <w:r w:rsidRPr="00863569">
        <w:rPr>
          <w:sz w:val="20"/>
          <w:szCs w:val="20"/>
        </w:rPr>
        <w:t>ZINC02107288</w:t>
      </w:r>
      <w:r w:rsidRPr="00863569">
        <w:rPr>
          <w:rFonts w:eastAsia="Segoe UI"/>
          <w:spacing w:val="1"/>
          <w:sz w:val="20"/>
          <w:szCs w:val="20"/>
        </w:rPr>
        <w:t>)                  (</w:t>
      </w:r>
      <w:r w:rsidRPr="00863569">
        <w:rPr>
          <w:sz w:val="20"/>
          <w:szCs w:val="20"/>
        </w:rPr>
        <w:t>ZINC02096813</w:t>
      </w:r>
      <w:r w:rsidRPr="00863569">
        <w:rPr>
          <w:rFonts w:eastAsia="Segoe UI"/>
          <w:spacing w:val="1"/>
          <w:sz w:val="20"/>
          <w:szCs w:val="20"/>
        </w:rPr>
        <w:t>)                 (</w:t>
      </w:r>
      <w:r w:rsidRPr="00863569">
        <w:rPr>
          <w:sz w:val="20"/>
          <w:szCs w:val="20"/>
        </w:rPr>
        <w:t>ZINC02096815</w:t>
      </w:r>
      <w:r w:rsidRPr="00863569">
        <w:rPr>
          <w:rFonts w:eastAsia="Segoe UI"/>
          <w:spacing w:val="1"/>
          <w:sz w:val="20"/>
          <w:szCs w:val="20"/>
        </w:rPr>
        <w:t>)              (</w:t>
      </w:r>
      <w:r w:rsidRPr="00863569">
        <w:rPr>
          <w:sz w:val="20"/>
          <w:szCs w:val="20"/>
        </w:rPr>
        <w:t>ZINC02114326</w:t>
      </w:r>
      <w:r w:rsidRPr="00863569">
        <w:rPr>
          <w:rFonts w:eastAsia="Segoe UI"/>
          <w:spacing w:val="1"/>
          <w:sz w:val="20"/>
          <w:szCs w:val="20"/>
        </w:rPr>
        <w:t>)</w:t>
      </w:r>
    </w:p>
    <w:p w14:paraId="61578693" w14:textId="77777777" w:rsidR="004631AB" w:rsidRPr="00863569" w:rsidRDefault="004631AB">
      <w:pPr>
        <w:jc w:val="center"/>
      </w:pPr>
    </w:p>
    <w:p w14:paraId="75D29AC7" w14:textId="77777777" w:rsidR="004631AB" w:rsidRPr="00863569" w:rsidRDefault="00000000">
      <w:pPr>
        <w:jc w:val="center"/>
      </w:pPr>
      <w:r w:rsidRPr="00863569">
        <w:rPr>
          <w:noProof/>
        </w:rPr>
        <w:drawing>
          <wp:inline distT="0" distB="0" distL="114300" distR="114300" wp14:anchorId="7B6CECB5" wp14:editId="1CC1D9B6">
            <wp:extent cx="1310005" cy="1619885"/>
            <wp:effectExtent l="19050" t="19050" r="23495" b="18415"/>
            <wp:docPr id="8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6.jpeg"/>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1310400" cy="1620000"/>
                    </a:xfrm>
                    <a:prstGeom prst="rect">
                      <a:avLst/>
                    </a:prstGeom>
                    <a:ln>
                      <a:solidFill>
                        <a:schemeClr val="bg1">
                          <a:lumMod val="65000"/>
                        </a:schemeClr>
                      </a:solidFill>
                    </a:ln>
                  </pic:spPr>
                </pic:pic>
              </a:graphicData>
            </a:graphic>
          </wp:inline>
        </w:drawing>
      </w:r>
      <w:r w:rsidRPr="00863569">
        <w:t xml:space="preserve">  </w:t>
      </w:r>
      <w:r w:rsidRPr="00863569">
        <w:rPr>
          <w:noProof/>
        </w:rPr>
        <w:drawing>
          <wp:inline distT="0" distB="0" distL="114300" distR="114300" wp14:anchorId="53C9DBA1" wp14:editId="01FB9864">
            <wp:extent cx="1324610" cy="1619885"/>
            <wp:effectExtent l="19050" t="19050" r="27940" b="18415"/>
            <wp:docPr id="82"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5.jpeg"/>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1324800" cy="1620000"/>
                    </a:xfrm>
                    <a:prstGeom prst="rect">
                      <a:avLst/>
                    </a:prstGeom>
                    <a:ln>
                      <a:solidFill>
                        <a:schemeClr val="bg1">
                          <a:lumMod val="65000"/>
                        </a:schemeClr>
                      </a:solidFill>
                    </a:ln>
                  </pic:spPr>
                </pic:pic>
              </a:graphicData>
            </a:graphic>
          </wp:inline>
        </w:drawing>
      </w:r>
      <w:r w:rsidRPr="00863569">
        <w:t xml:space="preserve">  </w:t>
      </w:r>
      <w:r w:rsidRPr="00863569">
        <w:rPr>
          <w:noProof/>
        </w:rPr>
        <w:drawing>
          <wp:inline distT="0" distB="0" distL="114300" distR="114300" wp14:anchorId="2C11F332" wp14:editId="47AB87DA">
            <wp:extent cx="1306195" cy="1619885"/>
            <wp:effectExtent l="19050" t="19050" r="27305" b="18415"/>
            <wp:docPr id="8"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jpeg"/>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306800" cy="1620000"/>
                    </a:xfrm>
                    <a:prstGeom prst="rect">
                      <a:avLst/>
                    </a:prstGeom>
                    <a:ln>
                      <a:solidFill>
                        <a:schemeClr val="bg1">
                          <a:lumMod val="65000"/>
                        </a:schemeClr>
                      </a:solidFill>
                    </a:ln>
                  </pic:spPr>
                </pic:pic>
              </a:graphicData>
            </a:graphic>
          </wp:inline>
        </w:drawing>
      </w:r>
      <w:r w:rsidRPr="00863569">
        <w:t xml:space="preserve">  </w:t>
      </w:r>
      <w:r w:rsidRPr="00863569">
        <w:rPr>
          <w:noProof/>
        </w:rPr>
        <w:drawing>
          <wp:inline distT="0" distB="0" distL="114300" distR="114300" wp14:anchorId="1A879A01" wp14:editId="5F2BC9BD">
            <wp:extent cx="1241425" cy="1619885"/>
            <wp:effectExtent l="19050" t="19050" r="15875" b="18415"/>
            <wp:docPr id="9"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jpeg"/>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242000" cy="1620000"/>
                    </a:xfrm>
                    <a:prstGeom prst="rect">
                      <a:avLst/>
                    </a:prstGeom>
                    <a:ln>
                      <a:solidFill>
                        <a:schemeClr val="bg1">
                          <a:lumMod val="65000"/>
                        </a:schemeClr>
                      </a:solidFill>
                    </a:ln>
                  </pic:spPr>
                </pic:pic>
              </a:graphicData>
            </a:graphic>
          </wp:inline>
        </w:drawing>
      </w:r>
    </w:p>
    <w:p w14:paraId="2B88BB48" w14:textId="77777777" w:rsidR="004631AB" w:rsidRPr="00863569" w:rsidRDefault="00000000">
      <w:pPr>
        <w:jc w:val="center"/>
      </w:pPr>
      <w:r w:rsidRPr="00863569">
        <w:rPr>
          <w:rFonts w:eastAsia="Segoe UI"/>
          <w:spacing w:val="1"/>
          <w:sz w:val="20"/>
          <w:szCs w:val="20"/>
        </w:rPr>
        <w:t>(</w:t>
      </w:r>
      <w:r w:rsidRPr="00863569">
        <w:rPr>
          <w:sz w:val="20"/>
          <w:szCs w:val="20"/>
        </w:rPr>
        <w:t>ZINC01020381</w:t>
      </w:r>
      <w:r w:rsidRPr="00863569">
        <w:rPr>
          <w:rFonts w:eastAsia="Segoe UI"/>
          <w:spacing w:val="1"/>
          <w:sz w:val="20"/>
          <w:szCs w:val="20"/>
        </w:rPr>
        <w:t>)                (</w:t>
      </w:r>
      <w:r w:rsidRPr="00863569">
        <w:rPr>
          <w:sz w:val="20"/>
          <w:szCs w:val="20"/>
        </w:rPr>
        <w:t>ZINC06167356</w:t>
      </w:r>
      <w:r w:rsidRPr="00863569">
        <w:rPr>
          <w:rFonts w:eastAsia="Segoe UI"/>
          <w:spacing w:val="1"/>
          <w:sz w:val="20"/>
          <w:szCs w:val="20"/>
        </w:rPr>
        <w:t>)                  (</w:t>
      </w:r>
      <w:r w:rsidRPr="00863569">
        <w:rPr>
          <w:sz w:val="20"/>
          <w:szCs w:val="20"/>
        </w:rPr>
        <w:t>ZINC02120343</w:t>
      </w:r>
      <w:r w:rsidRPr="00863569">
        <w:rPr>
          <w:rFonts w:eastAsia="Segoe UI"/>
          <w:spacing w:val="1"/>
          <w:sz w:val="20"/>
          <w:szCs w:val="20"/>
        </w:rPr>
        <w:t>)               (</w:t>
      </w:r>
      <w:r w:rsidRPr="00863569">
        <w:rPr>
          <w:sz w:val="20"/>
          <w:szCs w:val="20"/>
        </w:rPr>
        <w:t>ZINC02102162</w:t>
      </w:r>
      <w:r w:rsidRPr="00863569">
        <w:rPr>
          <w:rFonts w:eastAsia="Segoe UI"/>
          <w:spacing w:val="1"/>
          <w:sz w:val="20"/>
          <w:szCs w:val="20"/>
        </w:rPr>
        <w:t>)</w:t>
      </w:r>
    </w:p>
    <w:p w14:paraId="37857DB7" w14:textId="77777777" w:rsidR="004631AB" w:rsidRPr="00863569" w:rsidRDefault="004631AB">
      <w:pPr>
        <w:jc w:val="center"/>
      </w:pPr>
    </w:p>
    <w:p w14:paraId="1734B70A" w14:textId="77777777" w:rsidR="004631AB" w:rsidRPr="00863569" w:rsidRDefault="00000000">
      <w:pPr>
        <w:jc w:val="center"/>
      </w:pPr>
      <w:r w:rsidRPr="00863569">
        <w:rPr>
          <w:noProof/>
        </w:rPr>
        <w:drawing>
          <wp:inline distT="0" distB="0" distL="114300" distR="114300" wp14:anchorId="2DE74C66" wp14:editId="1D6ABEBF">
            <wp:extent cx="1288415" cy="1619885"/>
            <wp:effectExtent l="19050" t="19050" r="26035" b="18415"/>
            <wp:docPr id="10"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jpeg"/>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288800" cy="1620000"/>
                    </a:xfrm>
                    <a:prstGeom prst="rect">
                      <a:avLst/>
                    </a:prstGeom>
                    <a:ln>
                      <a:solidFill>
                        <a:schemeClr val="bg1">
                          <a:lumMod val="65000"/>
                        </a:schemeClr>
                      </a:solidFill>
                    </a:ln>
                  </pic:spPr>
                </pic:pic>
              </a:graphicData>
            </a:graphic>
          </wp:inline>
        </w:drawing>
      </w:r>
      <w:r w:rsidRPr="00863569">
        <w:t xml:space="preserve">  </w:t>
      </w:r>
      <w:r w:rsidRPr="00863569">
        <w:rPr>
          <w:noProof/>
        </w:rPr>
        <w:drawing>
          <wp:inline distT="0" distB="0" distL="114300" distR="114300" wp14:anchorId="23246920" wp14:editId="46E1ABE5">
            <wp:extent cx="1310005" cy="1619885"/>
            <wp:effectExtent l="19050" t="19050" r="23495" b="18415"/>
            <wp:docPr id="12"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jpeg"/>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310400" cy="1620000"/>
                    </a:xfrm>
                    <a:prstGeom prst="rect">
                      <a:avLst/>
                    </a:prstGeom>
                    <a:ln>
                      <a:solidFill>
                        <a:schemeClr val="bg1">
                          <a:lumMod val="65000"/>
                        </a:schemeClr>
                      </a:solidFill>
                    </a:ln>
                  </pic:spPr>
                </pic:pic>
              </a:graphicData>
            </a:graphic>
          </wp:inline>
        </w:drawing>
      </w:r>
      <w:r w:rsidRPr="00863569">
        <w:t xml:space="preserve">  </w:t>
      </w:r>
      <w:r w:rsidRPr="00863569">
        <w:rPr>
          <w:noProof/>
        </w:rPr>
        <w:drawing>
          <wp:inline distT="0" distB="0" distL="114300" distR="114300" wp14:anchorId="5A8C3DAA" wp14:editId="51269BEB">
            <wp:extent cx="1306195" cy="1619885"/>
            <wp:effectExtent l="19050" t="19050" r="27305" b="18415"/>
            <wp:docPr id="11"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jpeg"/>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306800" cy="1620000"/>
                    </a:xfrm>
                    <a:prstGeom prst="rect">
                      <a:avLst/>
                    </a:prstGeom>
                    <a:ln>
                      <a:solidFill>
                        <a:schemeClr val="bg1">
                          <a:lumMod val="65000"/>
                        </a:schemeClr>
                      </a:solidFill>
                    </a:ln>
                  </pic:spPr>
                </pic:pic>
              </a:graphicData>
            </a:graphic>
          </wp:inline>
        </w:drawing>
      </w:r>
    </w:p>
    <w:p w14:paraId="5C5EC124" w14:textId="77777777" w:rsidR="004631AB" w:rsidRPr="00863569" w:rsidRDefault="00000000">
      <w:pPr>
        <w:jc w:val="center"/>
        <w:sectPr w:rsidR="004631AB" w:rsidRPr="00863569">
          <w:type w:val="continuous"/>
          <w:pgSz w:w="11907" w:h="16839"/>
          <w:pgMar w:top="1701" w:right="1134" w:bottom="1701" w:left="1134" w:header="706" w:footer="706" w:gutter="0"/>
          <w:pgNumType w:start="125"/>
          <w:cols w:space="567"/>
          <w:docGrid w:linePitch="360"/>
        </w:sectPr>
      </w:pPr>
      <w:r w:rsidRPr="00863569">
        <w:rPr>
          <w:rFonts w:eastAsia="Segoe UI"/>
          <w:spacing w:val="1"/>
          <w:sz w:val="20"/>
          <w:szCs w:val="20"/>
        </w:rPr>
        <w:t>(</w:t>
      </w:r>
      <w:r w:rsidRPr="00863569">
        <w:rPr>
          <w:sz w:val="20"/>
          <w:szCs w:val="20"/>
        </w:rPr>
        <w:t>ZINC02114643</w:t>
      </w:r>
      <w:r w:rsidRPr="00863569">
        <w:rPr>
          <w:rFonts w:eastAsia="Segoe UI"/>
          <w:spacing w:val="1"/>
          <w:sz w:val="20"/>
          <w:szCs w:val="20"/>
        </w:rPr>
        <w:t>)                 (</w:t>
      </w:r>
      <w:r w:rsidRPr="00863569">
        <w:rPr>
          <w:sz w:val="20"/>
          <w:szCs w:val="20"/>
        </w:rPr>
        <w:t>ZINC00518885</w:t>
      </w:r>
      <w:r w:rsidRPr="00863569">
        <w:rPr>
          <w:rFonts w:eastAsia="Segoe UI"/>
          <w:spacing w:val="1"/>
          <w:sz w:val="20"/>
          <w:szCs w:val="20"/>
        </w:rPr>
        <w:t>)                 (</w:t>
      </w:r>
      <w:r w:rsidRPr="00863569">
        <w:rPr>
          <w:sz w:val="20"/>
          <w:szCs w:val="20"/>
        </w:rPr>
        <w:t>ZINC03882094</w:t>
      </w:r>
      <w:r w:rsidRPr="00863569">
        <w:rPr>
          <w:rFonts w:eastAsia="Segoe UI"/>
          <w:spacing w:val="1"/>
          <w:sz w:val="20"/>
          <w:szCs w:val="20"/>
        </w:rPr>
        <w:t>)</w:t>
      </w:r>
    </w:p>
    <w:p w14:paraId="3A2458FF" w14:textId="77777777" w:rsidR="004631AB" w:rsidRPr="00863569" w:rsidRDefault="004631AB">
      <w:pPr>
        <w:jc w:val="both"/>
        <w:rPr>
          <w:sz w:val="20"/>
          <w:szCs w:val="20"/>
        </w:rPr>
      </w:pPr>
    </w:p>
    <w:p w14:paraId="6BCD76DA" w14:textId="6799D0C0" w:rsidR="002645AF" w:rsidRPr="002645AF" w:rsidRDefault="002645AF" w:rsidP="002645AF">
      <w:pPr>
        <w:jc w:val="both"/>
        <w:rPr>
          <w:sz w:val="20"/>
          <w:szCs w:val="20"/>
          <w:lang w:val="en-IN"/>
        </w:rPr>
      </w:pPr>
      <w:r w:rsidRPr="002645AF">
        <w:rPr>
          <w:b/>
          <w:bCs/>
          <w:color w:val="0070C0"/>
          <w:sz w:val="20"/>
          <w:szCs w:val="20"/>
          <w:lang w:val="en-IN"/>
        </w:rPr>
        <w:t>Figure 2</w:t>
      </w:r>
      <w:r w:rsidRPr="002645AF">
        <w:rPr>
          <w:color w:val="0070C0"/>
          <w:sz w:val="20"/>
          <w:szCs w:val="20"/>
          <w:lang w:val="en-IN"/>
        </w:rPr>
        <w:t xml:space="preserve">. </w:t>
      </w:r>
      <w:r w:rsidRPr="002645AF">
        <w:rPr>
          <w:sz w:val="20"/>
          <w:szCs w:val="20"/>
          <w:lang w:val="en-IN"/>
        </w:rPr>
        <w:t>Two-dimensional interaction diagrams of the top eleven NRAS ligand complexes generated using LigPlot+. Hydrogen bonds are represented as dashed green lines, while hydrophobic contacts are illustrated as red semicircular arcs. The diagrams highlight conserved and mutant residue interactions within the nucleotide-binding pocket, demonstrating consistent engagement of P-loop and switch-region residues</w:t>
      </w:r>
      <w:r w:rsidR="00B656D4">
        <w:rPr>
          <w:sz w:val="20"/>
          <w:szCs w:val="20"/>
          <w:lang w:val="en-IN"/>
        </w:rPr>
        <w:t>.</w:t>
      </w:r>
    </w:p>
    <w:p w14:paraId="26C36749" w14:textId="77777777" w:rsidR="0026161A" w:rsidRPr="00BC63D8" w:rsidRDefault="0026161A">
      <w:pPr>
        <w:jc w:val="both"/>
        <w:rPr>
          <w:sz w:val="20"/>
          <w:szCs w:val="20"/>
          <w:lang w:val="en-IN"/>
        </w:rPr>
        <w:sectPr w:rsidR="0026161A" w:rsidRPr="00BC63D8">
          <w:type w:val="continuous"/>
          <w:pgSz w:w="11907" w:h="16839"/>
          <w:pgMar w:top="1701" w:right="1134" w:bottom="1418" w:left="1134" w:header="709" w:footer="709" w:gutter="0"/>
          <w:pgNumType w:start="211"/>
          <w:cols w:space="567"/>
          <w:docGrid w:linePitch="360"/>
        </w:sectPr>
      </w:pPr>
    </w:p>
    <w:p w14:paraId="32A7417F" w14:textId="77777777" w:rsidR="00553B22" w:rsidRDefault="00553B22" w:rsidP="00931410">
      <w:pPr>
        <w:jc w:val="both"/>
        <w:rPr>
          <w:rFonts w:eastAsia="Calibri"/>
          <w:b/>
          <w:bCs/>
          <w:color w:val="0070C0"/>
          <w:sz w:val="20"/>
          <w:szCs w:val="20"/>
          <w:lang w:val="en-IN"/>
        </w:rPr>
      </w:pPr>
    </w:p>
    <w:p w14:paraId="60F75BAA" w14:textId="5FF0C44A" w:rsidR="00931410" w:rsidRPr="00931410" w:rsidRDefault="00931410" w:rsidP="00931410">
      <w:pPr>
        <w:jc w:val="both"/>
        <w:rPr>
          <w:rFonts w:eastAsia="Calibri"/>
          <w:sz w:val="20"/>
          <w:szCs w:val="20"/>
          <w:lang w:val="en-IN"/>
        </w:rPr>
      </w:pPr>
      <w:r w:rsidRPr="00931410">
        <w:rPr>
          <w:rFonts w:eastAsia="Calibri"/>
          <w:sz w:val="20"/>
          <w:szCs w:val="20"/>
          <w:lang w:val="en-IN"/>
        </w:rPr>
        <w:t xml:space="preserve">Current therapeutic strategies for NRAS mutant melanoma primarily rely on downstream MEK inhibition </w:t>
      </w:r>
      <w:r w:rsidRPr="00931410">
        <w:rPr>
          <w:rFonts w:eastAsia="Calibri"/>
          <w:color w:val="0070C0"/>
          <w:sz w:val="20"/>
          <w:szCs w:val="20"/>
          <w:lang w:val="en-IN"/>
        </w:rPr>
        <w:t>(Johnson &amp; Puzanov, 2015)</w:t>
      </w:r>
      <w:r w:rsidRPr="00931410">
        <w:rPr>
          <w:rFonts w:eastAsia="Calibri"/>
          <w:sz w:val="20"/>
          <w:szCs w:val="20"/>
          <w:lang w:val="en-IN"/>
        </w:rPr>
        <w:t xml:space="preserve">. However, clinical responses to MEK inhibitors such as </w:t>
      </w:r>
      <w:proofErr w:type="spellStart"/>
      <w:r w:rsidRPr="00931410">
        <w:rPr>
          <w:rFonts w:eastAsia="Calibri"/>
          <w:sz w:val="20"/>
          <w:szCs w:val="20"/>
          <w:lang w:val="en-IN"/>
        </w:rPr>
        <w:t>binimetinib</w:t>
      </w:r>
      <w:proofErr w:type="spellEnd"/>
      <w:r w:rsidRPr="00931410">
        <w:rPr>
          <w:rFonts w:eastAsia="Calibri"/>
          <w:sz w:val="20"/>
          <w:szCs w:val="20"/>
          <w:lang w:val="en-IN"/>
        </w:rPr>
        <w:t xml:space="preserve"> have demonstrated modest improvements in progression-free survival </w:t>
      </w:r>
      <w:r w:rsidRPr="00931410">
        <w:rPr>
          <w:rFonts w:eastAsia="Calibri"/>
          <w:color w:val="0070C0"/>
          <w:sz w:val="20"/>
          <w:szCs w:val="20"/>
          <w:lang w:val="en-IN"/>
        </w:rPr>
        <w:t>(</w:t>
      </w:r>
      <w:proofErr w:type="spellStart"/>
      <w:r w:rsidRPr="00931410">
        <w:rPr>
          <w:rFonts w:eastAsia="Calibri"/>
          <w:color w:val="0070C0"/>
          <w:sz w:val="20"/>
          <w:szCs w:val="20"/>
          <w:lang w:val="en-IN"/>
        </w:rPr>
        <w:t>Ascierto</w:t>
      </w:r>
      <w:proofErr w:type="spellEnd"/>
      <w:r w:rsidRPr="00931410">
        <w:rPr>
          <w:rFonts w:eastAsia="Calibri"/>
          <w:color w:val="0070C0"/>
          <w:sz w:val="20"/>
          <w:szCs w:val="20"/>
          <w:lang w:val="en-IN"/>
        </w:rPr>
        <w:t xml:space="preserve"> et al., 2013)</w:t>
      </w:r>
      <w:r w:rsidRPr="00931410">
        <w:rPr>
          <w:rFonts w:eastAsia="Calibri"/>
          <w:sz w:val="20"/>
          <w:szCs w:val="20"/>
          <w:lang w:val="en-IN"/>
        </w:rPr>
        <w:t xml:space="preserve">. The structural challenges seen in RAS family proteins have historically been considered “undruggable” due to their high affinity for GTP/GDP and the absence of deep hydrophobic pockets </w:t>
      </w:r>
      <w:r w:rsidRPr="00931410">
        <w:rPr>
          <w:rFonts w:eastAsia="Calibri"/>
          <w:color w:val="0070C0"/>
          <w:sz w:val="20"/>
          <w:szCs w:val="20"/>
          <w:lang w:val="en-IN"/>
        </w:rPr>
        <w:t>(Cox et al., 2014; McCormick, 2015)</w:t>
      </w:r>
      <w:r w:rsidRPr="00931410">
        <w:rPr>
          <w:rFonts w:eastAsia="Calibri"/>
          <w:sz w:val="20"/>
          <w:szCs w:val="20"/>
          <w:lang w:val="en-IN"/>
        </w:rPr>
        <w:t xml:space="preserve">. Direct NRAS targeting, as explored in this study, may therefore complement or enhance these approaches by addressing </w:t>
      </w:r>
      <w:r w:rsidRPr="00931410">
        <w:rPr>
          <w:rFonts w:eastAsia="Calibri"/>
          <w:sz w:val="20"/>
          <w:szCs w:val="20"/>
          <w:lang w:val="en-IN"/>
        </w:rPr>
        <w:t xml:space="preserve">the root cause. Natural products account for a substantial proportion of approved anticancer drugs </w:t>
      </w:r>
      <w:r w:rsidRPr="00931410">
        <w:rPr>
          <w:rFonts w:eastAsia="Calibri"/>
          <w:color w:val="0070C0"/>
          <w:sz w:val="20"/>
          <w:szCs w:val="20"/>
          <w:lang w:val="en-IN"/>
        </w:rPr>
        <w:t xml:space="preserve">(Newman &amp; Cragg, 2020). </w:t>
      </w:r>
      <w:r w:rsidRPr="00931410">
        <w:rPr>
          <w:rFonts w:eastAsia="Calibri"/>
          <w:sz w:val="20"/>
          <w:szCs w:val="20"/>
          <w:lang w:val="en-IN"/>
        </w:rPr>
        <w:t xml:space="preserve">Their structural diversity and evolutionary optimisation enable interactions with challenging protein surfaces </w:t>
      </w:r>
      <w:r w:rsidRPr="00931410">
        <w:rPr>
          <w:rFonts w:eastAsia="Calibri"/>
          <w:color w:val="0070C0"/>
          <w:sz w:val="20"/>
          <w:szCs w:val="20"/>
          <w:lang w:val="en-IN"/>
        </w:rPr>
        <w:t xml:space="preserve">(Harvey et al., 2015). </w:t>
      </w:r>
      <w:r w:rsidRPr="00931410">
        <w:rPr>
          <w:rFonts w:eastAsia="Calibri"/>
          <w:sz w:val="20"/>
          <w:szCs w:val="20"/>
          <w:lang w:val="en-IN"/>
        </w:rPr>
        <w:t xml:space="preserve">Our results suggest that natural compounds, with diverse scaffolds and biocompatibility, may offer new chemical starting points to a strategic target in finding novel inhibitors for mutant NRAS. The diversity observed among the top-ranked compounds in this study further underscores the chemical richness of natural product libraries and their suitability for challenging oncogenic targets such as NRAS. Our analysis highlights the importance of conserved residues, </w:t>
      </w:r>
      <w:r w:rsidRPr="00931410">
        <w:rPr>
          <w:rFonts w:eastAsia="Calibri"/>
          <w:sz w:val="20"/>
          <w:szCs w:val="20"/>
          <w:lang w:val="en-IN"/>
        </w:rPr>
        <w:lastRenderedPageBreak/>
        <w:t>which are known to stabilise switch I/II regions and coordinate nucleotide binding. The observation that these residues consistently contributed to ligand stabilisation agrees with prior crystal and biochemical studies on RAS proteins. Although NRAS lacks the reactive cysteine exploited in KRAS G12C</w:t>
      </w:r>
      <w:r w:rsidR="0042045F">
        <w:rPr>
          <w:rFonts w:eastAsia="Calibri"/>
          <w:sz w:val="20"/>
          <w:szCs w:val="20"/>
          <w:lang w:val="en-IN"/>
        </w:rPr>
        <w:t xml:space="preserve"> </w:t>
      </w:r>
      <w:r w:rsidR="0042045F" w:rsidRPr="000123A7">
        <w:rPr>
          <w:rFonts w:eastAsia="Segoe UI"/>
          <w:color w:val="0070C0"/>
          <w:spacing w:val="1"/>
          <w:sz w:val="20"/>
          <w:szCs w:val="20"/>
          <w:lang w:val="en-IN"/>
        </w:rPr>
        <w:t>(</w:t>
      </w:r>
      <w:r w:rsidR="0042045F" w:rsidRPr="002645AF">
        <w:rPr>
          <w:rFonts w:eastAsia="Segoe UI"/>
          <w:color w:val="0070C0"/>
          <w:spacing w:val="1"/>
          <w:sz w:val="20"/>
          <w:szCs w:val="20"/>
          <w:lang w:val="en-IN"/>
        </w:rPr>
        <w:t>Ostrem et al., 2013</w:t>
      </w:r>
      <w:r w:rsidR="0042045F" w:rsidRPr="000123A7">
        <w:rPr>
          <w:rFonts w:eastAsia="Segoe UI"/>
          <w:color w:val="0070C0"/>
          <w:spacing w:val="1"/>
          <w:sz w:val="20"/>
          <w:szCs w:val="20"/>
          <w:lang w:val="en-IN"/>
        </w:rPr>
        <w:t>)</w:t>
      </w:r>
      <w:r w:rsidR="0042045F" w:rsidRPr="002645AF">
        <w:rPr>
          <w:rFonts w:eastAsia="Segoe UI"/>
          <w:color w:val="0070C0"/>
          <w:spacing w:val="1"/>
          <w:sz w:val="20"/>
          <w:szCs w:val="20"/>
          <w:lang w:val="en-IN"/>
        </w:rPr>
        <w:t xml:space="preserve">. </w:t>
      </w:r>
      <w:r w:rsidRPr="00931410">
        <w:rPr>
          <w:rFonts w:eastAsia="Calibri"/>
          <w:sz w:val="20"/>
          <w:szCs w:val="20"/>
          <w:lang w:val="en-IN"/>
        </w:rPr>
        <w:t xml:space="preserve"> inhibitors, these breakthroughs provide conceptual validation that mutation-specific pockets can be therapeutically elevated. Furthermore, accumulating evidence suggests that allosteric modulation of RAS proteins may represent a viable alternative to direct nucleotide competitive inhibition </w:t>
      </w:r>
      <w:r w:rsidRPr="00931410">
        <w:rPr>
          <w:rFonts w:eastAsia="Calibri"/>
          <w:color w:val="0070C0"/>
          <w:sz w:val="20"/>
          <w:szCs w:val="20"/>
          <w:lang w:val="en-IN"/>
        </w:rPr>
        <w:t xml:space="preserve">(Maurer et al., 2012; Welsch et al., 2017). </w:t>
      </w:r>
      <w:r w:rsidRPr="00931410">
        <w:rPr>
          <w:rFonts w:eastAsia="Calibri"/>
          <w:sz w:val="20"/>
          <w:szCs w:val="20"/>
          <w:lang w:val="en-IN"/>
        </w:rPr>
        <w:t>The interaction patterns observed in our analysis, particularly near the switch I and switch II regions, are consistent with previously described transient pockets that regulate effector binding. Nonetheless, the findings presented here are limited by their computational nature. Docking captures a static snapshot of protein</w:t>
      </w:r>
      <w:r w:rsidR="000123A7">
        <w:rPr>
          <w:rFonts w:eastAsia="Calibri"/>
          <w:sz w:val="20"/>
          <w:szCs w:val="20"/>
          <w:lang w:val="en-IN"/>
        </w:rPr>
        <w:t>-</w:t>
      </w:r>
      <w:r w:rsidRPr="00931410">
        <w:rPr>
          <w:rFonts w:eastAsia="Calibri"/>
          <w:sz w:val="20"/>
          <w:szCs w:val="20"/>
          <w:lang w:val="en-IN"/>
        </w:rPr>
        <w:t xml:space="preserve">ligand interactions and does not fully address conformational flexibility. </w:t>
      </w:r>
      <w:r w:rsidRPr="00931410">
        <w:rPr>
          <w:rFonts w:eastAsia="Calibri"/>
          <w:color w:val="0070C0"/>
          <w:sz w:val="20"/>
          <w:szCs w:val="20"/>
          <w:lang w:val="en-IN"/>
        </w:rPr>
        <w:t xml:space="preserve">(Kitchen et al., 2004). </w:t>
      </w:r>
      <w:r w:rsidRPr="00931410">
        <w:rPr>
          <w:rFonts w:eastAsia="Calibri"/>
          <w:sz w:val="20"/>
          <w:szCs w:val="20"/>
          <w:lang w:val="en-IN"/>
        </w:rPr>
        <w:t xml:space="preserve">Future studies incorporating molecular dynamics simulations and free energy calculations would strengthen our understanding of the structural details and energetics of the system that can further enhance the binding predictions </w:t>
      </w:r>
      <w:r w:rsidRPr="00931410">
        <w:rPr>
          <w:rFonts w:eastAsia="Calibri"/>
          <w:color w:val="0070C0"/>
          <w:sz w:val="20"/>
          <w:szCs w:val="20"/>
          <w:lang w:val="en-IN"/>
        </w:rPr>
        <w:t>(Ferreira et al., 2015).</w:t>
      </w:r>
      <w:r w:rsidR="00D54300">
        <w:rPr>
          <w:rFonts w:eastAsia="Calibri"/>
          <w:color w:val="0070C0"/>
          <w:sz w:val="20"/>
          <w:szCs w:val="20"/>
          <w:lang w:val="en-IN"/>
        </w:rPr>
        <w:t xml:space="preserve"> </w:t>
      </w:r>
      <w:r w:rsidRPr="00931410">
        <w:rPr>
          <w:rFonts w:eastAsia="Calibri"/>
          <w:sz w:val="20"/>
          <w:szCs w:val="20"/>
          <w:lang w:val="en-IN"/>
        </w:rPr>
        <w:t>Later experimental validation through biochemical assays and melanoma cell models will be necessary to validate our predictions. Collectively, this study contributes to the expanding efforts aimed at overcoming the challenges associated with direct NRAS inhibition by integrating natural product diversity with structure-based virtual screening.</w:t>
      </w:r>
    </w:p>
    <w:p w14:paraId="7997CFAF" w14:textId="77777777" w:rsidR="00B656D4" w:rsidRDefault="00B656D4" w:rsidP="00931410">
      <w:pPr>
        <w:jc w:val="both"/>
        <w:rPr>
          <w:rFonts w:eastAsia="Calibri"/>
          <w:b/>
          <w:bCs/>
          <w:color w:val="0070C0"/>
          <w:sz w:val="20"/>
          <w:szCs w:val="20"/>
          <w:lang w:val="en-IN"/>
        </w:rPr>
      </w:pPr>
    </w:p>
    <w:p w14:paraId="26FA44C9" w14:textId="29428FEA" w:rsidR="00931410" w:rsidRPr="00931410" w:rsidRDefault="00931410" w:rsidP="00931410">
      <w:pPr>
        <w:jc w:val="both"/>
        <w:rPr>
          <w:rFonts w:eastAsia="Calibri"/>
          <w:sz w:val="20"/>
          <w:szCs w:val="20"/>
          <w:lang w:val="en-IN"/>
        </w:rPr>
      </w:pPr>
      <w:r w:rsidRPr="00931410">
        <w:rPr>
          <w:rFonts w:eastAsia="Calibri"/>
          <w:b/>
          <w:bCs/>
          <w:color w:val="0070C0"/>
          <w:sz w:val="20"/>
          <w:szCs w:val="20"/>
          <w:lang w:val="en-IN"/>
        </w:rPr>
        <w:t>4. CONCLUSION</w:t>
      </w:r>
    </w:p>
    <w:p w14:paraId="6A2DA477" w14:textId="77777777" w:rsidR="00931410" w:rsidRPr="00931410" w:rsidRDefault="00931410" w:rsidP="00931410">
      <w:pPr>
        <w:jc w:val="both"/>
        <w:rPr>
          <w:rFonts w:eastAsia="Calibri"/>
          <w:sz w:val="20"/>
          <w:szCs w:val="20"/>
          <w:lang w:val="en-IN"/>
        </w:rPr>
      </w:pPr>
      <w:r w:rsidRPr="00931410">
        <w:rPr>
          <w:rFonts w:eastAsia="Calibri"/>
          <w:sz w:val="20"/>
          <w:szCs w:val="20"/>
          <w:lang w:val="en-IN"/>
        </w:rPr>
        <w:t> </w:t>
      </w:r>
    </w:p>
    <w:p w14:paraId="740B5413" w14:textId="3488225C" w:rsidR="00931410" w:rsidRPr="00931410" w:rsidRDefault="00931410" w:rsidP="00931410">
      <w:pPr>
        <w:jc w:val="both"/>
        <w:rPr>
          <w:rFonts w:eastAsia="Calibri"/>
          <w:sz w:val="20"/>
          <w:szCs w:val="20"/>
          <w:lang w:val="en-IN"/>
        </w:rPr>
      </w:pPr>
      <w:r w:rsidRPr="00931410">
        <w:rPr>
          <w:rFonts w:eastAsia="Calibri"/>
          <w:sz w:val="20"/>
          <w:szCs w:val="20"/>
          <w:lang w:val="en-IN"/>
        </w:rPr>
        <w:t xml:space="preserve">This study integrates structural modelling, virtual screening and docking to identify potential inhibitors of oncogenic NRAS variants. The mutant models built exhibited high stereochemical quality, enabling reliable analyses. Screening 5,322 natural compounds yielded three guided candidates, namely ZINC02096813, ZINC02120343, and ZINC00518885. They followed strong binding affinities </w:t>
      </w:r>
      <w:r w:rsidR="00824CF0">
        <w:rPr>
          <w:rFonts w:eastAsia="Calibri"/>
          <w:sz w:val="20"/>
          <w:szCs w:val="20"/>
          <w:lang w:val="en-IN"/>
        </w:rPr>
        <w:t xml:space="preserve">between </w:t>
      </w:r>
      <w:r w:rsidRPr="00931410">
        <w:rPr>
          <w:rFonts w:eastAsia="Calibri"/>
          <w:sz w:val="20"/>
          <w:szCs w:val="20"/>
          <w:lang w:val="en-IN"/>
        </w:rPr>
        <w:t xml:space="preserve">conserved catalytic residues </w:t>
      </w:r>
      <w:r w:rsidR="00824CF0">
        <w:rPr>
          <w:rFonts w:eastAsia="Calibri"/>
          <w:sz w:val="20"/>
          <w:szCs w:val="20"/>
          <w:lang w:val="en-IN"/>
        </w:rPr>
        <w:t xml:space="preserve">and </w:t>
      </w:r>
      <w:r w:rsidRPr="00931410">
        <w:rPr>
          <w:rFonts w:eastAsia="Calibri"/>
          <w:sz w:val="20"/>
          <w:szCs w:val="20"/>
          <w:lang w:val="en-IN"/>
        </w:rPr>
        <w:t>mutant sites</w:t>
      </w:r>
      <w:r w:rsidR="006E466E">
        <w:rPr>
          <w:rFonts w:eastAsia="Calibri"/>
          <w:sz w:val="20"/>
          <w:szCs w:val="20"/>
          <w:lang w:val="en-IN"/>
        </w:rPr>
        <w:t xml:space="preserve">. </w:t>
      </w:r>
      <w:r w:rsidRPr="00931410">
        <w:rPr>
          <w:rFonts w:eastAsia="Calibri"/>
          <w:sz w:val="20"/>
          <w:szCs w:val="20"/>
          <w:lang w:val="en-IN"/>
        </w:rPr>
        <w:t>These findings suggest that mutation-induced structural plasticity within NRAS can be strategically exploited for inhibitor development. These results being the initial steps towards finding a novel inhibitor, they provide a foundation for further molecular dynamics simulations and experimental validation towards therapies for NRAS-driven melanoma.</w:t>
      </w:r>
    </w:p>
    <w:p w14:paraId="77596CB4" w14:textId="3402C71B" w:rsidR="004168FE" w:rsidRPr="00863569" w:rsidRDefault="00876E34">
      <w:pPr>
        <w:jc w:val="both"/>
        <w:rPr>
          <w:rFonts w:eastAsia="Calibri"/>
          <w:sz w:val="20"/>
          <w:szCs w:val="20"/>
          <w:lang w:val="en-IN"/>
        </w:rPr>
      </w:pPr>
      <w:r w:rsidRPr="00863569">
        <w:rPr>
          <w:rFonts w:eastAsia="Calibri"/>
          <w:sz w:val="20"/>
          <w:szCs w:val="20"/>
          <w:lang w:val="en-IN"/>
        </w:rPr>
        <w:t xml:space="preserve"> </w:t>
      </w:r>
    </w:p>
    <w:p w14:paraId="5B88AAA3" w14:textId="3E770722" w:rsidR="004631AB" w:rsidRDefault="00000000">
      <w:pPr>
        <w:jc w:val="both"/>
        <w:rPr>
          <w:rFonts w:eastAsia="Calibri"/>
          <w:b/>
          <w:bCs/>
          <w:color w:val="0070C0"/>
          <w:sz w:val="20"/>
          <w:szCs w:val="20"/>
          <w:lang w:val="en-US"/>
        </w:rPr>
      </w:pPr>
      <w:r>
        <w:rPr>
          <w:rFonts w:eastAsia="Calibri"/>
          <w:b/>
          <w:bCs/>
          <w:color w:val="0070C0"/>
          <w:sz w:val="20"/>
          <w:szCs w:val="20"/>
          <w:lang w:val="en-US"/>
        </w:rPr>
        <w:t>Acknowledgements</w:t>
      </w:r>
    </w:p>
    <w:p w14:paraId="25071F76" w14:textId="77777777" w:rsidR="004631AB" w:rsidRDefault="004631AB">
      <w:pPr>
        <w:jc w:val="both"/>
        <w:rPr>
          <w:rFonts w:eastAsia="Calibri"/>
          <w:b/>
          <w:bCs/>
          <w:color w:val="0070C0"/>
          <w:sz w:val="20"/>
          <w:szCs w:val="20"/>
          <w:lang w:val="en-US"/>
        </w:rPr>
      </w:pPr>
    </w:p>
    <w:p w14:paraId="1D4EA917" w14:textId="77777777" w:rsidR="004631AB" w:rsidRDefault="00000000">
      <w:pPr>
        <w:jc w:val="both"/>
        <w:rPr>
          <w:rFonts w:eastAsia="Calibri"/>
          <w:bCs/>
          <w:color w:val="000000" w:themeColor="text1"/>
          <w:sz w:val="20"/>
          <w:szCs w:val="20"/>
          <w:lang w:val="en-US"/>
        </w:rPr>
      </w:pPr>
      <w:r>
        <w:rPr>
          <w:rFonts w:eastAsia="Calibri"/>
          <w:bCs/>
          <w:color w:val="000000" w:themeColor="text1"/>
          <w:sz w:val="20"/>
          <w:szCs w:val="20"/>
          <w:lang w:val="en-US"/>
        </w:rPr>
        <w:t>The authors gratefully acknowledge Dr. Rohan Meshram from Savitribai Phule Pune University for his invaluable guidance and support throughout the study.</w:t>
      </w:r>
    </w:p>
    <w:p w14:paraId="6DB9AC2C" w14:textId="77777777" w:rsidR="004631AB" w:rsidRDefault="004631AB">
      <w:pPr>
        <w:jc w:val="both"/>
        <w:rPr>
          <w:rFonts w:eastAsia="Calibri"/>
          <w:b/>
          <w:bCs/>
          <w:color w:val="0070C0"/>
          <w:sz w:val="20"/>
          <w:szCs w:val="20"/>
        </w:rPr>
      </w:pPr>
    </w:p>
    <w:p w14:paraId="070F0581" w14:textId="77777777" w:rsidR="004631AB" w:rsidRDefault="00000000">
      <w:pPr>
        <w:jc w:val="both"/>
        <w:rPr>
          <w:rFonts w:eastAsia="Calibri"/>
          <w:b/>
          <w:bCs/>
          <w:color w:val="0070C0"/>
          <w:sz w:val="20"/>
          <w:szCs w:val="20"/>
          <w:lang w:val="en-US"/>
        </w:rPr>
      </w:pPr>
      <w:r>
        <w:rPr>
          <w:rFonts w:eastAsia="Calibri"/>
          <w:b/>
          <w:bCs/>
          <w:color w:val="0070C0"/>
          <w:sz w:val="20"/>
          <w:szCs w:val="20"/>
          <w:lang w:val="en-US"/>
        </w:rPr>
        <w:t>Conflict of Interest</w:t>
      </w:r>
    </w:p>
    <w:p w14:paraId="6652E088" w14:textId="77777777" w:rsidR="004631AB" w:rsidRDefault="004631AB">
      <w:pPr>
        <w:jc w:val="both"/>
        <w:rPr>
          <w:rFonts w:eastAsia="Calibri"/>
          <w:b/>
          <w:bCs/>
          <w:color w:val="0070C0"/>
          <w:sz w:val="20"/>
          <w:szCs w:val="20"/>
          <w:lang w:val="en-US"/>
        </w:rPr>
      </w:pPr>
    </w:p>
    <w:p w14:paraId="147CA3DD" w14:textId="77777777" w:rsidR="004631AB" w:rsidRDefault="00000000">
      <w:pPr>
        <w:jc w:val="both"/>
        <w:rPr>
          <w:rFonts w:eastAsia="Calibri"/>
          <w:sz w:val="20"/>
          <w:szCs w:val="20"/>
          <w:lang w:val="en-US"/>
        </w:rPr>
      </w:pPr>
      <w:r>
        <w:rPr>
          <w:rFonts w:eastAsia="Calibri"/>
          <w:sz w:val="20"/>
          <w:szCs w:val="20"/>
          <w:lang w:val="en-US"/>
        </w:rPr>
        <w:t>The authors declare that they have no conflicts of interest.</w:t>
      </w:r>
    </w:p>
    <w:p w14:paraId="0CA722B1" w14:textId="77777777" w:rsidR="004631AB" w:rsidRDefault="004631AB">
      <w:pPr>
        <w:jc w:val="both"/>
        <w:rPr>
          <w:rFonts w:eastAsia="Calibri"/>
          <w:b/>
          <w:color w:val="5B9BD5" w:themeColor="accent5"/>
          <w:sz w:val="20"/>
          <w:szCs w:val="20"/>
          <w:lang w:val="en-US"/>
        </w:rPr>
      </w:pPr>
    </w:p>
    <w:p w14:paraId="1C7E00EA" w14:textId="77777777" w:rsidR="009A6A8F" w:rsidRPr="002645AF" w:rsidRDefault="009A6A8F" w:rsidP="009A6A8F">
      <w:pPr>
        <w:rPr>
          <w:rFonts w:eastAsia="Calibri"/>
          <w:sz w:val="20"/>
          <w:szCs w:val="20"/>
          <w:lang w:val="en-IN"/>
        </w:rPr>
      </w:pPr>
      <w:r w:rsidRPr="002645AF">
        <w:rPr>
          <w:rFonts w:eastAsia="Calibri"/>
          <w:b/>
          <w:bCs/>
          <w:color w:val="0070C0"/>
          <w:sz w:val="20"/>
          <w:szCs w:val="20"/>
          <w:lang w:val="en-IN"/>
        </w:rPr>
        <w:t>Table 1.</w:t>
      </w:r>
      <w:r w:rsidRPr="002645AF">
        <w:rPr>
          <w:rFonts w:eastAsia="Calibri"/>
          <w:color w:val="0070C0"/>
          <w:sz w:val="20"/>
          <w:szCs w:val="20"/>
          <w:lang w:val="en-IN"/>
        </w:rPr>
        <w:t xml:space="preserve"> </w:t>
      </w:r>
      <w:r w:rsidRPr="002645AF">
        <w:rPr>
          <w:rFonts w:eastAsia="Calibri"/>
          <w:sz w:val="20"/>
          <w:szCs w:val="20"/>
          <w:lang w:val="en-IN"/>
        </w:rPr>
        <w:t>Docking results of top-ranking ZINC compounds (binding free energy ≤ –10 kcal/mol), highlighting predicted hydrogen bond donor–acceptor pairs and residues involved in hydrophobic or van der Waals interactions</w:t>
      </w:r>
      <w:r>
        <w:rPr>
          <w:rFonts w:eastAsia="Calibri"/>
          <w:sz w:val="20"/>
          <w:szCs w:val="20"/>
          <w:lang w:val="en-IN"/>
        </w:rPr>
        <w:t>.</w:t>
      </w:r>
    </w:p>
    <w:p w14:paraId="7A1A8325" w14:textId="77777777" w:rsidR="004631AB" w:rsidRPr="009A6A8F" w:rsidRDefault="004631AB">
      <w:pPr>
        <w:jc w:val="both"/>
        <w:rPr>
          <w:rFonts w:eastAsia="Calibri"/>
          <w:bCs/>
          <w:sz w:val="20"/>
          <w:szCs w:val="20"/>
          <w:lang w:val="en-IN"/>
        </w:rPr>
      </w:pPr>
    </w:p>
    <w:p w14:paraId="6683B96E" w14:textId="77777777" w:rsidR="009A6A8F" w:rsidRDefault="009A6A8F" w:rsidP="009A6A8F">
      <w:pPr>
        <w:jc w:val="both"/>
        <w:rPr>
          <w:rFonts w:eastAsia="Segoe UI"/>
          <w:spacing w:val="1"/>
          <w:sz w:val="20"/>
          <w:szCs w:val="20"/>
          <w:lang w:val="en-IN"/>
        </w:rPr>
      </w:pPr>
      <w:r w:rsidRPr="002645AF">
        <w:rPr>
          <w:rFonts w:eastAsia="Segoe UI"/>
          <w:b/>
          <w:bCs/>
          <w:color w:val="0070C0"/>
          <w:spacing w:val="1"/>
          <w:sz w:val="20"/>
          <w:szCs w:val="20"/>
          <w:lang w:val="en-IN"/>
        </w:rPr>
        <w:t>Figure 1.</w:t>
      </w:r>
      <w:r w:rsidRPr="002645AF">
        <w:rPr>
          <w:rFonts w:eastAsia="Segoe UI"/>
          <w:color w:val="0070C0"/>
          <w:spacing w:val="1"/>
          <w:sz w:val="20"/>
          <w:szCs w:val="20"/>
          <w:lang w:val="en-IN"/>
        </w:rPr>
        <w:t xml:space="preserve"> </w:t>
      </w:r>
      <w:r w:rsidRPr="002645AF">
        <w:rPr>
          <w:rFonts w:eastAsia="Segoe UI"/>
          <w:spacing w:val="1"/>
          <w:sz w:val="20"/>
          <w:szCs w:val="20"/>
          <w:lang w:val="en-IN"/>
        </w:rPr>
        <w:t>(A) Protein showing secondary structure elements and residue connectivity. (B) Cartoon representation of the protein and coloured by secondary structure type. (C) Overall model quality plot in PROSA indicating global Z-scores (D) Local quality assessment plot showing per-residue score fluctuations. (E) Ramachandran plot presenting backbone dihedral angle distributions, with most residues occupying favoured regions. (F) Summary of model statistics obtained from the Ramachandran plot.</w:t>
      </w:r>
    </w:p>
    <w:p w14:paraId="607C17A5" w14:textId="77777777" w:rsidR="004631AB" w:rsidRPr="00863569" w:rsidRDefault="004631AB">
      <w:pPr>
        <w:jc w:val="both"/>
        <w:rPr>
          <w:rFonts w:eastAsia="Calibri"/>
          <w:bCs/>
          <w:sz w:val="20"/>
          <w:szCs w:val="20"/>
          <w:lang w:val="en-IN"/>
        </w:rPr>
      </w:pPr>
    </w:p>
    <w:p w14:paraId="0C228E19" w14:textId="77777777" w:rsidR="009A6A8F" w:rsidRPr="002645AF" w:rsidRDefault="009A6A8F" w:rsidP="009A6A8F">
      <w:pPr>
        <w:jc w:val="both"/>
        <w:rPr>
          <w:sz w:val="20"/>
          <w:szCs w:val="20"/>
          <w:lang w:val="en-IN"/>
        </w:rPr>
      </w:pPr>
      <w:r w:rsidRPr="000D2E72">
        <w:rPr>
          <w:b/>
          <w:bCs/>
          <w:color w:val="0070C0"/>
          <w:sz w:val="20"/>
          <w:szCs w:val="20"/>
          <w:lang w:val="en-IN"/>
        </w:rPr>
        <w:t>Figure 2.</w:t>
      </w:r>
      <w:r w:rsidRPr="002645AF">
        <w:rPr>
          <w:color w:val="0070C0"/>
          <w:sz w:val="20"/>
          <w:szCs w:val="20"/>
          <w:lang w:val="en-IN"/>
        </w:rPr>
        <w:t xml:space="preserve"> </w:t>
      </w:r>
      <w:r w:rsidRPr="002645AF">
        <w:rPr>
          <w:sz w:val="20"/>
          <w:szCs w:val="20"/>
          <w:lang w:val="en-IN"/>
        </w:rPr>
        <w:t>Two-dimensional interaction diagrams of the top eleven NRAS ligand complexes generated using LigPlot+. Hydrogen bonds are represented as dashed green lines, while hydrophobic contacts are illustrated as red semicircular arcs. The diagrams highlight conserved and mutant residue interactions within the nucleotide-binding pocket, demonstrating consistent engagement of P-loop and switch-region residues</w:t>
      </w:r>
      <w:r>
        <w:rPr>
          <w:sz w:val="20"/>
          <w:szCs w:val="20"/>
          <w:lang w:val="en-IN"/>
        </w:rPr>
        <w:t>.</w:t>
      </w:r>
    </w:p>
    <w:p w14:paraId="44C5C3FE" w14:textId="77777777" w:rsidR="00B656D4" w:rsidRPr="009A6A8F" w:rsidRDefault="00B656D4">
      <w:pPr>
        <w:jc w:val="both"/>
        <w:rPr>
          <w:rFonts w:eastAsia="Calibri"/>
          <w:b/>
          <w:color w:val="0070C0"/>
          <w:sz w:val="20"/>
          <w:szCs w:val="20"/>
          <w:lang w:val="en-IN"/>
        </w:rPr>
      </w:pPr>
    </w:p>
    <w:p w14:paraId="439F5763" w14:textId="500757F2" w:rsidR="004631AB" w:rsidRDefault="00000000">
      <w:pPr>
        <w:jc w:val="both"/>
        <w:rPr>
          <w:rFonts w:eastAsia="Calibri"/>
          <w:b/>
          <w:color w:val="0070C0"/>
          <w:sz w:val="20"/>
          <w:szCs w:val="20"/>
          <w:lang w:val="en-US"/>
        </w:rPr>
      </w:pPr>
      <w:r>
        <w:rPr>
          <w:rFonts w:eastAsia="Calibri"/>
          <w:b/>
          <w:color w:val="0070C0"/>
          <w:sz w:val="20"/>
          <w:szCs w:val="20"/>
          <w:lang w:val="en-US"/>
        </w:rPr>
        <w:t xml:space="preserve">REFERENCES </w:t>
      </w:r>
    </w:p>
    <w:p w14:paraId="1E07888D" w14:textId="77777777" w:rsidR="004631AB" w:rsidRDefault="004631AB">
      <w:pPr>
        <w:rPr>
          <w:sz w:val="20"/>
          <w:lang w:val="en-US"/>
        </w:rPr>
      </w:pPr>
    </w:p>
    <w:p w14:paraId="25A25161" w14:textId="302F6845" w:rsidR="009A6A8F" w:rsidRPr="009A6A8F" w:rsidRDefault="009A6A8F" w:rsidP="009A6A8F">
      <w:pPr>
        <w:rPr>
          <w:sz w:val="20"/>
          <w:lang w:val="en-IN"/>
        </w:rPr>
      </w:pPr>
      <w:r w:rsidRPr="009A6A8F">
        <w:rPr>
          <w:sz w:val="20"/>
          <w:lang w:val="en-IN"/>
        </w:rPr>
        <w:t xml:space="preserve">Al Mahi, A., &amp; </w:t>
      </w:r>
      <w:proofErr w:type="spellStart"/>
      <w:r w:rsidRPr="009A6A8F">
        <w:rPr>
          <w:sz w:val="20"/>
          <w:lang w:val="en-IN"/>
        </w:rPr>
        <w:t>Ablain</w:t>
      </w:r>
      <w:proofErr w:type="spellEnd"/>
      <w:r w:rsidRPr="009A6A8F">
        <w:rPr>
          <w:sz w:val="20"/>
          <w:lang w:val="en-IN"/>
        </w:rPr>
        <w:t xml:space="preserve">, J. (2022). RAS pathway regulation in melanoma. Disease Models &amp; Mechanisms, 15(2), dmm049229. </w:t>
      </w:r>
      <w:hyperlink r:id="rId32" w:history="1">
        <w:r w:rsidRPr="003601D4">
          <w:rPr>
            <w:rStyle w:val="Hyperlink"/>
            <w:sz w:val="20"/>
            <w:lang w:val="en-IN"/>
          </w:rPr>
          <w:t>https://doi.org/10.1242/dmm.049229</w:t>
        </w:r>
      </w:hyperlink>
      <w:r>
        <w:rPr>
          <w:sz w:val="20"/>
          <w:lang w:val="en-IN"/>
        </w:rPr>
        <w:t xml:space="preserve"> </w:t>
      </w:r>
    </w:p>
    <w:p w14:paraId="5F18C30A" w14:textId="77777777" w:rsidR="009A6A8F" w:rsidRPr="009A6A8F" w:rsidRDefault="009A6A8F" w:rsidP="009A6A8F">
      <w:pPr>
        <w:rPr>
          <w:sz w:val="20"/>
          <w:lang w:val="en-IN"/>
        </w:rPr>
      </w:pPr>
    </w:p>
    <w:p w14:paraId="53FF3770" w14:textId="21221AB0" w:rsidR="009A6A8F" w:rsidRPr="009A6A8F" w:rsidRDefault="009A6A8F" w:rsidP="009A6A8F">
      <w:pPr>
        <w:rPr>
          <w:sz w:val="20"/>
          <w:lang w:val="en-IN"/>
        </w:rPr>
      </w:pPr>
      <w:r w:rsidRPr="009A6A8F">
        <w:rPr>
          <w:sz w:val="20"/>
          <w:lang w:val="en-IN"/>
        </w:rPr>
        <w:t xml:space="preserve">Ardito, C. M., Grüner, B. M., Takeuchi, K. K., </w:t>
      </w:r>
      <w:proofErr w:type="spellStart"/>
      <w:r w:rsidRPr="009A6A8F">
        <w:rPr>
          <w:sz w:val="20"/>
          <w:lang w:val="en-IN"/>
        </w:rPr>
        <w:t>Lubeseder</w:t>
      </w:r>
      <w:proofErr w:type="spellEnd"/>
      <w:r w:rsidRPr="009A6A8F">
        <w:rPr>
          <w:sz w:val="20"/>
          <w:lang w:val="en-IN"/>
        </w:rPr>
        <w:t xml:space="preserve">-Martellato, C., Teichmann, N., Mazur, P. K., DelGiorno, K. E., Carpenter, E. S., Halbrook, C. J., Hall, J. C., et al. (2012). EGF receptor is required for KRAS-induced pancreatic tumorigenesis. Cancer Cell, 22(3), 304–317. </w:t>
      </w:r>
      <w:hyperlink r:id="rId33" w:history="1">
        <w:r w:rsidRPr="003601D4">
          <w:rPr>
            <w:rStyle w:val="Hyperlink"/>
            <w:sz w:val="20"/>
            <w:lang w:val="en-IN"/>
          </w:rPr>
          <w:t>https://doi.org/10.1016/j.ccr.2012.07.024</w:t>
        </w:r>
      </w:hyperlink>
      <w:r>
        <w:rPr>
          <w:sz w:val="20"/>
          <w:lang w:val="en-IN"/>
        </w:rPr>
        <w:t xml:space="preserve"> </w:t>
      </w:r>
    </w:p>
    <w:p w14:paraId="00FEB79B" w14:textId="77777777" w:rsidR="009A6A8F" w:rsidRPr="009A6A8F" w:rsidRDefault="009A6A8F" w:rsidP="009A6A8F">
      <w:pPr>
        <w:rPr>
          <w:sz w:val="20"/>
          <w:lang w:val="en-IN"/>
        </w:rPr>
      </w:pPr>
    </w:p>
    <w:p w14:paraId="46D668B6" w14:textId="00AC75E3" w:rsidR="009A6A8F" w:rsidRDefault="009A6A8F" w:rsidP="009A6A8F">
      <w:pPr>
        <w:rPr>
          <w:sz w:val="20"/>
          <w:lang w:val="en-IN"/>
        </w:rPr>
      </w:pPr>
      <w:proofErr w:type="spellStart"/>
      <w:r w:rsidRPr="009A6A8F">
        <w:rPr>
          <w:sz w:val="20"/>
          <w:lang w:val="en-IN"/>
        </w:rPr>
        <w:t>Ascierto</w:t>
      </w:r>
      <w:proofErr w:type="spellEnd"/>
      <w:r w:rsidRPr="009A6A8F">
        <w:rPr>
          <w:sz w:val="20"/>
          <w:lang w:val="en-IN"/>
        </w:rPr>
        <w:t xml:space="preserve">, P. A., </w:t>
      </w:r>
      <w:proofErr w:type="spellStart"/>
      <w:r w:rsidRPr="009A6A8F">
        <w:rPr>
          <w:sz w:val="20"/>
          <w:lang w:val="en-IN"/>
        </w:rPr>
        <w:t>Schadendorf</w:t>
      </w:r>
      <w:proofErr w:type="spellEnd"/>
      <w:r w:rsidRPr="009A6A8F">
        <w:rPr>
          <w:sz w:val="20"/>
          <w:lang w:val="en-IN"/>
        </w:rPr>
        <w:t xml:space="preserve">, D., </w:t>
      </w:r>
      <w:proofErr w:type="spellStart"/>
      <w:r w:rsidRPr="009A6A8F">
        <w:rPr>
          <w:sz w:val="20"/>
          <w:lang w:val="en-IN"/>
        </w:rPr>
        <w:t>Berking</w:t>
      </w:r>
      <w:proofErr w:type="spellEnd"/>
      <w:r w:rsidRPr="009A6A8F">
        <w:rPr>
          <w:sz w:val="20"/>
          <w:lang w:val="en-IN"/>
        </w:rPr>
        <w:t xml:space="preserve">, C., Agarwala, S. S., van </w:t>
      </w:r>
      <w:proofErr w:type="spellStart"/>
      <w:r w:rsidRPr="009A6A8F">
        <w:rPr>
          <w:sz w:val="20"/>
          <w:lang w:val="en-IN"/>
        </w:rPr>
        <w:t>Herpen</w:t>
      </w:r>
      <w:proofErr w:type="spellEnd"/>
      <w:r w:rsidRPr="009A6A8F">
        <w:rPr>
          <w:sz w:val="20"/>
          <w:lang w:val="en-IN"/>
        </w:rPr>
        <w:t xml:space="preserve">, C. M., Queirolo, P., Blank, C. U., Hauschild, A., Beck, J. T., St-Pierre, A., et al. (2013). MEK162 for patients with advanced melanoma harbouring NRAS or BRAF mutations: A non-randomised, open-label phase 2 study. The Lancet Oncology, 14(3), 249–256. </w:t>
      </w:r>
      <w:hyperlink r:id="rId34" w:history="1">
        <w:r w:rsidRPr="003601D4">
          <w:rPr>
            <w:rStyle w:val="Hyperlink"/>
            <w:sz w:val="20"/>
            <w:lang w:val="en-IN"/>
          </w:rPr>
          <w:t>https://doi.org/10.1016/S1470-2045(13)70024-X</w:t>
        </w:r>
      </w:hyperlink>
      <w:r>
        <w:rPr>
          <w:sz w:val="20"/>
          <w:lang w:val="en-IN"/>
        </w:rPr>
        <w:t xml:space="preserve"> </w:t>
      </w:r>
    </w:p>
    <w:p w14:paraId="3E65AD2C" w14:textId="77777777" w:rsidR="00DF69E3" w:rsidRDefault="00DF69E3" w:rsidP="009A6A8F">
      <w:pPr>
        <w:rPr>
          <w:sz w:val="20"/>
          <w:lang w:val="en-IN"/>
        </w:rPr>
      </w:pPr>
    </w:p>
    <w:p w14:paraId="630F8DE7" w14:textId="4C90C664" w:rsidR="00DF69E3" w:rsidRPr="009A6A8F" w:rsidRDefault="00DF69E3" w:rsidP="009A6A8F">
      <w:pPr>
        <w:rPr>
          <w:sz w:val="20"/>
          <w:lang w:val="en-IN"/>
        </w:rPr>
      </w:pPr>
      <w:r w:rsidRPr="00DF69E3">
        <w:rPr>
          <w:sz w:val="20"/>
        </w:rPr>
        <w:t xml:space="preserve">Başar, Y., Yenigün, S., Gül, F., Özen, T., Demirtaş, İ., Alma, M. H., &amp; Temel, S. (2024). Phytochemical profiling, molecular docking and ADMET prediction of crude extract of </w:t>
      </w:r>
      <w:r w:rsidRPr="00DF69E3">
        <w:rPr>
          <w:i/>
          <w:iCs/>
          <w:sz w:val="20"/>
        </w:rPr>
        <w:t>Atriplex nitens</w:t>
      </w:r>
      <w:r w:rsidRPr="00DF69E3">
        <w:rPr>
          <w:sz w:val="20"/>
        </w:rPr>
        <w:t xml:space="preserve"> Schkuhr for the </w:t>
      </w:r>
      <w:r w:rsidRPr="00DF69E3">
        <w:rPr>
          <w:sz w:val="20"/>
        </w:rPr>
        <w:lastRenderedPageBreak/>
        <w:t xml:space="preserve">screening of antioxidant and urease inhibitory activity. </w:t>
      </w:r>
      <w:r w:rsidRPr="00DF69E3">
        <w:rPr>
          <w:i/>
          <w:iCs/>
          <w:sz w:val="20"/>
        </w:rPr>
        <w:t>International Journal of Chemistry and Technology</w:t>
      </w:r>
      <w:r w:rsidRPr="00DF69E3">
        <w:rPr>
          <w:sz w:val="20"/>
        </w:rPr>
        <w:t xml:space="preserve">, 8(1), 60–68. </w:t>
      </w:r>
      <w:r>
        <w:rPr>
          <w:sz w:val="20"/>
        </w:rPr>
        <w:fldChar w:fldCharType="begin"/>
      </w:r>
      <w:r>
        <w:rPr>
          <w:sz w:val="20"/>
        </w:rPr>
        <w:instrText>HYPERLINK "</w:instrText>
      </w:r>
      <w:r w:rsidRPr="00DF69E3">
        <w:rPr>
          <w:sz w:val="20"/>
        </w:rPr>
        <w:instrText>https://doi.org/10.32571/ijct.1389719</w:instrText>
      </w:r>
      <w:r>
        <w:rPr>
          <w:sz w:val="20"/>
        </w:rPr>
        <w:instrText>"</w:instrText>
      </w:r>
      <w:r>
        <w:rPr>
          <w:sz w:val="20"/>
        </w:rPr>
        <w:fldChar w:fldCharType="separate"/>
      </w:r>
      <w:r w:rsidRPr="00F70F64">
        <w:rPr>
          <w:rStyle w:val="Hyperlink"/>
          <w:sz w:val="20"/>
        </w:rPr>
        <w:t>https://doi.org/10.32571/ijct.1389719</w:t>
      </w:r>
      <w:r>
        <w:rPr>
          <w:sz w:val="20"/>
        </w:rPr>
        <w:fldChar w:fldCharType="end"/>
      </w:r>
      <w:r>
        <w:rPr>
          <w:sz w:val="20"/>
        </w:rPr>
        <w:t xml:space="preserve"> </w:t>
      </w:r>
    </w:p>
    <w:p w14:paraId="2A7BD8D3" w14:textId="77777777" w:rsidR="009A6A8F" w:rsidRPr="009A6A8F" w:rsidRDefault="009A6A8F" w:rsidP="009A6A8F">
      <w:pPr>
        <w:rPr>
          <w:sz w:val="20"/>
          <w:lang w:val="en-IN"/>
        </w:rPr>
      </w:pPr>
    </w:p>
    <w:p w14:paraId="0250CB8A" w14:textId="474289DD" w:rsidR="009A6A8F" w:rsidRPr="009A6A8F" w:rsidRDefault="009A6A8F" w:rsidP="009A6A8F">
      <w:pPr>
        <w:rPr>
          <w:sz w:val="20"/>
          <w:lang w:val="en-IN"/>
        </w:rPr>
      </w:pPr>
      <w:r w:rsidRPr="009A6A8F">
        <w:rPr>
          <w:sz w:val="20"/>
          <w:lang w:val="en-IN"/>
        </w:rPr>
        <w:t xml:space="preserve">Cancer Genome Atlas Network. (2015). Genomic classification of cutaneous melanoma. Cell, 161(7), 1681–1696. </w:t>
      </w:r>
      <w:hyperlink r:id="rId35" w:history="1">
        <w:r w:rsidRPr="003601D4">
          <w:rPr>
            <w:rStyle w:val="Hyperlink"/>
            <w:sz w:val="20"/>
            <w:lang w:val="en-IN"/>
          </w:rPr>
          <w:t>https://doi.org/10.1016/j.cell.2015.05.044</w:t>
        </w:r>
      </w:hyperlink>
      <w:r>
        <w:rPr>
          <w:sz w:val="20"/>
          <w:lang w:val="en-IN"/>
        </w:rPr>
        <w:t xml:space="preserve"> </w:t>
      </w:r>
    </w:p>
    <w:p w14:paraId="709D2BB2" w14:textId="77777777" w:rsidR="009A6A8F" w:rsidRPr="009A6A8F" w:rsidRDefault="009A6A8F" w:rsidP="009A6A8F">
      <w:pPr>
        <w:rPr>
          <w:sz w:val="20"/>
          <w:lang w:val="en-IN"/>
        </w:rPr>
      </w:pPr>
    </w:p>
    <w:p w14:paraId="58A23F34" w14:textId="197783E9" w:rsidR="009A6A8F" w:rsidRPr="009A6A8F" w:rsidRDefault="009A6A8F" w:rsidP="009A6A8F">
      <w:pPr>
        <w:rPr>
          <w:sz w:val="20"/>
          <w:lang w:val="en-IN"/>
        </w:rPr>
      </w:pPr>
      <w:r w:rsidRPr="009A6A8F">
        <w:rPr>
          <w:sz w:val="20"/>
          <w:lang w:val="en-IN"/>
        </w:rPr>
        <w:t xml:space="preserve">Cancer.Net Editorial Board. (2025). Melanoma: Stages. American Society of Clinical Oncology. </w:t>
      </w:r>
      <w:hyperlink r:id="rId36" w:history="1">
        <w:r w:rsidRPr="003601D4">
          <w:rPr>
            <w:rStyle w:val="Hyperlink"/>
            <w:sz w:val="20"/>
            <w:lang w:val="en-IN"/>
          </w:rPr>
          <w:t>https://www.cancer.net</w:t>
        </w:r>
      </w:hyperlink>
      <w:r>
        <w:rPr>
          <w:sz w:val="20"/>
          <w:lang w:val="en-IN"/>
        </w:rPr>
        <w:t xml:space="preserve"> </w:t>
      </w:r>
    </w:p>
    <w:p w14:paraId="635FA241" w14:textId="77777777" w:rsidR="009A6A8F" w:rsidRPr="009A6A8F" w:rsidRDefault="009A6A8F" w:rsidP="009A6A8F">
      <w:pPr>
        <w:rPr>
          <w:sz w:val="20"/>
          <w:lang w:val="en-IN"/>
        </w:rPr>
      </w:pPr>
    </w:p>
    <w:p w14:paraId="66E074D2" w14:textId="2217AE9E" w:rsidR="009A6A8F" w:rsidRPr="009A6A8F" w:rsidRDefault="009A6A8F" w:rsidP="009A6A8F">
      <w:pPr>
        <w:rPr>
          <w:sz w:val="20"/>
          <w:lang w:val="en-IN"/>
        </w:rPr>
      </w:pPr>
      <w:r w:rsidRPr="009A6A8F">
        <w:rPr>
          <w:sz w:val="20"/>
          <w:lang w:val="en-IN"/>
        </w:rPr>
        <w:t xml:space="preserve">Cherfils, J., &amp; </w:t>
      </w:r>
      <w:proofErr w:type="spellStart"/>
      <w:r w:rsidRPr="009A6A8F">
        <w:rPr>
          <w:sz w:val="20"/>
          <w:lang w:val="en-IN"/>
        </w:rPr>
        <w:t>Zeghouf</w:t>
      </w:r>
      <w:proofErr w:type="spellEnd"/>
      <w:r w:rsidRPr="009A6A8F">
        <w:rPr>
          <w:sz w:val="20"/>
          <w:lang w:val="en-IN"/>
        </w:rPr>
        <w:t xml:space="preserve">, M. (2013). Regulation of small GTPases by GEFs, GAPs, and GDIs. Physiological Reviews, 93(1), 269–309. </w:t>
      </w:r>
      <w:hyperlink r:id="rId37" w:history="1">
        <w:r w:rsidRPr="003601D4">
          <w:rPr>
            <w:rStyle w:val="Hyperlink"/>
            <w:sz w:val="20"/>
            <w:lang w:val="en-IN"/>
          </w:rPr>
          <w:t>https://doi.org/10.1152/physrev.00003.2012</w:t>
        </w:r>
      </w:hyperlink>
      <w:r>
        <w:rPr>
          <w:sz w:val="20"/>
          <w:lang w:val="en-IN"/>
        </w:rPr>
        <w:t xml:space="preserve"> </w:t>
      </w:r>
    </w:p>
    <w:p w14:paraId="4BEE9AFE" w14:textId="77777777" w:rsidR="009A6A8F" w:rsidRPr="009A6A8F" w:rsidRDefault="009A6A8F" w:rsidP="009A6A8F">
      <w:pPr>
        <w:rPr>
          <w:sz w:val="20"/>
          <w:lang w:val="en-IN"/>
        </w:rPr>
      </w:pPr>
    </w:p>
    <w:p w14:paraId="1BBCE209" w14:textId="14492F05" w:rsidR="009A6A8F" w:rsidRPr="009A6A8F" w:rsidRDefault="009A6A8F" w:rsidP="009A6A8F">
      <w:pPr>
        <w:rPr>
          <w:sz w:val="20"/>
          <w:lang w:val="en-IN"/>
        </w:rPr>
      </w:pPr>
      <w:r w:rsidRPr="009A6A8F">
        <w:rPr>
          <w:sz w:val="20"/>
          <w:lang w:val="en-IN"/>
        </w:rPr>
        <w:t xml:space="preserve">Cox, A. D., </w:t>
      </w:r>
      <w:proofErr w:type="spellStart"/>
      <w:r w:rsidRPr="009A6A8F">
        <w:rPr>
          <w:sz w:val="20"/>
          <w:lang w:val="en-IN"/>
        </w:rPr>
        <w:t>Fesik</w:t>
      </w:r>
      <w:proofErr w:type="spellEnd"/>
      <w:r w:rsidRPr="009A6A8F">
        <w:rPr>
          <w:sz w:val="20"/>
          <w:lang w:val="en-IN"/>
        </w:rPr>
        <w:t xml:space="preserve">, S. W., Kimmelman, A. C., Luo, J., &amp; Der, C. J. (2014). Drugging the undruggable RAS: Mission possible? Nature Reviews Drug Discovery, 13(11), 828–851. </w:t>
      </w:r>
      <w:hyperlink r:id="rId38" w:history="1">
        <w:r w:rsidRPr="003601D4">
          <w:rPr>
            <w:rStyle w:val="Hyperlink"/>
            <w:sz w:val="20"/>
            <w:lang w:val="en-IN"/>
          </w:rPr>
          <w:t>https://doi.org/10.1038/nrd4389</w:t>
        </w:r>
      </w:hyperlink>
      <w:r>
        <w:rPr>
          <w:sz w:val="20"/>
          <w:lang w:val="en-IN"/>
        </w:rPr>
        <w:t xml:space="preserve"> </w:t>
      </w:r>
    </w:p>
    <w:p w14:paraId="38382BFE" w14:textId="77777777" w:rsidR="009A6A8F" w:rsidRPr="009A6A8F" w:rsidRDefault="009A6A8F" w:rsidP="009A6A8F">
      <w:pPr>
        <w:rPr>
          <w:sz w:val="20"/>
          <w:lang w:val="en-IN"/>
        </w:rPr>
      </w:pPr>
    </w:p>
    <w:p w14:paraId="3947F030" w14:textId="0B009E85" w:rsidR="009A6A8F" w:rsidRPr="009A6A8F" w:rsidRDefault="009A6A8F" w:rsidP="009A6A8F">
      <w:pPr>
        <w:rPr>
          <w:sz w:val="20"/>
          <w:lang w:val="en-IN"/>
        </w:rPr>
      </w:pPr>
      <w:proofErr w:type="spellStart"/>
      <w:r w:rsidRPr="009A6A8F">
        <w:rPr>
          <w:sz w:val="20"/>
          <w:lang w:val="en-IN"/>
        </w:rPr>
        <w:t>Dallakyan</w:t>
      </w:r>
      <w:proofErr w:type="spellEnd"/>
      <w:r w:rsidRPr="009A6A8F">
        <w:rPr>
          <w:sz w:val="20"/>
          <w:lang w:val="en-IN"/>
        </w:rPr>
        <w:t xml:space="preserve">, S., &amp; Olson, A. J. (2015). Small-molecule library screening by docking with </w:t>
      </w:r>
      <w:proofErr w:type="spellStart"/>
      <w:r w:rsidRPr="009A6A8F">
        <w:rPr>
          <w:sz w:val="20"/>
          <w:lang w:val="en-IN"/>
        </w:rPr>
        <w:t>PyRx</w:t>
      </w:r>
      <w:proofErr w:type="spellEnd"/>
      <w:r w:rsidRPr="009A6A8F">
        <w:rPr>
          <w:sz w:val="20"/>
          <w:lang w:val="en-IN"/>
        </w:rPr>
        <w:t xml:space="preserve">. Methods in Molecular Biology, 1263, 243–250. </w:t>
      </w:r>
      <w:hyperlink r:id="rId39" w:history="1">
        <w:r w:rsidRPr="003601D4">
          <w:rPr>
            <w:rStyle w:val="Hyperlink"/>
            <w:sz w:val="20"/>
            <w:lang w:val="en-IN"/>
          </w:rPr>
          <w:t>https://doi.org/10.1007/978-1-4939-2269-7_19</w:t>
        </w:r>
      </w:hyperlink>
      <w:r>
        <w:rPr>
          <w:sz w:val="20"/>
          <w:lang w:val="en-IN"/>
        </w:rPr>
        <w:t xml:space="preserve"> </w:t>
      </w:r>
    </w:p>
    <w:p w14:paraId="17D62387" w14:textId="77777777" w:rsidR="009A6A8F" w:rsidRPr="009A6A8F" w:rsidRDefault="009A6A8F" w:rsidP="009A6A8F">
      <w:pPr>
        <w:rPr>
          <w:sz w:val="20"/>
          <w:lang w:val="en-IN"/>
        </w:rPr>
      </w:pPr>
    </w:p>
    <w:p w14:paraId="0D1DAD77" w14:textId="4774C9F7" w:rsidR="009A6A8F" w:rsidRPr="001E0171" w:rsidRDefault="009A6A8F" w:rsidP="009A6A8F">
      <w:pPr>
        <w:rPr>
          <w:sz w:val="20"/>
          <w:lang w:val="en-IN"/>
        </w:rPr>
      </w:pPr>
      <w:r w:rsidRPr="001E0171">
        <w:rPr>
          <w:sz w:val="20"/>
          <w:lang w:val="pt-BR"/>
        </w:rPr>
        <w:t xml:space="preserve">Ferreira, L. G., Dos Santos, R. N., Oliva, G., &amp; Andricopulo, A. D. (2015). </w:t>
      </w:r>
      <w:r w:rsidRPr="009A6A8F">
        <w:rPr>
          <w:sz w:val="20"/>
          <w:lang w:val="en-IN"/>
        </w:rPr>
        <w:t xml:space="preserve">Molecular docking and structure-based drug design strategies. </w:t>
      </w:r>
      <w:r w:rsidRPr="001E0171">
        <w:rPr>
          <w:sz w:val="20"/>
          <w:lang w:val="en-IN"/>
        </w:rPr>
        <w:t xml:space="preserve">Molecules, 20(7), 13384–13421. </w:t>
      </w:r>
      <w:hyperlink r:id="rId40" w:history="1">
        <w:r w:rsidRPr="001E0171">
          <w:rPr>
            <w:rStyle w:val="Hyperlink"/>
            <w:sz w:val="20"/>
            <w:lang w:val="en-IN"/>
          </w:rPr>
          <w:t>https://doi.org/10.3390/molecules200713384</w:t>
        </w:r>
      </w:hyperlink>
      <w:r w:rsidRPr="001E0171">
        <w:rPr>
          <w:sz w:val="20"/>
          <w:lang w:val="en-IN"/>
        </w:rPr>
        <w:t xml:space="preserve"> </w:t>
      </w:r>
    </w:p>
    <w:p w14:paraId="46946348" w14:textId="77777777" w:rsidR="009A6A8F" w:rsidRPr="001E0171" w:rsidRDefault="009A6A8F" w:rsidP="009A6A8F">
      <w:pPr>
        <w:rPr>
          <w:sz w:val="20"/>
          <w:lang w:val="en-IN"/>
        </w:rPr>
      </w:pPr>
    </w:p>
    <w:p w14:paraId="45B18BB6" w14:textId="7B84EAFA" w:rsidR="009A6A8F" w:rsidRPr="009A6A8F" w:rsidRDefault="009A6A8F" w:rsidP="009A6A8F">
      <w:pPr>
        <w:rPr>
          <w:sz w:val="20"/>
          <w:lang w:val="en-IN"/>
        </w:rPr>
      </w:pPr>
      <w:r w:rsidRPr="009A6A8F">
        <w:rPr>
          <w:sz w:val="20"/>
          <w:lang w:val="pt-BR"/>
        </w:rPr>
        <w:t xml:space="preserve">Harvey, A. L., Edrada-Ebel, R., &amp; Quinn, R. J. (2015). </w:t>
      </w:r>
      <w:r w:rsidRPr="009A6A8F">
        <w:rPr>
          <w:sz w:val="20"/>
          <w:lang w:val="en-IN"/>
        </w:rPr>
        <w:t xml:space="preserve">The re-emergence of natural products for drug discovery in the genomics era. Nature Reviews Drug Discovery, 14, 111–129. </w:t>
      </w:r>
      <w:hyperlink r:id="rId41" w:history="1">
        <w:r w:rsidRPr="003601D4">
          <w:rPr>
            <w:rStyle w:val="Hyperlink"/>
            <w:sz w:val="20"/>
            <w:lang w:val="en-IN"/>
          </w:rPr>
          <w:t>https://doi.org/10.1038/nrd4510</w:t>
        </w:r>
      </w:hyperlink>
      <w:r>
        <w:rPr>
          <w:sz w:val="20"/>
          <w:lang w:val="en-IN"/>
        </w:rPr>
        <w:t xml:space="preserve"> </w:t>
      </w:r>
    </w:p>
    <w:p w14:paraId="474994B1" w14:textId="77777777" w:rsidR="009A6A8F" w:rsidRPr="009A6A8F" w:rsidRDefault="009A6A8F" w:rsidP="009A6A8F">
      <w:pPr>
        <w:rPr>
          <w:sz w:val="20"/>
          <w:lang w:val="en-IN"/>
        </w:rPr>
      </w:pPr>
    </w:p>
    <w:p w14:paraId="6CDA2064" w14:textId="290504D0" w:rsidR="009A6A8F" w:rsidRPr="009A6A8F" w:rsidRDefault="009A6A8F" w:rsidP="009A6A8F">
      <w:pPr>
        <w:rPr>
          <w:sz w:val="20"/>
          <w:lang w:val="en-IN"/>
        </w:rPr>
      </w:pPr>
      <w:r w:rsidRPr="009A6A8F">
        <w:rPr>
          <w:sz w:val="20"/>
          <w:lang w:val="en-IN"/>
        </w:rPr>
        <w:t xml:space="preserve">Howe, L. R., </w:t>
      </w:r>
      <w:proofErr w:type="spellStart"/>
      <w:r w:rsidRPr="009A6A8F">
        <w:rPr>
          <w:sz w:val="20"/>
          <w:lang w:val="en-IN"/>
        </w:rPr>
        <w:t>Leevers</w:t>
      </w:r>
      <w:proofErr w:type="spellEnd"/>
      <w:r w:rsidRPr="009A6A8F">
        <w:rPr>
          <w:sz w:val="20"/>
          <w:lang w:val="en-IN"/>
        </w:rPr>
        <w:t xml:space="preserve">, S. J., Gómez, N., </w:t>
      </w:r>
      <w:proofErr w:type="spellStart"/>
      <w:r w:rsidRPr="009A6A8F">
        <w:rPr>
          <w:sz w:val="20"/>
          <w:lang w:val="en-IN"/>
        </w:rPr>
        <w:t>Nakielny</w:t>
      </w:r>
      <w:proofErr w:type="spellEnd"/>
      <w:r w:rsidRPr="009A6A8F">
        <w:rPr>
          <w:sz w:val="20"/>
          <w:lang w:val="en-IN"/>
        </w:rPr>
        <w:t xml:space="preserve">, S., Cohen, P., &amp; Marshall, C. J. (1992). Activation of the MAP kinase pathway by the protein kinase Raf. Cell, 71(2), 335–342. </w:t>
      </w:r>
      <w:hyperlink r:id="rId42" w:history="1">
        <w:r w:rsidRPr="003601D4">
          <w:rPr>
            <w:rStyle w:val="Hyperlink"/>
            <w:sz w:val="20"/>
            <w:lang w:val="en-IN"/>
          </w:rPr>
          <w:t>https://doi.org/10.1016/0092-8674(92)90362-3</w:t>
        </w:r>
      </w:hyperlink>
      <w:r>
        <w:rPr>
          <w:sz w:val="20"/>
          <w:lang w:val="en-IN"/>
        </w:rPr>
        <w:t xml:space="preserve"> </w:t>
      </w:r>
    </w:p>
    <w:p w14:paraId="07199138" w14:textId="77777777" w:rsidR="009A6A8F" w:rsidRPr="009A6A8F" w:rsidRDefault="009A6A8F" w:rsidP="009A6A8F">
      <w:pPr>
        <w:rPr>
          <w:sz w:val="20"/>
          <w:lang w:val="en-IN"/>
        </w:rPr>
      </w:pPr>
    </w:p>
    <w:p w14:paraId="7AE4D29A" w14:textId="2EE2266B" w:rsidR="009A6A8F" w:rsidRPr="001E0171" w:rsidRDefault="009A6A8F" w:rsidP="009A6A8F">
      <w:pPr>
        <w:rPr>
          <w:sz w:val="20"/>
          <w:lang w:val="it-IT"/>
        </w:rPr>
      </w:pPr>
      <w:r w:rsidRPr="009A6A8F">
        <w:rPr>
          <w:sz w:val="20"/>
          <w:lang w:val="en-IN"/>
        </w:rPr>
        <w:t xml:space="preserve">Hu, Z., &amp; Martí, J. (2025). Atomic-level mechanisms of abnormal activation in NRAS oncogenes from two-dimensional free energy landscapes. </w:t>
      </w:r>
      <w:r w:rsidRPr="001E0171">
        <w:rPr>
          <w:sz w:val="20"/>
          <w:lang w:val="it-IT"/>
        </w:rPr>
        <w:t xml:space="preserve">Nanoscale, 17, 1–12. </w:t>
      </w:r>
      <w:r>
        <w:fldChar w:fldCharType="begin"/>
      </w:r>
      <w:r>
        <w:instrText>HYPERLINK "https://doi.org/10.1039/D4NR03372H"</w:instrText>
      </w:r>
      <w:r>
        <w:fldChar w:fldCharType="separate"/>
      </w:r>
      <w:r w:rsidRPr="001E0171">
        <w:rPr>
          <w:rStyle w:val="Hyperlink"/>
          <w:sz w:val="20"/>
          <w:lang w:val="it-IT"/>
        </w:rPr>
        <w:t>https://doi.org/10.1039/D4NR03372H</w:t>
      </w:r>
      <w:r>
        <w:fldChar w:fldCharType="end"/>
      </w:r>
      <w:r w:rsidRPr="001E0171">
        <w:rPr>
          <w:sz w:val="20"/>
          <w:lang w:val="it-IT"/>
        </w:rPr>
        <w:t xml:space="preserve"> </w:t>
      </w:r>
    </w:p>
    <w:p w14:paraId="3770662A" w14:textId="77777777" w:rsidR="009A6A8F" w:rsidRPr="001E0171" w:rsidRDefault="009A6A8F" w:rsidP="009A6A8F">
      <w:pPr>
        <w:rPr>
          <w:sz w:val="20"/>
          <w:lang w:val="it-IT"/>
        </w:rPr>
      </w:pPr>
    </w:p>
    <w:p w14:paraId="665E88C0" w14:textId="02750B67" w:rsidR="009A6A8F" w:rsidRPr="009A6A8F" w:rsidRDefault="009A6A8F" w:rsidP="009A6A8F">
      <w:pPr>
        <w:rPr>
          <w:sz w:val="20"/>
          <w:lang w:val="en-IN"/>
        </w:rPr>
      </w:pPr>
      <w:r w:rsidRPr="001E0171">
        <w:rPr>
          <w:sz w:val="20"/>
          <w:lang w:val="it-IT"/>
        </w:rPr>
        <w:t xml:space="preserve">Irwin, J. J., &amp; Shoichet, B. K. (2005). </w:t>
      </w:r>
      <w:r w:rsidRPr="009A6A8F">
        <w:rPr>
          <w:sz w:val="20"/>
          <w:lang w:val="en-IN"/>
        </w:rPr>
        <w:t xml:space="preserve">ZINC — A free database of commercially available compounds for virtual screening. Journal of Chemical Information and </w:t>
      </w:r>
      <w:proofErr w:type="spellStart"/>
      <w:r w:rsidRPr="009A6A8F">
        <w:rPr>
          <w:sz w:val="20"/>
          <w:lang w:val="en-IN"/>
        </w:rPr>
        <w:t>Modeling</w:t>
      </w:r>
      <w:proofErr w:type="spellEnd"/>
      <w:r w:rsidRPr="009A6A8F">
        <w:rPr>
          <w:sz w:val="20"/>
          <w:lang w:val="en-IN"/>
        </w:rPr>
        <w:t xml:space="preserve">, 45(1), 177–182. </w:t>
      </w:r>
      <w:hyperlink r:id="rId43" w:history="1">
        <w:r w:rsidRPr="003601D4">
          <w:rPr>
            <w:rStyle w:val="Hyperlink"/>
            <w:sz w:val="20"/>
            <w:lang w:val="en-IN"/>
          </w:rPr>
          <w:t>https://doi.org/10.1021/ci049714</w:t>
        </w:r>
      </w:hyperlink>
      <w:r w:rsidRPr="009A6A8F">
        <w:rPr>
          <w:sz w:val="20"/>
          <w:lang w:val="en-IN"/>
        </w:rPr>
        <w:t>+</w:t>
      </w:r>
      <w:r>
        <w:rPr>
          <w:sz w:val="20"/>
          <w:lang w:val="en-IN"/>
        </w:rPr>
        <w:t xml:space="preserve"> </w:t>
      </w:r>
    </w:p>
    <w:p w14:paraId="53B11BF8" w14:textId="77777777" w:rsidR="009A6A8F" w:rsidRPr="009A6A8F" w:rsidRDefault="009A6A8F" w:rsidP="009A6A8F">
      <w:pPr>
        <w:rPr>
          <w:sz w:val="20"/>
          <w:lang w:val="en-IN"/>
        </w:rPr>
      </w:pPr>
    </w:p>
    <w:p w14:paraId="4C8ADA5A" w14:textId="37BD4DA7" w:rsidR="009A6A8F" w:rsidRPr="009A6A8F" w:rsidRDefault="009A6A8F" w:rsidP="009A6A8F">
      <w:pPr>
        <w:rPr>
          <w:sz w:val="20"/>
          <w:lang w:val="en-IN"/>
        </w:rPr>
      </w:pPr>
      <w:r w:rsidRPr="009A6A8F">
        <w:rPr>
          <w:sz w:val="20"/>
          <w:lang w:val="en-IN"/>
        </w:rPr>
        <w:t xml:space="preserve">Johnson, C. W., Reid, D., Parker, J. A., Harrison, R. A., Weston, L., Peti, W., et al. (2017). The small GTPases </w:t>
      </w:r>
      <w:r w:rsidRPr="009A6A8F">
        <w:rPr>
          <w:sz w:val="20"/>
          <w:lang w:val="en-IN"/>
        </w:rPr>
        <w:t xml:space="preserve">K-Ras, N-Ras, and H-Ras have distinct biochemical properties determined by allosteric effects. Journal of Biological Chemistry, 292(31), 12981–12993. </w:t>
      </w:r>
      <w:hyperlink r:id="rId44" w:history="1">
        <w:r w:rsidRPr="003601D4">
          <w:rPr>
            <w:rStyle w:val="Hyperlink"/>
            <w:sz w:val="20"/>
            <w:lang w:val="en-IN"/>
          </w:rPr>
          <w:t>https://doi.org/10.1074/jbc.M117.778886</w:t>
        </w:r>
      </w:hyperlink>
      <w:r>
        <w:rPr>
          <w:sz w:val="20"/>
          <w:lang w:val="en-IN"/>
        </w:rPr>
        <w:t xml:space="preserve"> </w:t>
      </w:r>
    </w:p>
    <w:p w14:paraId="05E77FB2" w14:textId="77777777" w:rsidR="009A6A8F" w:rsidRPr="009A6A8F" w:rsidRDefault="009A6A8F" w:rsidP="009A6A8F">
      <w:pPr>
        <w:rPr>
          <w:sz w:val="20"/>
          <w:lang w:val="en-IN"/>
        </w:rPr>
      </w:pPr>
    </w:p>
    <w:p w14:paraId="1D1A90B4" w14:textId="75B38766" w:rsidR="009A6A8F" w:rsidRPr="009A6A8F" w:rsidRDefault="009A6A8F" w:rsidP="009A6A8F">
      <w:pPr>
        <w:rPr>
          <w:sz w:val="20"/>
          <w:lang w:val="en-IN"/>
        </w:rPr>
      </w:pPr>
      <w:r w:rsidRPr="009A6A8F">
        <w:rPr>
          <w:sz w:val="20"/>
          <w:lang w:val="en-IN"/>
        </w:rPr>
        <w:t xml:space="preserve">Johnson, D. B., &amp; Puzanov, I. (2015). Treatment of NRAS-mutant melanoma. Current Treatment Options in Oncology, 16(4), 15. </w:t>
      </w:r>
      <w:hyperlink r:id="rId45" w:history="1">
        <w:r w:rsidRPr="003601D4">
          <w:rPr>
            <w:rStyle w:val="Hyperlink"/>
            <w:sz w:val="20"/>
            <w:lang w:val="en-IN"/>
          </w:rPr>
          <w:t>https://doi.org/10.1007/s11864-015-0330-z</w:t>
        </w:r>
      </w:hyperlink>
      <w:r>
        <w:rPr>
          <w:sz w:val="20"/>
          <w:lang w:val="en-IN"/>
        </w:rPr>
        <w:t xml:space="preserve"> </w:t>
      </w:r>
    </w:p>
    <w:p w14:paraId="1F2E1658" w14:textId="77777777" w:rsidR="009A6A8F" w:rsidRPr="009A6A8F" w:rsidRDefault="009A6A8F" w:rsidP="009A6A8F">
      <w:pPr>
        <w:rPr>
          <w:sz w:val="20"/>
          <w:lang w:val="en-IN"/>
        </w:rPr>
      </w:pPr>
    </w:p>
    <w:p w14:paraId="461BF659" w14:textId="63B4B35A" w:rsidR="009A6A8F" w:rsidRPr="009A6A8F" w:rsidRDefault="009A6A8F" w:rsidP="009A6A8F">
      <w:pPr>
        <w:rPr>
          <w:sz w:val="20"/>
          <w:lang w:val="en-IN"/>
        </w:rPr>
      </w:pPr>
      <w:proofErr w:type="spellStart"/>
      <w:r w:rsidRPr="009A6A8F">
        <w:rPr>
          <w:sz w:val="20"/>
          <w:lang w:val="en-IN"/>
        </w:rPr>
        <w:t>Kanehisa</w:t>
      </w:r>
      <w:proofErr w:type="spellEnd"/>
      <w:r w:rsidRPr="009A6A8F">
        <w:rPr>
          <w:sz w:val="20"/>
          <w:lang w:val="en-IN"/>
        </w:rPr>
        <w:t xml:space="preserve">, M., &amp; Goto, S. (2000). KEGG: Kyoto </w:t>
      </w:r>
      <w:proofErr w:type="spellStart"/>
      <w:r w:rsidRPr="009A6A8F">
        <w:rPr>
          <w:sz w:val="20"/>
          <w:lang w:val="en-IN"/>
        </w:rPr>
        <w:t>encyclopedia</w:t>
      </w:r>
      <w:proofErr w:type="spellEnd"/>
      <w:r w:rsidRPr="009A6A8F">
        <w:rPr>
          <w:sz w:val="20"/>
          <w:lang w:val="en-IN"/>
        </w:rPr>
        <w:t xml:space="preserve"> of genes and genomes. Nucleic Acids Research, 28(1), 27–30. </w:t>
      </w:r>
      <w:hyperlink r:id="rId46" w:history="1">
        <w:r w:rsidRPr="003601D4">
          <w:rPr>
            <w:rStyle w:val="Hyperlink"/>
            <w:sz w:val="20"/>
            <w:lang w:val="en-IN"/>
          </w:rPr>
          <w:t>https://doi.org/10.1093/nar/28.1.27</w:t>
        </w:r>
      </w:hyperlink>
      <w:r>
        <w:rPr>
          <w:sz w:val="20"/>
          <w:lang w:val="en-IN"/>
        </w:rPr>
        <w:t xml:space="preserve"> </w:t>
      </w:r>
    </w:p>
    <w:p w14:paraId="39C6A001" w14:textId="77777777" w:rsidR="009A6A8F" w:rsidRPr="009A6A8F" w:rsidRDefault="009A6A8F" w:rsidP="009A6A8F">
      <w:pPr>
        <w:rPr>
          <w:sz w:val="20"/>
          <w:lang w:val="en-IN"/>
        </w:rPr>
      </w:pPr>
    </w:p>
    <w:p w14:paraId="13F520E1" w14:textId="2A5CDB7B" w:rsidR="009A6A8F" w:rsidRPr="001E0171" w:rsidRDefault="009A6A8F" w:rsidP="009A6A8F">
      <w:pPr>
        <w:rPr>
          <w:sz w:val="20"/>
          <w:lang w:val="it-IT"/>
        </w:rPr>
      </w:pPr>
      <w:r w:rsidRPr="009A6A8F">
        <w:rPr>
          <w:sz w:val="20"/>
          <w:lang w:val="en-IN"/>
        </w:rPr>
        <w:t xml:space="preserve">Kitchen, D. B., </w:t>
      </w:r>
      <w:proofErr w:type="spellStart"/>
      <w:r w:rsidRPr="009A6A8F">
        <w:rPr>
          <w:sz w:val="20"/>
          <w:lang w:val="en-IN"/>
        </w:rPr>
        <w:t>Decornez</w:t>
      </w:r>
      <w:proofErr w:type="spellEnd"/>
      <w:r w:rsidRPr="009A6A8F">
        <w:rPr>
          <w:sz w:val="20"/>
          <w:lang w:val="en-IN"/>
        </w:rPr>
        <w:t xml:space="preserve">, H., Furr, J. R., &amp; </w:t>
      </w:r>
      <w:proofErr w:type="spellStart"/>
      <w:r w:rsidRPr="009A6A8F">
        <w:rPr>
          <w:sz w:val="20"/>
          <w:lang w:val="en-IN"/>
        </w:rPr>
        <w:t>Bajorath</w:t>
      </w:r>
      <w:proofErr w:type="spellEnd"/>
      <w:r w:rsidRPr="009A6A8F">
        <w:rPr>
          <w:sz w:val="20"/>
          <w:lang w:val="en-IN"/>
        </w:rPr>
        <w:t xml:space="preserve">, J. (2004). Docking and scoring in virtual screening for drug discovery. Nature Reviews Drug Discovery, 3(11), 935–949. </w:t>
      </w:r>
      <w:hyperlink r:id="rId47" w:history="1">
        <w:r w:rsidRPr="001E0171">
          <w:rPr>
            <w:rStyle w:val="Hyperlink"/>
            <w:sz w:val="20"/>
            <w:lang w:val="it-IT"/>
          </w:rPr>
          <w:t>https://doi.org/10.1038/nrd1549</w:t>
        </w:r>
      </w:hyperlink>
      <w:r w:rsidRPr="001E0171">
        <w:rPr>
          <w:sz w:val="20"/>
          <w:lang w:val="it-IT"/>
        </w:rPr>
        <w:t xml:space="preserve"> </w:t>
      </w:r>
    </w:p>
    <w:p w14:paraId="3DFB1B66" w14:textId="77777777" w:rsidR="009A6A8F" w:rsidRPr="001E0171" w:rsidRDefault="009A6A8F" w:rsidP="009A6A8F">
      <w:pPr>
        <w:rPr>
          <w:sz w:val="20"/>
          <w:lang w:val="it-IT"/>
        </w:rPr>
      </w:pPr>
    </w:p>
    <w:p w14:paraId="6556F2B7" w14:textId="7AFC0A4E" w:rsidR="009A6A8F" w:rsidRPr="009A6A8F" w:rsidRDefault="009A6A8F" w:rsidP="009A6A8F">
      <w:pPr>
        <w:rPr>
          <w:sz w:val="20"/>
          <w:lang w:val="en-IN"/>
        </w:rPr>
      </w:pPr>
      <w:r w:rsidRPr="009A6A8F">
        <w:rPr>
          <w:sz w:val="20"/>
          <w:lang w:val="it-IT"/>
        </w:rPr>
        <w:t xml:space="preserve">Kolch, W., Berta, D., &amp; Rosta, E. (2023). </w:t>
      </w:r>
      <w:r w:rsidRPr="009A6A8F">
        <w:rPr>
          <w:sz w:val="20"/>
          <w:lang w:val="en-IN"/>
        </w:rPr>
        <w:t xml:space="preserve">Molecular mechanisms of RAF kinase regulation. Biochemical Journal, 480(1), 1–23. </w:t>
      </w:r>
      <w:hyperlink r:id="rId48" w:history="1">
        <w:r w:rsidRPr="003601D4">
          <w:rPr>
            <w:rStyle w:val="Hyperlink"/>
            <w:sz w:val="20"/>
            <w:lang w:val="en-IN"/>
          </w:rPr>
          <w:t>https://doi.org/10.1042/BCJ20220547</w:t>
        </w:r>
      </w:hyperlink>
      <w:r>
        <w:rPr>
          <w:sz w:val="20"/>
          <w:lang w:val="en-IN"/>
        </w:rPr>
        <w:t xml:space="preserve"> </w:t>
      </w:r>
    </w:p>
    <w:p w14:paraId="53AA4E71" w14:textId="77777777" w:rsidR="009A6A8F" w:rsidRPr="009A6A8F" w:rsidRDefault="009A6A8F" w:rsidP="009A6A8F">
      <w:pPr>
        <w:rPr>
          <w:sz w:val="20"/>
          <w:lang w:val="en-IN"/>
        </w:rPr>
      </w:pPr>
    </w:p>
    <w:p w14:paraId="47901779" w14:textId="6EF243B0" w:rsidR="009A6A8F" w:rsidRPr="009A6A8F" w:rsidRDefault="009A6A8F" w:rsidP="009A6A8F">
      <w:pPr>
        <w:rPr>
          <w:sz w:val="20"/>
          <w:lang w:val="en-IN"/>
        </w:rPr>
      </w:pPr>
      <w:proofErr w:type="spellStart"/>
      <w:r w:rsidRPr="009A6A8F">
        <w:rPr>
          <w:sz w:val="20"/>
          <w:lang w:val="en-IN"/>
        </w:rPr>
        <w:t>Lagorce</w:t>
      </w:r>
      <w:proofErr w:type="spellEnd"/>
      <w:r w:rsidRPr="009A6A8F">
        <w:rPr>
          <w:sz w:val="20"/>
          <w:lang w:val="en-IN"/>
        </w:rPr>
        <w:t xml:space="preserve">, D., </w:t>
      </w:r>
      <w:proofErr w:type="spellStart"/>
      <w:r w:rsidRPr="009A6A8F">
        <w:rPr>
          <w:sz w:val="20"/>
          <w:lang w:val="en-IN"/>
        </w:rPr>
        <w:t>Bouslama</w:t>
      </w:r>
      <w:proofErr w:type="spellEnd"/>
      <w:r w:rsidRPr="009A6A8F">
        <w:rPr>
          <w:sz w:val="20"/>
          <w:lang w:val="en-IN"/>
        </w:rPr>
        <w:t xml:space="preserve">, L., </w:t>
      </w:r>
      <w:proofErr w:type="spellStart"/>
      <w:r w:rsidRPr="009A6A8F">
        <w:rPr>
          <w:sz w:val="20"/>
          <w:lang w:val="en-IN"/>
        </w:rPr>
        <w:t>Becot</w:t>
      </w:r>
      <w:proofErr w:type="spellEnd"/>
      <w:r w:rsidRPr="009A6A8F">
        <w:rPr>
          <w:sz w:val="20"/>
          <w:lang w:val="en-IN"/>
        </w:rPr>
        <w:t xml:space="preserve">, J., Ménard, P., &amp; </w:t>
      </w:r>
      <w:proofErr w:type="spellStart"/>
      <w:r w:rsidRPr="009A6A8F">
        <w:rPr>
          <w:sz w:val="20"/>
          <w:lang w:val="en-IN"/>
        </w:rPr>
        <w:t>Villoutreix</w:t>
      </w:r>
      <w:proofErr w:type="spellEnd"/>
      <w:r w:rsidRPr="009A6A8F">
        <w:rPr>
          <w:sz w:val="20"/>
          <w:lang w:val="en-IN"/>
        </w:rPr>
        <w:t xml:space="preserve">, B. O. (2017). FAF-Drugs4: Free ADME-tox filtering computations for chemical biology and early stages drug discovery. Bioinformatics, 33(22), 3658–3660. </w:t>
      </w:r>
      <w:hyperlink r:id="rId49" w:history="1">
        <w:r w:rsidRPr="003601D4">
          <w:rPr>
            <w:rStyle w:val="Hyperlink"/>
            <w:sz w:val="20"/>
            <w:lang w:val="en-IN"/>
          </w:rPr>
          <w:t>https://doi.org/10.1093/bioinformatics/btx491</w:t>
        </w:r>
      </w:hyperlink>
      <w:r>
        <w:rPr>
          <w:sz w:val="20"/>
          <w:lang w:val="en-IN"/>
        </w:rPr>
        <w:t xml:space="preserve"> </w:t>
      </w:r>
    </w:p>
    <w:p w14:paraId="7DE14F4D" w14:textId="77777777" w:rsidR="009A6A8F" w:rsidRPr="009A6A8F" w:rsidRDefault="009A6A8F" w:rsidP="009A6A8F">
      <w:pPr>
        <w:rPr>
          <w:sz w:val="20"/>
          <w:lang w:val="en-IN"/>
        </w:rPr>
      </w:pPr>
    </w:p>
    <w:p w14:paraId="3388F221" w14:textId="6EE375F7" w:rsidR="009A6A8F" w:rsidRPr="009A6A8F" w:rsidRDefault="009A6A8F" w:rsidP="009A6A8F">
      <w:pPr>
        <w:rPr>
          <w:sz w:val="20"/>
          <w:lang w:val="en-IN"/>
        </w:rPr>
      </w:pPr>
      <w:r w:rsidRPr="009A6A8F">
        <w:rPr>
          <w:sz w:val="20"/>
          <w:lang w:val="en-IN"/>
        </w:rPr>
        <w:t xml:space="preserve">Laskowski, R. A., MacArthur, M. W., Moss, D. S., &amp; Thornton, J. M. (1993). PROCHECK: A program to check the stereochemical quality of protein structures. Journal of Applied Crystallography, 26, 283–291. </w:t>
      </w:r>
      <w:hyperlink r:id="rId50" w:history="1">
        <w:r w:rsidRPr="003601D4">
          <w:rPr>
            <w:rStyle w:val="Hyperlink"/>
            <w:sz w:val="20"/>
            <w:lang w:val="en-IN"/>
          </w:rPr>
          <w:t>https://doi.org/10.1107/S0021889892009944</w:t>
        </w:r>
      </w:hyperlink>
      <w:r>
        <w:rPr>
          <w:sz w:val="20"/>
          <w:lang w:val="en-IN"/>
        </w:rPr>
        <w:t xml:space="preserve"> </w:t>
      </w:r>
    </w:p>
    <w:p w14:paraId="27BDB90D" w14:textId="77777777" w:rsidR="009A6A8F" w:rsidRPr="009A6A8F" w:rsidRDefault="009A6A8F" w:rsidP="009A6A8F">
      <w:pPr>
        <w:rPr>
          <w:sz w:val="20"/>
          <w:lang w:val="en-IN"/>
        </w:rPr>
      </w:pPr>
    </w:p>
    <w:p w14:paraId="6C059DA0" w14:textId="1D2FCF68" w:rsidR="009A6A8F" w:rsidRPr="009A6A8F" w:rsidRDefault="009A6A8F" w:rsidP="009A6A8F">
      <w:pPr>
        <w:rPr>
          <w:sz w:val="20"/>
          <w:lang w:val="en-IN"/>
        </w:rPr>
      </w:pPr>
      <w:r w:rsidRPr="009A6A8F">
        <w:rPr>
          <w:sz w:val="20"/>
          <w:lang w:val="en-IN"/>
        </w:rPr>
        <w:t xml:space="preserve">Laskowski, R. A., &amp; Swindells, M. B. (2011). LigPlot+: Multiple ligand–protein interaction diagrams for drug discovery. Journal of Chemical Information and </w:t>
      </w:r>
      <w:proofErr w:type="spellStart"/>
      <w:r w:rsidRPr="009A6A8F">
        <w:rPr>
          <w:sz w:val="20"/>
          <w:lang w:val="en-IN"/>
        </w:rPr>
        <w:t>Modeling</w:t>
      </w:r>
      <w:proofErr w:type="spellEnd"/>
      <w:r w:rsidRPr="009A6A8F">
        <w:rPr>
          <w:sz w:val="20"/>
          <w:lang w:val="en-IN"/>
        </w:rPr>
        <w:t xml:space="preserve">, 51(10), 2778–2786. </w:t>
      </w:r>
      <w:hyperlink r:id="rId51" w:history="1">
        <w:r w:rsidRPr="003601D4">
          <w:rPr>
            <w:rStyle w:val="Hyperlink"/>
            <w:sz w:val="20"/>
            <w:lang w:val="en-IN"/>
          </w:rPr>
          <w:t>https://doi.org/10.1021/ci200227u</w:t>
        </w:r>
      </w:hyperlink>
      <w:r>
        <w:rPr>
          <w:sz w:val="20"/>
          <w:lang w:val="en-IN"/>
        </w:rPr>
        <w:t xml:space="preserve"> </w:t>
      </w:r>
    </w:p>
    <w:p w14:paraId="2E7CE176" w14:textId="77777777" w:rsidR="009A6A8F" w:rsidRPr="009A6A8F" w:rsidRDefault="009A6A8F" w:rsidP="009A6A8F">
      <w:pPr>
        <w:rPr>
          <w:sz w:val="20"/>
          <w:lang w:val="en-IN"/>
        </w:rPr>
      </w:pPr>
    </w:p>
    <w:p w14:paraId="07E239B9" w14:textId="5A08A951" w:rsidR="009A6A8F" w:rsidRPr="009A6A8F" w:rsidRDefault="009A6A8F" w:rsidP="009A6A8F">
      <w:pPr>
        <w:rPr>
          <w:sz w:val="20"/>
          <w:lang w:val="en-IN"/>
        </w:rPr>
      </w:pPr>
      <w:r w:rsidRPr="009A6A8F">
        <w:rPr>
          <w:sz w:val="20"/>
          <w:lang w:val="en-IN"/>
        </w:rPr>
        <w:t xml:space="preserve">Li, G., &amp; Zhang, X. C. (2004). GTP hydrolysis mechanism of Ras-like GTPases. Journal of Molecular Biology, 340(5), 921–932. </w:t>
      </w:r>
      <w:hyperlink r:id="rId52" w:history="1">
        <w:r w:rsidRPr="003601D4">
          <w:rPr>
            <w:rStyle w:val="Hyperlink"/>
            <w:sz w:val="20"/>
            <w:lang w:val="en-IN"/>
          </w:rPr>
          <w:t>https://doi.org/10.1016/j.jmb.2004.05.079</w:t>
        </w:r>
      </w:hyperlink>
      <w:r>
        <w:rPr>
          <w:sz w:val="20"/>
          <w:lang w:val="en-IN"/>
        </w:rPr>
        <w:t xml:space="preserve"> </w:t>
      </w:r>
    </w:p>
    <w:p w14:paraId="0CCD171F" w14:textId="77777777" w:rsidR="009A6A8F" w:rsidRPr="009A6A8F" w:rsidRDefault="009A6A8F" w:rsidP="009A6A8F">
      <w:pPr>
        <w:rPr>
          <w:sz w:val="20"/>
          <w:lang w:val="en-IN"/>
        </w:rPr>
      </w:pPr>
    </w:p>
    <w:p w14:paraId="32FCBA7B" w14:textId="7F6167A4" w:rsidR="009A6A8F" w:rsidRPr="009A6A8F" w:rsidRDefault="009A6A8F" w:rsidP="009A6A8F">
      <w:pPr>
        <w:rPr>
          <w:sz w:val="20"/>
          <w:lang w:val="en-IN"/>
        </w:rPr>
      </w:pPr>
      <w:r w:rsidRPr="009A6A8F">
        <w:rPr>
          <w:sz w:val="20"/>
          <w:lang w:val="en-IN"/>
        </w:rPr>
        <w:t xml:space="preserve">Li, S., Balmain, A., &amp; Counter, C. M. (2018). A model for RAS mutation patterns in cancers: Finding the sweet spot. Nature Reviews Cancer, 18(12), 767–777. </w:t>
      </w:r>
      <w:hyperlink r:id="rId53" w:history="1">
        <w:r w:rsidRPr="003601D4">
          <w:rPr>
            <w:rStyle w:val="Hyperlink"/>
            <w:sz w:val="20"/>
            <w:lang w:val="en-IN"/>
          </w:rPr>
          <w:t>https://doi.org/10.1038/s41568-018-0076-6</w:t>
        </w:r>
      </w:hyperlink>
      <w:r>
        <w:rPr>
          <w:sz w:val="20"/>
          <w:lang w:val="en-IN"/>
        </w:rPr>
        <w:t xml:space="preserve"> </w:t>
      </w:r>
    </w:p>
    <w:p w14:paraId="248ADFB2" w14:textId="77777777" w:rsidR="009A6A8F" w:rsidRPr="009A6A8F" w:rsidRDefault="009A6A8F" w:rsidP="009A6A8F">
      <w:pPr>
        <w:rPr>
          <w:sz w:val="20"/>
          <w:lang w:val="en-IN"/>
        </w:rPr>
      </w:pPr>
    </w:p>
    <w:p w14:paraId="7EB46F6D" w14:textId="1C524726" w:rsidR="009A6A8F" w:rsidRPr="009A6A8F" w:rsidRDefault="009A6A8F" w:rsidP="009A6A8F">
      <w:pPr>
        <w:rPr>
          <w:sz w:val="20"/>
          <w:lang w:val="en-IN"/>
        </w:rPr>
      </w:pPr>
      <w:r w:rsidRPr="009A6A8F">
        <w:rPr>
          <w:sz w:val="20"/>
          <w:lang w:val="en-IN"/>
        </w:rPr>
        <w:t xml:space="preserve">Maurer, T., </w:t>
      </w:r>
      <w:proofErr w:type="spellStart"/>
      <w:r w:rsidRPr="009A6A8F">
        <w:rPr>
          <w:sz w:val="20"/>
          <w:lang w:val="en-IN"/>
        </w:rPr>
        <w:t>Garrenton</w:t>
      </w:r>
      <w:proofErr w:type="spellEnd"/>
      <w:r w:rsidRPr="009A6A8F">
        <w:rPr>
          <w:sz w:val="20"/>
          <w:lang w:val="en-IN"/>
        </w:rPr>
        <w:t xml:space="preserve">, L. S., Oh, A., Pitts, K., Anderson, D. J., Skelton, N. J., Fauber, B. P., Pan, B., Malek, S., Stokoe, D., et al. (2012). Small-molecule ligands bind to a distinct pocket in Ras and inhibit SOS-mediated nucleotide exchange activity. Proceedings of </w:t>
      </w:r>
      <w:r w:rsidRPr="009A6A8F">
        <w:rPr>
          <w:sz w:val="20"/>
          <w:lang w:val="en-IN"/>
        </w:rPr>
        <w:lastRenderedPageBreak/>
        <w:t xml:space="preserve">the National Academy of Sciences USA, 109(14), 5299–5304. </w:t>
      </w:r>
      <w:hyperlink r:id="rId54" w:history="1">
        <w:r w:rsidRPr="003601D4">
          <w:rPr>
            <w:rStyle w:val="Hyperlink"/>
            <w:sz w:val="20"/>
            <w:lang w:val="en-IN"/>
          </w:rPr>
          <w:t>https://doi.org/10.1073/pnas.1116510109</w:t>
        </w:r>
      </w:hyperlink>
      <w:r>
        <w:rPr>
          <w:sz w:val="20"/>
          <w:lang w:val="en-IN"/>
        </w:rPr>
        <w:t xml:space="preserve"> </w:t>
      </w:r>
    </w:p>
    <w:p w14:paraId="6B23988A" w14:textId="77777777" w:rsidR="009A6A8F" w:rsidRPr="009A6A8F" w:rsidRDefault="009A6A8F" w:rsidP="009A6A8F">
      <w:pPr>
        <w:rPr>
          <w:sz w:val="20"/>
          <w:lang w:val="en-IN"/>
        </w:rPr>
      </w:pPr>
    </w:p>
    <w:p w14:paraId="4F9FCE5C" w14:textId="6346ABAB" w:rsidR="009A6A8F" w:rsidRPr="009A6A8F" w:rsidRDefault="009A6A8F" w:rsidP="009A6A8F">
      <w:pPr>
        <w:rPr>
          <w:sz w:val="20"/>
          <w:lang w:val="en-IN"/>
        </w:rPr>
      </w:pPr>
      <w:r w:rsidRPr="009A6A8F">
        <w:rPr>
          <w:sz w:val="20"/>
          <w:lang w:val="en-IN"/>
        </w:rPr>
        <w:t xml:space="preserve">McCormick, F. (2015). KRAS as a therapeutic target. Clinical Cancer Research, 21(8), 1797–1801. </w:t>
      </w:r>
      <w:hyperlink r:id="rId55" w:history="1">
        <w:r w:rsidRPr="003601D4">
          <w:rPr>
            <w:rStyle w:val="Hyperlink"/>
            <w:sz w:val="20"/>
            <w:lang w:val="en-IN"/>
          </w:rPr>
          <w:t>https://doi.org/10.1158/1078-0432.CCR-14-2662</w:t>
        </w:r>
      </w:hyperlink>
      <w:r>
        <w:rPr>
          <w:sz w:val="20"/>
          <w:lang w:val="en-IN"/>
        </w:rPr>
        <w:t xml:space="preserve"> </w:t>
      </w:r>
    </w:p>
    <w:p w14:paraId="40BC6C60" w14:textId="77777777" w:rsidR="009A6A8F" w:rsidRPr="009A6A8F" w:rsidRDefault="009A6A8F" w:rsidP="009A6A8F">
      <w:pPr>
        <w:rPr>
          <w:sz w:val="20"/>
          <w:lang w:val="en-IN"/>
        </w:rPr>
      </w:pPr>
    </w:p>
    <w:p w14:paraId="17966742" w14:textId="01029A61" w:rsidR="009A6A8F" w:rsidRPr="009A6A8F" w:rsidRDefault="009A6A8F" w:rsidP="009A6A8F">
      <w:pPr>
        <w:rPr>
          <w:sz w:val="20"/>
          <w:lang w:val="en-IN"/>
        </w:rPr>
      </w:pPr>
      <w:r w:rsidRPr="009A6A8F">
        <w:rPr>
          <w:sz w:val="20"/>
          <w:lang w:val="en-IN"/>
        </w:rPr>
        <w:t xml:space="preserve">Moore, A. R., Rosenberg, S. C., McCormick, F., &amp; Malek, S. (2020). RAS-targeted therapies: Is the undruggable drugged? Nature Reviews Drug Discovery, 19(8), 533–552. </w:t>
      </w:r>
      <w:hyperlink r:id="rId56" w:history="1">
        <w:r w:rsidRPr="003601D4">
          <w:rPr>
            <w:rStyle w:val="Hyperlink"/>
            <w:sz w:val="20"/>
            <w:lang w:val="en-IN"/>
          </w:rPr>
          <w:t>https://doi.org/10.1038/s41573-020-0068-6</w:t>
        </w:r>
      </w:hyperlink>
      <w:r>
        <w:rPr>
          <w:sz w:val="20"/>
          <w:lang w:val="en-IN"/>
        </w:rPr>
        <w:t xml:space="preserve"> </w:t>
      </w:r>
    </w:p>
    <w:p w14:paraId="0004144A" w14:textId="77777777" w:rsidR="009A6A8F" w:rsidRPr="009A6A8F" w:rsidRDefault="009A6A8F" w:rsidP="009A6A8F">
      <w:pPr>
        <w:rPr>
          <w:sz w:val="20"/>
          <w:lang w:val="en-IN"/>
        </w:rPr>
      </w:pPr>
    </w:p>
    <w:p w14:paraId="378B0F09" w14:textId="16706B52" w:rsidR="009A6A8F" w:rsidRPr="009A6A8F" w:rsidRDefault="009A6A8F" w:rsidP="009A6A8F">
      <w:pPr>
        <w:rPr>
          <w:sz w:val="20"/>
          <w:lang w:val="en-IN"/>
        </w:rPr>
      </w:pPr>
      <w:r w:rsidRPr="009A6A8F">
        <w:rPr>
          <w:sz w:val="20"/>
          <w:lang w:val="en-IN"/>
        </w:rPr>
        <w:t xml:space="preserve">Morris, G. M., Huey, R., Lindstrom, W., Sanner, M. F., Belew, R. K., Goodsell, D. S., &amp; Olson, A. J. (2009). AutoDock4 and AutoDockTools4: Automated docking with selective receptor flexibility. Journal of Computational Chemistry, 30(16), 2785–2791. </w:t>
      </w:r>
      <w:hyperlink r:id="rId57" w:history="1">
        <w:r w:rsidRPr="003601D4">
          <w:rPr>
            <w:rStyle w:val="Hyperlink"/>
            <w:sz w:val="20"/>
            <w:lang w:val="en-IN"/>
          </w:rPr>
          <w:t>https://doi.org/10.1002/jcc.21256</w:t>
        </w:r>
      </w:hyperlink>
      <w:r>
        <w:rPr>
          <w:sz w:val="20"/>
          <w:lang w:val="en-IN"/>
        </w:rPr>
        <w:t xml:space="preserve"> </w:t>
      </w:r>
    </w:p>
    <w:p w14:paraId="6CCC8FEE" w14:textId="77777777" w:rsidR="009A6A8F" w:rsidRPr="009A6A8F" w:rsidRDefault="009A6A8F" w:rsidP="009A6A8F">
      <w:pPr>
        <w:rPr>
          <w:sz w:val="20"/>
          <w:lang w:val="en-IN"/>
        </w:rPr>
      </w:pPr>
    </w:p>
    <w:p w14:paraId="7EBA85FB" w14:textId="76C02302" w:rsidR="009A6A8F" w:rsidRPr="001E0171" w:rsidRDefault="009A6A8F" w:rsidP="009A6A8F">
      <w:pPr>
        <w:rPr>
          <w:sz w:val="20"/>
          <w:lang w:val="pt-BR"/>
        </w:rPr>
      </w:pPr>
      <w:r w:rsidRPr="009A6A8F">
        <w:rPr>
          <w:sz w:val="20"/>
          <w:lang w:val="en-IN"/>
        </w:rPr>
        <w:t xml:space="preserve">National Cancer Institute. (2025). The Cancer Genome Atlas Program. </w:t>
      </w:r>
      <w:hyperlink r:id="rId58" w:history="1">
        <w:r w:rsidRPr="001E0171">
          <w:rPr>
            <w:rStyle w:val="Hyperlink"/>
            <w:sz w:val="20"/>
            <w:lang w:val="pt-BR"/>
          </w:rPr>
          <w:t>https://www.cancer.gov</w:t>
        </w:r>
      </w:hyperlink>
      <w:r w:rsidRPr="001E0171">
        <w:rPr>
          <w:sz w:val="20"/>
          <w:lang w:val="pt-BR"/>
        </w:rPr>
        <w:t xml:space="preserve"> </w:t>
      </w:r>
    </w:p>
    <w:p w14:paraId="54B2FD5F" w14:textId="77777777" w:rsidR="009A6A8F" w:rsidRPr="001E0171" w:rsidRDefault="009A6A8F" w:rsidP="009A6A8F">
      <w:pPr>
        <w:rPr>
          <w:sz w:val="20"/>
          <w:lang w:val="pt-BR"/>
        </w:rPr>
      </w:pPr>
    </w:p>
    <w:p w14:paraId="71AF03D8" w14:textId="16FA42AE" w:rsidR="009A6A8F" w:rsidRPr="009A6A8F" w:rsidRDefault="009A6A8F" w:rsidP="009A6A8F">
      <w:pPr>
        <w:rPr>
          <w:sz w:val="20"/>
          <w:lang w:val="en-IN"/>
        </w:rPr>
      </w:pPr>
      <w:r w:rsidRPr="009A6A8F">
        <w:rPr>
          <w:sz w:val="20"/>
          <w:lang w:val="pt-BR"/>
        </w:rPr>
        <w:t xml:space="preserve">Navas, C., Hernández-Porras, I., Schuhmacher, A. J., Sibilia, M., Guerra, C., &amp; Barbacid, M. (2012). </w:t>
      </w:r>
      <w:r w:rsidRPr="009A6A8F">
        <w:rPr>
          <w:sz w:val="20"/>
          <w:lang w:val="en-IN"/>
        </w:rPr>
        <w:t xml:space="preserve">EGF receptor </w:t>
      </w:r>
      <w:proofErr w:type="spellStart"/>
      <w:r w:rsidRPr="009A6A8F">
        <w:rPr>
          <w:sz w:val="20"/>
          <w:lang w:val="en-IN"/>
        </w:rPr>
        <w:t>signaling</w:t>
      </w:r>
      <w:proofErr w:type="spellEnd"/>
      <w:r w:rsidRPr="009A6A8F">
        <w:rPr>
          <w:sz w:val="20"/>
          <w:lang w:val="en-IN"/>
        </w:rPr>
        <w:t xml:space="preserve"> is essential for K-Ras oncogene-driven pancreatic ductal adenocarcinoma. Cancer Cell, 22(3), 318–330. </w:t>
      </w:r>
      <w:hyperlink r:id="rId59" w:history="1">
        <w:r w:rsidRPr="003601D4">
          <w:rPr>
            <w:rStyle w:val="Hyperlink"/>
            <w:sz w:val="20"/>
            <w:lang w:val="en-IN"/>
          </w:rPr>
          <w:t>https://doi.org/10.1016/j.ccr.2012.07.024</w:t>
        </w:r>
      </w:hyperlink>
      <w:r>
        <w:rPr>
          <w:sz w:val="20"/>
          <w:lang w:val="en-IN"/>
        </w:rPr>
        <w:t xml:space="preserve"> </w:t>
      </w:r>
    </w:p>
    <w:p w14:paraId="6233699B" w14:textId="77777777" w:rsidR="009A6A8F" w:rsidRPr="009A6A8F" w:rsidRDefault="009A6A8F" w:rsidP="009A6A8F">
      <w:pPr>
        <w:rPr>
          <w:sz w:val="20"/>
          <w:lang w:val="en-IN"/>
        </w:rPr>
      </w:pPr>
    </w:p>
    <w:p w14:paraId="69674E20" w14:textId="0A0A785E" w:rsidR="009A6A8F" w:rsidRPr="009A6A8F" w:rsidRDefault="009A6A8F" w:rsidP="009A6A8F">
      <w:pPr>
        <w:rPr>
          <w:sz w:val="20"/>
          <w:lang w:val="en-IN"/>
        </w:rPr>
      </w:pPr>
      <w:r w:rsidRPr="009A6A8F">
        <w:rPr>
          <w:sz w:val="20"/>
          <w:lang w:val="en-IN"/>
        </w:rPr>
        <w:t xml:space="preserve">Newman, D. J., &amp; Cragg, G. M. (2020). Natural products as sources of new drugs over nearly four decades. Journal of Natural Products, 83(3), 770–803. </w:t>
      </w:r>
      <w:hyperlink r:id="rId60" w:history="1">
        <w:r w:rsidRPr="003601D4">
          <w:rPr>
            <w:rStyle w:val="Hyperlink"/>
            <w:sz w:val="20"/>
            <w:lang w:val="en-IN"/>
          </w:rPr>
          <w:t>https://doi.org/10.1021/acs.jnatprod.9b01285</w:t>
        </w:r>
      </w:hyperlink>
      <w:r>
        <w:rPr>
          <w:sz w:val="20"/>
          <w:lang w:val="en-IN"/>
        </w:rPr>
        <w:t xml:space="preserve"> </w:t>
      </w:r>
    </w:p>
    <w:p w14:paraId="3B2D1444" w14:textId="77777777" w:rsidR="009A6A8F" w:rsidRPr="009A6A8F" w:rsidRDefault="009A6A8F" w:rsidP="009A6A8F">
      <w:pPr>
        <w:rPr>
          <w:sz w:val="20"/>
          <w:lang w:val="en-IN"/>
        </w:rPr>
      </w:pPr>
    </w:p>
    <w:p w14:paraId="4B6F4B18" w14:textId="6424EBA0" w:rsidR="009A6A8F" w:rsidRPr="009A6A8F" w:rsidRDefault="009A6A8F" w:rsidP="009A6A8F">
      <w:pPr>
        <w:rPr>
          <w:sz w:val="20"/>
          <w:lang w:val="en-IN"/>
        </w:rPr>
      </w:pPr>
      <w:r w:rsidRPr="009A6A8F">
        <w:rPr>
          <w:sz w:val="20"/>
          <w:lang w:val="en-IN"/>
        </w:rPr>
        <w:t xml:space="preserve">Normanno, N., </w:t>
      </w:r>
      <w:proofErr w:type="spellStart"/>
      <w:r w:rsidRPr="009A6A8F">
        <w:rPr>
          <w:sz w:val="20"/>
          <w:lang w:val="en-IN"/>
        </w:rPr>
        <w:t>Tejpar</w:t>
      </w:r>
      <w:proofErr w:type="spellEnd"/>
      <w:r w:rsidRPr="009A6A8F">
        <w:rPr>
          <w:sz w:val="20"/>
          <w:lang w:val="en-IN"/>
        </w:rPr>
        <w:t xml:space="preserve">, S., Morgillo, F., De Luca, A., Van Cutsem, E., &amp; Ciardiello, F. (2009). Implications for KRAS status and EGFR-targeted therapies in metastatic colorectal cancer. Nature Reviews Clinical Oncology, 6(9), 519–527. </w:t>
      </w:r>
      <w:hyperlink r:id="rId61" w:history="1">
        <w:r w:rsidRPr="003601D4">
          <w:rPr>
            <w:rStyle w:val="Hyperlink"/>
            <w:sz w:val="20"/>
            <w:lang w:val="en-IN"/>
          </w:rPr>
          <w:t>https://doi.org/10.1038/nrclinonc.2009.111</w:t>
        </w:r>
      </w:hyperlink>
      <w:r>
        <w:rPr>
          <w:sz w:val="20"/>
          <w:lang w:val="en-IN"/>
        </w:rPr>
        <w:t xml:space="preserve"> </w:t>
      </w:r>
    </w:p>
    <w:p w14:paraId="07A0C21F" w14:textId="77777777" w:rsidR="009A6A8F" w:rsidRPr="009A6A8F" w:rsidRDefault="009A6A8F" w:rsidP="009A6A8F">
      <w:pPr>
        <w:rPr>
          <w:sz w:val="20"/>
          <w:lang w:val="en-IN"/>
        </w:rPr>
      </w:pPr>
    </w:p>
    <w:p w14:paraId="3D43D00A" w14:textId="69748638" w:rsidR="009A6A8F" w:rsidRPr="009A6A8F" w:rsidRDefault="009A6A8F" w:rsidP="009A6A8F">
      <w:pPr>
        <w:rPr>
          <w:sz w:val="20"/>
          <w:lang w:val="en-IN"/>
        </w:rPr>
      </w:pPr>
      <w:r w:rsidRPr="009A6A8F">
        <w:rPr>
          <w:sz w:val="20"/>
          <w:lang w:val="en-IN"/>
        </w:rPr>
        <w:t xml:space="preserve">Ostrem, J. M., &amp; Shokat, K. M. (2016). Direct small-molecule inhibitors of KRAS: From structural insights to mechanism-based design. Nature Reviews Drug Discovery, 15(11), 771–785. </w:t>
      </w:r>
      <w:hyperlink r:id="rId62" w:history="1">
        <w:r w:rsidRPr="003601D4">
          <w:rPr>
            <w:rStyle w:val="Hyperlink"/>
            <w:sz w:val="20"/>
            <w:lang w:val="en-IN"/>
          </w:rPr>
          <w:t>https://doi.org/10.1038/nrd.2016.139</w:t>
        </w:r>
      </w:hyperlink>
      <w:r>
        <w:rPr>
          <w:sz w:val="20"/>
          <w:lang w:val="en-IN"/>
        </w:rPr>
        <w:t xml:space="preserve"> </w:t>
      </w:r>
    </w:p>
    <w:p w14:paraId="6D90F2FC" w14:textId="77777777" w:rsidR="009A6A8F" w:rsidRPr="009A6A8F" w:rsidRDefault="009A6A8F" w:rsidP="009A6A8F">
      <w:pPr>
        <w:rPr>
          <w:sz w:val="20"/>
          <w:lang w:val="en-IN"/>
        </w:rPr>
      </w:pPr>
    </w:p>
    <w:p w14:paraId="6CC6A834" w14:textId="105C3495" w:rsidR="009A6A8F" w:rsidRPr="009A6A8F" w:rsidRDefault="009A6A8F" w:rsidP="009A6A8F">
      <w:pPr>
        <w:rPr>
          <w:sz w:val="20"/>
          <w:lang w:val="en-IN"/>
        </w:rPr>
      </w:pPr>
      <w:r w:rsidRPr="009A6A8F">
        <w:rPr>
          <w:sz w:val="20"/>
          <w:lang w:val="en-IN"/>
        </w:rPr>
        <w:t xml:space="preserve">Pylayeva-Gupta, Y., </w:t>
      </w:r>
      <w:proofErr w:type="spellStart"/>
      <w:r w:rsidRPr="009A6A8F">
        <w:rPr>
          <w:sz w:val="20"/>
          <w:lang w:val="en-IN"/>
        </w:rPr>
        <w:t>Grabocka</w:t>
      </w:r>
      <w:proofErr w:type="spellEnd"/>
      <w:r w:rsidRPr="009A6A8F">
        <w:rPr>
          <w:sz w:val="20"/>
          <w:lang w:val="en-IN"/>
        </w:rPr>
        <w:t xml:space="preserve">, E., &amp; Bar-Sagi, D. (2011). RAS oncogenes: Weaving a tumorigenic web. Nature Reviews Cancer, 11(11), 761–774. </w:t>
      </w:r>
      <w:hyperlink r:id="rId63" w:history="1">
        <w:r w:rsidRPr="003601D4">
          <w:rPr>
            <w:rStyle w:val="Hyperlink"/>
            <w:sz w:val="20"/>
            <w:lang w:val="en-IN"/>
          </w:rPr>
          <w:t>https://doi.org/10.1038/nrc3106</w:t>
        </w:r>
      </w:hyperlink>
      <w:r>
        <w:rPr>
          <w:sz w:val="20"/>
          <w:lang w:val="en-IN"/>
        </w:rPr>
        <w:t xml:space="preserve"> </w:t>
      </w:r>
    </w:p>
    <w:p w14:paraId="1C2FBA12" w14:textId="77777777" w:rsidR="009A6A8F" w:rsidRPr="009A6A8F" w:rsidRDefault="009A6A8F" w:rsidP="009A6A8F">
      <w:pPr>
        <w:rPr>
          <w:sz w:val="20"/>
          <w:lang w:val="en-IN"/>
        </w:rPr>
      </w:pPr>
    </w:p>
    <w:p w14:paraId="6E01FCA8" w14:textId="2B9E7AED" w:rsidR="009A6A8F" w:rsidRPr="009A6A8F" w:rsidRDefault="009A6A8F" w:rsidP="009A6A8F">
      <w:pPr>
        <w:rPr>
          <w:sz w:val="20"/>
          <w:lang w:val="en-IN"/>
        </w:rPr>
      </w:pPr>
      <w:r w:rsidRPr="009A6A8F">
        <w:rPr>
          <w:sz w:val="20"/>
          <w:lang w:val="en-IN"/>
        </w:rPr>
        <w:t xml:space="preserve">Rodriguez-Viciana, P., Warne, P. H., Dhand, R., </w:t>
      </w:r>
      <w:proofErr w:type="spellStart"/>
      <w:r w:rsidRPr="009A6A8F">
        <w:rPr>
          <w:sz w:val="20"/>
          <w:lang w:val="en-IN"/>
        </w:rPr>
        <w:t>Vanhaesebroeck</w:t>
      </w:r>
      <w:proofErr w:type="spellEnd"/>
      <w:r w:rsidRPr="009A6A8F">
        <w:rPr>
          <w:sz w:val="20"/>
          <w:lang w:val="en-IN"/>
        </w:rPr>
        <w:t>, B., Gout, I., Fry, M. J., Waterfield, M. D., &amp; Downward, J. (1994). Phosphatidylinositol-3-</w:t>
      </w:r>
      <w:proofErr w:type="gramStart"/>
      <w:r w:rsidRPr="009A6A8F">
        <w:rPr>
          <w:sz w:val="20"/>
          <w:lang w:val="en-IN"/>
        </w:rPr>
        <w:t>OH</w:t>
      </w:r>
      <w:proofErr w:type="gramEnd"/>
      <w:r w:rsidRPr="009A6A8F">
        <w:rPr>
          <w:sz w:val="20"/>
          <w:lang w:val="en-IN"/>
        </w:rPr>
        <w:t xml:space="preserve"> kinase as a direct target of Ras. Nature, 370(6490), 527–532. </w:t>
      </w:r>
      <w:hyperlink r:id="rId64" w:history="1">
        <w:r w:rsidRPr="003601D4">
          <w:rPr>
            <w:rStyle w:val="Hyperlink"/>
            <w:sz w:val="20"/>
            <w:lang w:val="en-IN"/>
          </w:rPr>
          <w:t>https://doi.org/10.1038/370527a0</w:t>
        </w:r>
      </w:hyperlink>
      <w:r>
        <w:rPr>
          <w:sz w:val="20"/>
          <w:lang w:val="en-IN"/>
        </w:rPr>
        <w:t xml:space="preserve"> </w:t>
      </w:r>
    </w:p>
    <w:p w14:paraId="5D46BB1B" w14:textId="77777777" w:rsidR="009A6A8F" w:rsidRPr="009A6A8F" w:rsidRDefault="009A6A8F" w:rsidP="009A6A8F">
      <w:pPr>
        <w:rPr>
          <w:sz w:val="20"/>
          <w:lang w:val="en-IN"/>
        </w:rPr>
      </w:pPr>
    </w:p>
    <w:p w14:paraId="7D84E13B" w14:textId="594C4BC5" w:rsidR="009A6A8F" w:rsidRPr="009A6A8F" w:rsidRDefault="009A6A8F" w:rsidP="009A6A8F">
      <w:pPr>
        <w:rPr>
          <w:sz w:val="20"/>
          <w:lang w:val="en-IN"/>
        </w:rPr>
      </w:pPr>
      <w:proofErr w:type="spellStart"/>
      <w:r w:rsidRPr="009A6A8F">
        <w:rPr>
          <w:sz w:val="20"/>
          <w:lang w:val="en-IN"/>
        </w:rPr>
        <w:t>Spoerner</w:t>
      </w:r>
      <w:proofErr w:type="spellEnd"/>
      <w:r w:rsidRPr="009A6A8F">
        <w:rPr>
          <w:sz w:val="20"/>
          <w:lang w:val="en-IN"/>
        </w:rPr>
        <w:t xml:space="preserve">, M., </w:t>
      </w:r>
      <w:proofErr w:type="spellStart"/>
      <w:r w:rsidRPr="009A6A8F">
        <w:rPr>
          <w:sz w:val="20"/>
          <w:lang w:val="en-IN"/>
        </w:rPr>
        <w:t>Hozsa</w:t>
      </w:r>
      <w:proofErr w:type="spellEnd"/>
      <w:r w:rsidRPr="009A6A8F">
        <w:rPr>
          <w:sz w:val="20"/>
          <w:lang w:val="en-IN"/>
        </w:rPr>
        <w:t xml:space="preserve">, C., Poetzl, J. A., Reiss, K., Ganser, P., Geyer, M., &amp; </w:t>
      </w:r>
      <w:proofErr w:type="spellStart"/>
      <w:r w:rsidRPr="009A6A8F">
        <w:rPr>
          <w:sz w:val="20"/>
          <w:lang w:val="en-IN"/>
        </w:rPr>
        <w:t>Kalbitzer</w:t>
      </w:r>
      <w:proofErr w:type="spellEnd"/>
      <w:r w:rsidRPr="009A6A8F">
        <w:rPr>
          <w:sz w:val="20"/>
          <w:lang w:val="en-IN"/>
        </w:rPr>
        <w:t xml:space="preserve">, H. R. (2010). Conformational states of human Ras protein complexed with GTP. Journal of Biological Chemistry, 285(51), 39768–39778. </w:t>
      </w:r>
      <w:hyperlink r:id="rId65" w:history="1">
        <w:r w:rsidRPr="003601D4">
          <w:rPr>
            <w:rStyle w:val="Hyperlink"/>
            <w:sz w:val="20"/>
            <w:lang w:val="en-IN"/>
          </w:rPr>
          <w:t>https://doi.org/10.1074/jbc.M110.145235</w:t>
        </w:r>
      </w:hyperlink>
      <w:r>
        <w:rPr>
          <w:sz w:val="20"/>
          <w:lang w:val="en-IN"/>
        </w:rPr>
        <w:t xml:space="preserve"> </w:t>
      </w:r>
    </w:p>
    <w:p w14:paraId="6DC1A03F" w14:textId="77777777" w:rsidR="009A6A8F" w:rsidRPr="009A6A8F" w:rsidRDefault="009A6A8F" w:rsidP="009A6A8F">
      <w:pPr>
        <w:rPr>
          <w:sz w:val="20"/>
          <w:lang w:val="en-IN"/>
        </w:rPr>
      </w:pPr>
    </w:p>
    <w:p w14:paraId="382D8EFE" w14:textId="06D027F9" w:rsidR="009A6A8F" w:rsidRPr="009A6A8F" w:rsidRDefault="009A6A8F" w:rsidP="009A6A8F">
      <w:pPr>
        <w:rPr>
          <w:sz w:val="20"/>
          <w:lang w:val="en-IN"/>
        </w:rPr>
      </w:pPr>
      <w:r w:rsidRPr="009A6A8F">
        <w:rPr>
          <w:sz w:val="20"/>
          <w:lang w:val="en-IN"/>
        </w:rPr>
        <w:t xml:space="preserve">Vetter, I. R., &amp; </w:t>
      </w:r>
      <w:proofErr w:type="spellStart"/>
      <w:r w:rsidRPr="009A6A8F">
        <w:rPr>
          <w:sz w:val="20"/>
          <w:lang w:val="en-IN"/>
        </w:rPr>
        <w:t>Wittinghofer</w:t>
      </w:r>
      <w:proofErr w:type="spellEnd"/>
      <w:r w:rsidRPr="009A6A8F">
        <w:rPr>
          <w:sz w:val="20"/>
          <w:lang w:val="en-IN"/>
        </w:rPr>
        <w:t xml:space="preserve">, A. (2001). The guanine nucleotide-binding switch in three dimensions. Science, 294(5545), 1299–1304. </w:t>
      </w:r>
      <w:hyperlink r:id="rId66" w:history="1">
        <w:r w:rsidRPr="003601D4">
          <w:rPr>
            <w:rStyle w:val="Hyperlink"/>
            <w:sz w:val="20"/>
            <w:lang w:val="en-IN"/>
          </w:rPr>
          <w:t>https://doi.org/10.1126/science.1062023</w:t>
        </w:r>
      </w:hyperlink>
      <w:r>
        <w:rPr>
          <w:sz w:val="20"/>
          <w:lang w:val="en-IN"/>
        </w:rPr>
        <w:t xml:space="preserve"> </w:t>
      </w:r>
    </w:p>
    <w:p w14:paraId="46D374B9" w14:textId="77777777" w:rsidR="009A6A8F" w:rsidRPr="009A6A8F" w:rsidRDefault="009A6A8F" w:rsidP="009A6A8F">
      <w:pPr>
        <w:rPr>
          <w:sz w:val="20"/>
          <w:lang w:val="en-IN"/>
        </w:rPr>
      </w:pPr>
    </w:p>
    <w:p w14:paraId="3931BDDE" w14:textId="1F492184" w:rsidR="009A6A8F" w:rsidRPr="009A6A8F" w:rsidRDefault="009A6A8F" w:rsidP="009A6A8F">
      <w:pPr>
        <w:rPr>
          <w:sz w:val="20"/>
          <w:lang w:val="en-IN"/>
        </w:rPr>
      </w:pPr>
      <w:r w:rsidRPr="009A6A8F">
        <w:rPr>
          <w:sz w:val="20"/>
          <w:lang w:val="en-IN"/>
        </w:rPr>
        <w:t xml:space="preserve">Wellbrock, C., &amp; </w:t>
      </w:r>
      <w:proofErr w:type="spellStart"/>
      <w:r w:rsidRPr="009A6A8F">
        <w:rPr>
          <w:sz w:val="20"/>
          <w:lang w:val="en-IN"/>
        </w:rPr>
        <w:t>Arozarena</w:t>
      </w:r>
      <w:proofErr w:type="spellEnd"/>
      <w:r w:rsidRPr="009A6A8F">
        <w:rPr>
          <w:sz w:val="20"/>
          <w:lang w:val="en-IN"/>
        </w:rPr>
        <w:t xml:space="preserve">, I. (2016). The complexity of the ERK/MAP-kinase pathway and the treatment of melanoma skin cancer. Frontiers in Cell and Developmental Biology, 4, 33. </w:t>
      </w:r>
      <w:hyperlink r:id="rId67" w:history="1">
        <w:r w:rsidRPr="003601D4">
          <w:rPr>
            <w:rStyle w:val="Hyperlink"/>
            <w:sz w:val="20"/>
            <w:lang w:val="en-IN"/>
          </w:rPr>
          <w:t>https://doi.org/10.3389/fcell.2016.00033</w:t>
        </w:r>
      </w:hyperlink>
      <w:r>
        <w:rPr>
          <w:sz w:val="20"/>
          <w:lang w:val="en-IN"/>
        </w:rPr>
        <w:t xml:space="preserve"> </w:t>
      </w:r>
    </w:p>
    <w:p w14:paraId="444DAD43" w14:textId="77777777" w:rsidR="009A6A8F" w:rsidRPr="009A6A8F" w:rsidRDefault="009A6A8F" w:rsidP="009A6A8F">
      <w:pPr>
        <w:rPr>
          <w:sz w:val="20"/>
          <w:lang w:val="en-IN"/>
        </w:rPr>
      </w:pPr>
    </w:p>
    <w:p w14:paraId="72FCC558" w14:textId="714C3629" w:rsidR="009A6A8F" w:rsidRPr="009A6A8F" w:rsidRDefault="009A6A8F" w:rsidP="009A6A8F">
      <w:pPr>
        <w:rPr>
          <w:sz w:val="20"/>
          <w:lang w:val="en-IN"/>
        </w:rPr>
      </w:pPr>
      <w:r w:rsidRPr="009A6A8F">
        <w:rPr>
          <w:sz w:val="20"/>
          <w:lang w:val="en-IN"/>
        </w:rPr>
        <w:t xml:space="preserve">Welsch, M. E., Kaplan, A., Chambers, J. M., Stokes, M. E., Bos, P. H., </w:t>
      </w:r>
      <w:proofErr w:type="spellStart"/>
      <w:r w:rsidRPr="009A6A8F">
        <w:rPr>
          <w:sz w:val="20"/>
          <w:lang w:val="en-IN"/>
        </w:rPr>
        <w:t>Zask</w:t>
      </w:r>
      <w:proofErr w:type="spellEnd"/>
      <w:r w:rsidRPr="009A6A8F">
        <w:rPr>
          <w:sz w:val="20"/>
          <w:lang w:val="en-IN"/>
        </w:rPr>
        <w:t xml:space="preserve">, A., Zhang, Y., Sanchez-Martin, M., Badgley, M. A., Huang, C. S., et al. (2017). Multivalent small-molecule pan-RAS inhibitors. Cell, 168(5), 878–889. </w:t>
      </w:r>
      <w:hyperlink r:id="rId68" w:history="1">
        <w:r w:rsidRPr="003601D4">
          <w:rPr>
            <w:rStyle w:val="Hyperlink"/>
            <w:sz w:val="20"/>
            <w:lang w:val="en-IN"/>
          </w:rPr>
          <w:t>https://doi.org/10.1016/j.cell.2017.02.006</w:t>
        </w:r>
      </w:hyperlink>
      <w:r>
        <w:rPr>
          <w:sz w:val="20"/>
          <w:lang w:val="en-IN"/>
        </w:rPr>
        <w:t xml:space="preserve"> </w:t>
      </w:r>
    </w:p>
    <w:p w14:paraId="662BB149" w14:textId="77777777" w:rsidR="009A6A8F" w:rsidRPr="009A6A8F" w:rsidRDefault="009A6A8F" w:rsidP="009A6A8F">
      <w:pPr>
        <w:rPr>
          <w:sz w:val="20"/>
          <w:lang w:val="en-IN"/>
        </w:rPr>
      </w:pPr>
    </w:p>
    <w:p w14:paraId="0553E37A" w14:textId="24F3E203" w:rsidR="009A6A8F" w:rsidRPr="009A6A8F" w:rsidRDefault="009A6A8F" w:rsidP="009A6A8F">
      <w:pPr>
        <w:rPr>
          <w:sz w:val="20"/>
          <w:lang w:val="en-IN"/>
        </w:rPr>
      </w:pPr>
      <w:r w:rsidRPr="009A6A8F">
        <w:rPr>
          <w:sz w:val="20"/>
          <w:lang w:val="en-IN"/>
        </w:rPr>
        <w:t xml:space="preserve">Wiederstein, M., &amp; Sippl, M. J. (2007). </w:t>
      </w:r>
      <w:proofErr w:type="spellStart"/>
      <w:r w:rsidRPr="009A6A8F">
        <w:rPr>
          <w:sz w:val="20"/>
          <w:lang w:val="en-IN"/>
        </w:rPr>
        <w:t>ProSA</w:t>
      </w:r>
      <w:proofErr w:type="spellEnd"/>
      <w:r w:rsidRPr="009A6A8F">
        <w:rPr>
          <w:sz w:val="20"/>
          <w:lang w:val="en-IN"/>
        </w:rPr>
        <w:t xml:space="preserve">-web: Interactive web service for the recognition of errors in three-dimensional structures of proteins. Nucleic Acids Research, 35(Web Server issue), W407–W410. </w:t>
      </w:r>
      <w:hyperlink r:id="rId69" w:history="1">
        <w:r w:rsidRPr="003601D4">
          <w:rPr>
            <w:rStyle w:val="Hyperlink"/>
            <w:sz w:val="20"/>
            <w:lang w:val="en-IN"/>
          </w:rPr>
          <w:t>https://doi.org/10.1093/nar/gkm290</w:t>
        </w:r>
      </w:hyperlink>
      <w:r>
        <w:rPr>
          <w:sz w:val="20"/>
          <w:lang w:val="en-IN"/>
        </w:rPr>
        <w:t xml:space="preserve"> </w:t>
      </w:r>
    </w:p>
    <w:p w14:paraId="7E4A605C" w14:textId="77777777" w:rsidR="009A6A8F" w:rsidRPr="009A6A8F" w:rsidRDefault="009A6A8F" w:rsidP="009A6A8F">
      <w:pPr>
        <w:rPr>
          <w:sz w:val="20"/>
          <w:lang w:val="en-IN"/>
        </w:rPr>
      </w:pPr>
    </w:p>
    <w:p w14:paraId="0824A530" w14:textId="31B9F204" w:rsidR="00EA39C0" w:rsidRPr="00B629E1" w:rsidRDefault="009A6A8F" w:rsidP="009A6A8F">
      <w:pPr>
        <w:rPr>
          <w:sz w:val="20"/>
          <w:lang w:val="en-IN"/>
        </w:rPr>
      </w:pPr>
      <w:r w:rsidRPr="009A6A8F">
        <w:rPr>
          <w:sz w:val="20"/>
          <w:lang w:val="en-IN"/>
        </w:rPr>
        <w:t xml:space="preserve">Wood, K. W., Sarnecki, C., Roberts, T. M., &amp; Blenis, J. (1992). Ras mediates nerve growth factor receptor modulation of three signal-transducing kinases. Cell, 68(6), 1041–1050. </w:t>
      </w:r>
      <w:hyperlink r:id="rId70" w:history="1">
        <w:r w:rsidRPr="003601D4">
          <w:rPr>
            <w:rStyle w:val="Hyperlink"/>
            <w:sz w:val="20"/>
            <w:lang w:val="en-IN"/>
          </w:rPr>
          <w:t>https://doi.org/10.1016/0092-8674(92)90072-8</w:t>
        </w:r>
      </w:hyperlink>
      <w:r>
        <w:rPr>
          <w:sz w:val="20"/>
          <w:lang w:val="en-IN"/>
        </w:rPr>
        <w:t xml:space="preserve">  </w:t>
      </w:r>
    </w:p>
    <w:sectPr w:rsidR="00EA39C0" w:rsidRPr="00B629E1">
      <w:type w:val="continuous"/>
      <w:pgSz w:w="11907" w:h="16839"/>
      <w:pgMar w:top="1701" w:right="1134" w:bottom="1418" w:left="1134" w:header="709" w:footer="709" w:gutter="0"/>
      <w:pgNumType w:start="211"/>
      <w:cols w:num="2"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2EF37" w14:textId="77777777" w:rsidR="000511C4" w:rsidRDefault="000511C4">
      <w:r>
        <w:separator/>
      </w:r>
    </w:p>
  </w:endnote>
  <w:endnote w:type="continuationSeparator" w:id="0">
    <w:p w14:paraId="2BED0044" w14:textId="77777777" w:rsidR="000511C4" w:rsidRDefault="000511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76EA7" w14:textId="77777777" w:rsidR="004631AB" w:rsidRDefault="004631AB">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0ABB5" w14:textId="77777777" w:rsidR="000511C4" w:rsidRDefault="000511C4">
      <w:r>
        <w:separator/>
      </w:r>
    </w:p>
  </w:footnote>
  <w:footnote w:type="continuationSeparator" w:id="0">
    <w:p w14:paraId="4D539432" w14:textId="77777777" w:rsidR="000511C4" w:rsidRDefault="000511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FBEBC" w14:textId="77777777" w:rsidR="004631AB" w:rsidRDefault="004631AB">
    <w:pPr>
      <w:pStyle w:val="Header"/>
      <w:tabs>
        <w:tab w:val="clear" w:pos="9072"/>
        <w:tab w:val="right" w:pos="9639"/>
      </w:tabs>
      <w:rPr>
        <w:i/>
        <w:sz w:val="16"/>
        <w:szCs w:val="16"/>
      </w:rPr>
    </w:pPr>
  </w:p>
  <w:p w14:paraId="76652FF3" w14:textId="77777777" w:rsidR="004631AB" w:rsidRDefault="00000000">
    <w:pPr>
      <w:pStyle w:val="Header"/>
      <w:tabs>
        <w:tab w:val="clear" w:pos="9072"/>
        <w:tab w:val="left" w:pos="8505"/>
        <w:tab w:val="right" w:pos="9639"/>
      </w:tabs>
      <w:rPr>
        <w:sz w:val="17"/>
        <w:szCs w:val="17"/>
      </w:rPr>
    </w:pPr>
    <w:r>
      <w:rPr>
        <w:i/>
        <w:sz w:val="17"/>
        <w:szCs w:val="17"/>
      </w:rPr>
      <w:t>Int. J. Chem. Technol.</w:t>
    </w:r>
    <w:r>
      <w:rPr>
        <w:sz w:val="17"/>
        <w:szCs w:val="17"/>
      </w:rPr>
      <w:t xml:space="preserve"> </w:t>
    </w:r>
    <w:r>
      <w:rPr>
        <w:b/>
        <w:sz w:val="17"/>
        <w:szCs w:val="17"/>
      </w:rPr>
      <w:t>202.</w:t>
    </w:r>
    <w:r>
      <w:rPr>
        <w:sz w:val="17"/>
        <w:szCs w:val="17"/>
      </w:rPr>
      <w:t xml:space="preserve">,…                                                                                                                                           author and co-workers                                        </w:t>
    </w:r>
    <w:r>
      <w:rPr>
        <w:sz w:val="17"/>
        <w:szCs w:val="17"/>
      </w:rPr>
      <w:tab/>
      <w:t xml:space="preserve">        </w:t>
    </w:r>
  </w:p>
  <w:p w14:paraId="22ED6E92" w14:textId="77777777" w:rsidR="004631AB" w:rsidRDefault="00000000">
    <w:pPr>
      <w:shd w:val="clear" w:color="auto" w:fill="FFFFFF"/>
      <w:rPr>
        <w:b/>
        <w:color w:val="C00000"/>
        <w:sz w:val="18"/>
        <w:szCs w:val="18"/>
        <w:u w:val="single"/>
      </w:rPr>
    </w:pPr>
    <w:r>
      <w:rPr>
        <w:b/>
        <w:bCs/>
        <w:color w:val="C00000"/>
        <w:sz w:val="18"/>
        <w:szCs w:val="18"/>
        <w:u w:val="single"/>
        <w:shd w:val="clear" w:color="auto" w:fill="FFFFFF"/>
      </w:rPr>
      <w:t>DOI: http://dx.doi.org/10.32571/ijct.</w:t>
    </w:r>
    <w:r>
      <w:rPr>
        <w:b/>
        <w:color w:val="C00000"/>
        <w:sz w:val="18"/>
        <w:szCs w:val="18"/>
        <w:u w:val="single"/>
        <w:shd w:val="clear" w:color="auto" w:fill="FFFFFF"/>
      </w:rPr>
      <w:t>.............</w:t>
    </w:r>
    <w:r>
      <w:rPr>
        <w:b/>
        <w:color w:val="C00000"/>
        <w:sz w:val="18"/>
        <w:szCs w:val="18"/>
        <w:u w:val="single"/>
        <w:shd w:val="clear" w:color="auto" w:fill="FFFFFF"/>
      </w:rPr>
      <w:tab/>
    </w:r>
    <w:r>
      <w:rPr>
        <w:b/>
        <w:color w:val="C00000"/>
        <w:sz w:val="18"/>
        <w:szCs w:val="18"/>
        <w:u w:val="single"/>
        <w:shd w:val="clear" w:color="auto" w:fill="FFFFFF"/>
      </w:rPr>
      <w:tab/>
    </w:r>
    <w:r>
      <w:rPr>
        <w:b/>
        <w:color w:val="C00000"/>
        <w:sz w:val="18"/>
        <w:szCs w:val="18"/>
        <w:u w:val="single"/>
        <w:shd w:val="clear" w:color="auto" w:fill="FFFFFF"/>
      </w:rPr>
      <w:tab/>
    </w:r>
    <w:r>
      <w:rPr>
        <w:b/>
        <w:color w:val="C00000"/>
        <w:sz w:val="18"/>
        <w:szCs w:val="18"/>
        <w:u w:val="single"/>
        <w:shd w:val="clear" w:color="auto" w:fill="FFFFFF"/>
      </w:rPr>
      <w:tab/>
    </w:r>
    <w:r>
      <w:rPr>
        <w:b/>
        <w:color w:val="0070C0"/>
        <w:sz w:val="18"/>
        <w:szCs w:val="18"/>
        <w:u w:val="single"/>
      </w:rPr>
      <w:tab/>
    </w:r>
    <w:r>
      <w:rPr>
        <w:b/>
        <w:color w:val="0070C0"/>
        <w:sz w:val="18"/>
        <w:szCs w:val="18"/>
        <w:u w:val="single"/>
      </w:rPr>
      <w:tab/>
      <w:t xml:space="preserve">                       E-ISSN: 2602-277X</w:t>
    </w:r>
  </w:p>
  <w:p w14:paraId="09B7A318" w14:textId="77777777" w:rsidR="004631AB" w:rsidRDefault="004631AB">
    <w:pPr>
      <w:shd w:val="clear" w:color="auto" w:fill="FFFFFF"/>
      <w:rPr>
        <w:b/>
        <w:color w:val="C00000"/>
        <w:sz w:val="18"/>
        <w:szCs w:val="18"/>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79C98"/>
    <w:multiLevelType w:val="singleLevel"/>
    <w:tmpl w:val="19E79C98"/>
    <w:lvl w:ilvl="0">
      <w:start w:val="1"/>
      <w:numFmt w:val="upperLetter"/>
      <w:suff w:val="space"/>
      <w:lvlText w:val="(%1)"/>
      <w:lvlJc w:val="left"/>
    </w:lvl>
  </w:abstractNum>
  <w:num w:numId="1" w16cid:durableId="688797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7340"/>
    <w:rsid w:val="000123A7"/>
    <w:rsid w:val="00014A87"/>
    <w:rsid w:val="00046D01"/>
    <w:rsid w:val="000471B2"/>
    <w:rsid w:val="000511C4"/>
    <w:rsid w:val="0005780F"/>
    <w:rsid w:val="00080D34"/>
    <w:rsid w:val="000C12A8"/>
    <w:rsid w:val="000D2E72"/>
    <w:rsid w:val="001112C5"/>
    <w:rsid w:val="0014354E"/>
    <w:rsid w:val="001447D3"/>
    <w:rsid w:val="0016299D"/>
    <w:rsid w:val="001645EB"/>
    <w:rsid w:val="00167007"/>
    <w:rsid w:val="0019330A"/>
    <w:rsid w:val="001A0B5F"/>
    <w:rsid w:val="001A3EA8"/>
    <w:rsid w:val="001C706D"/>
    <w:rsid w:val="001D741B"/>
    <w:rsid w:val="001D74A1"/>
    <w:rsid w:val="001E0171"/>
    <w:rsid w:val="001F777F"/>
    <w:rsid w:val="0021067D"/>
    <w:rsid w:val="00211035"/>
    <w:rsid w:val="002248CA"/>
    <w:rsid w:val="00237BF6"/>
    <w:rsid w:val="00247803"/>
    <w:rsid w:val="00260F70"/>
    <w:rsid w:val="0026161A"/>
    <w:rsid w:val="002645AF"/>
    <w:rsid w:val="002802E5"/>
    <w:rsid w:val="00282360"/>
    <w:rsid w:val="002C0A58"/>
    <w:rsid w:val="002C4B44"/>
    <w:rsid w:val="002C5819"/>
    <w:rsid w:val="002D48DC"/>
    <w:rsid w:val="002E444F"/>
    <w:rsid w:val="002F65A5"/>
    <w:rsid w:val="002F7BD4"/>
    <w:rsid w:val="00306826"/>
    <w:rsid w:val="00307931"/>
    <w:rsid w:val="00335885"/>
    <w:rsid w:val="00351715"/>
    <w:rsid w:val="00392614"/>
    <w:rsid w:val="00397923"/>
    <w:rsid w:val="003C0A8F"/>
    <w:rsid w:val="003C1FCE"/>
    <w:rsid w:val="003C3DB7"/>
    <w:rsid w:val="003E5E19"/>
    <w:rsid w:val="003F3825"/>
    <w:rsid w:val="00414AC2"/>
    <w:rsid w:val="004168FE"/>
    <w:rsid w:val="0042045F"/>
    <w:rsid w:val="00420E09"/>
    <w:rsid w:val="00425D9C"/>
    <w:rsid w:val="00427666"/>
    <w:rsid w:val="004631AB"/>
    <w:rsid w:val="00472444"/>
    <w:rsid w:val="00481897"/>
    <w:rsid w:val="0048374E"/>
    <w:rsid w:val="00491414"/>
    <w:rsid w:val="004A6D23"/>
    <w:rsid w:val="004B2199"/>
    <w:rsid w:val="005072DE"/>
    <w:rsid w:val="00507766"/>
    <w:rsid w:val="005130EA"/>
    <w:rsid w:val="00513BE3"/>
    <w:rsid w:val="00533A05"/>
    <w:rsid w:val="005459A2"/>
    <w:rsid w:val="00550E32"/>
    <w:rsid w:val="00553B22"/>
    <w:rsid w:val="00570CE5"/>
    <w:rsid w:val="00584736"/>
    <w:rsid w:val="005944D3"/>
    <w:rsid w:val="005B2879"/>
    <w:rsid w:val="005B4959"/>
    <w:rsid w:val="005C7A88"/>
    <w:rsid w:val="005D735A"/>
    <w:rsid w:val="005E24CA"/>
    <w:rsid w:val="00623DC1"/>
    <w:rsid w:val="0064055B"/>
    <w:rsid w:val="00646659"/>
    <w:rsid w:val="0065288D"/>
    <w:rsid w:val="00663CD3"/>
    <w:rsid w:val="006813A3"/>
    <w:rsid w:val="00690114"/>
    <w:rsid w:val="00697E75"/>
    <w:rsid w:val="006A49D5"/>
    <w:rsid w:val="006C420A"/>
    <w:rsid w:val="006E466E"/>
    <w:rsid w:val="006E49FA"/>
    <w:rsid w:val="006F66E4"/>
    <w:rsid w:val="00700C8A"/>
    <w:rsid w:val="00705203"/>
    <w:rsid w:val="007202E6"/>
    <w:rsid w:val="007402AF"/>
    <w:rsid w:val="007642D9"/>
    <w:rsid w:val="00824CF0"/>
    <w:rsid w:val="0082744A"/>
    <w:rsid w:val="00842830"/>
    <w:rsid w:val="00863569"/>
    <w:rsid w:val="0086532D"/>
    <w:rsid w:val="00876E34"/>
    <w:rsid w:val="00883871"/>
    <w:rsid w:val="00884676"/>
    <w:rsid w:val="0088776E"/>
    <w:rsid w:val="00895AD8"/>
    <w:rsid w:val="008A3F7B"/>
    <w:rsid w:val="008C44F2"/>
    <w:rsid w:val="00901420"/>
    <w:rsid w:val="00931410"/>
    <w:rsid w:val="00940D51"/>
    <w:rsid w:val="00956E58"/>
    <w:rsid w:val="00967CC7"/>
    <w:rsid w:val="00991762"/>
    <w:rsid w:val="009A6A8F"/>
    <w:rsid w:val="009B67E4"/>
    <w:rsid w:val="009E5217"/>
    <w:rsid w:val="00A020CB"/>
    <w:rsid w:val="00A02F5F"/>
    <w:rsid w:val="00A04DCB"/>
    <w:rsid w:val="00A13AB2"/>
    <w:rsid w:val="00A25553"/>
    <w:rsid w:val="00A359CF"/>
    <w:rsid w:val="00A47340"/>
    <w:rsid w:val="00A603DF"/>
    <w:rsid w:val="00A648F9"/>
    <w:rsid w:val="00A675F7"/>
    <w:rsid w:val="00A8521B"/>
    <w:rsid w:val="00A906D3"/>
    <w:rsid w:val="00AA5EE0"/>
    <w:rsid w:val="00AB01C8"/>
    <w:rsid w:val="00AB1697"/>
    <w:rsid w:val="00AC473C"/>
    <w:rsid w:val="00AC477C"/>
    <w:rsid w:val="00AD56BE"/>
    <w:rsid w:val="00AE1D2E"/>
    <w:rsid w:val="00AE1E97"/>
    <w:rsid w:val="00B319B6"/>
    <w:rsid w:val="00B41A28"/>
    <w:rsid w:val="00B444D3"/>
    <w:rsid w:val="00B629E1"/>
    <w:rsid w:val="00B63726"/>
    <w:rsid w:val="00B656D4"/>
    <w:rsid w:val="00B71640"/>
    <w:rsid w:val="00B871E4"/>
    <w:rsid w:val="00BA5BA6"/>
    <w:rsid w:val="00BC1D5E"/>
    <w:rsid w:val="00BC63D8"/>
    <w:rsid w:val="00BE7440"/>
    <w:rsid w:val="00BF6313"/>
    <w:rsid w:val="00C10662"/>
    <w:rsid w:val="00C15925"/>
    <w:rsid w:val="00C326A2"/>
    <w:rsid w:val="00C35105"/>
    <w:rsid w:val="00C65B31"/>
    <w:rsid w:val="00C80032"/>
    <w:rsid w:val="00C85900"/>
    <w:rsid w:val="00CA3632"/>
    <w:rsid w:val="00CA7852"/>
    <w:rsid w:val="00CB1660"/>
    <w:rsid w:val="00CB755B"/>
    <w:rsid w:val="00CD2DB7"/>
    <w:rsid w:val="00CE756C"/>
    <w:rsid w:val="00D05080"/>
    <w:rsid w:val="00D138D9"/>
    <w:rsid w:val="00D1526F"/>
    <w:rsid w:val="00D231B4"/>
    <w:rsid w:val="00D41E14"/>
    <w:rsid w:val="00D500E0"/>
    <w:rsid w:val="00D53D90"/>
    <w:rsid w:val="00D54300"/>
    <w:rsid w:val="00D77749"/>
    <w:rsid w:val="00D81A69"/>
    <w:rsid w:val="00D951BC"/>
    <w:rsid w:val="00DB6657"/>
    <w:rsid w:val="00DB74FD"/>
    <w:rsid w:val="00DE1DAC"/>
    <w:rsid w:val="00DE78EE"/>
    <w:rsid w:val="00DF69E3"/>
    <w:rsid w:val="00E03997"/>
    <w:rsid w:val="00E156B7"/>
    <w:rsid w:val="00E26E8C"/>
    <w:rsid w:val="00E27986"/>
    <w:rsid w:val="00E65ADE"/>
    <w:rsid w:val="00E906AD"/>
    <w:rsid w:val="00E95717"/>
    <w:rsid w:val="00EA39C0"/>
    <w:rsid w:val="00EC4503"/>
    <w:rsid w:val="00EC7DB5"/>
    <w:rsid w:val="00EF7A19"/>
    <w:rsid w:val="00F11C55"/>
    <w:rsid w:val="00F17459"/>
    <w:rsid w:val="00F25D19"/>
    <w:rsid w:val="00F61BD8"/>
    <w:rsid w:val="00FA302A"/>
    <w:rsid w:val="00FA76A2"/>
    <w:rsid w:val="00FE1D09"/>
    <w:rsid w:val="08F0235E"/>
    <w:rsid w:val="0CEA4533"/>
    <w:rsid w:val="0F48456B"/>
    <w:rsid w:val="146E6BA1"/>
    <w:rsid w:val="18C96438"/>
    <w:rsid w:val="219B593A"/>
    <w:rsid w:val="2516217B"/>
    <w:rsid w:val="27D4248F"/>
    <w:rsid w:val="2C697CDE"/>
    <w:rsid w:val="39D5305E"/>
    <w:rsid w:val="3FA413A2"/>
    <w:rsid w:val="3FDC65E5"/>
    <w:rsid w:val="48E33EC8"/>
    <w:rsid w:val="4F9C0587"/>
    <w:rsid w:val="50C70A77"/>
    <w:rsid w:val="56B665AD"/>
    <w:rsid w:val="57A27353"/>
    <w:rsid w:val="5F6201AF"/>
    <w:rsid w:val="6052454E"/>
    <w:rsid w:val="60AE61AC"/>
    <w:rsid w:val="64D4322B"/>
    <w:rsid w:val="66E46287"/>
    <w:rsid w:val="79351099"/>
    <w:rsid w:val="79F33230"/>
    <w:rsid w:val="7F0642D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877E1AC"/>
  <w15:docId w15:val="{36163115-E677-4758-B19E-080AFF6E0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lang w:val="tr-TR" w:eastAsia="tr-TR"/>
    </w:rPr>
  </w:style>
  <w:style w:type="paragraph" w:styleId="Heading1">
    <w:name w:val="heading 1"/>
    <w:basedOn w:val="Normal"/>
    <w:next w:val="Normal"/>
    <w:link w:val="Heading1Char"/>
    <w:uiPriority w:val="9"/>
    <w:qFormat/>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IN" w:eastAsia="en-US"/>
      <w14:ligatures w14:val="standardContextual"/>
    </w:rPr>
  </w:style>
  <w:style w:type="paragraph" w:styleId="Heading2">
    <w:name w:val="heading 2"/>
    <w:basedOn w:val="Normal"/>
    <w:next w:val="Normal"/>
    <w:link w:val="Heading2Char"/>
    <w:uiPriority w:val="9"/>
    <w:semiHidden/>
    <w:unhideWhenUsed/>
    <w:qFormat/>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IN" w:eastAsia="en-US"/>
      <w14:ligatures w14:val="standardContextual"/>
    </w:rPr>
  </w:style>
  <w:style w:type="paragraph" w:styleId="Heading3">
    <w:name w:val="heading 3"/>
    <w:basedOn w:val="Normal"/>
    <w:next w:val="Normal"/>
    <w:link w:val="Heading3Char"/>
    <w:uiPriority w:val="9"/>
    <w:semiHidden/>
    <w:unhideWhenUsed/>
    <w:qFormat/>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val="en-IN" w:eastAsia="en-US"/>
      <w14:ligatures w14:val="standardContextual"/>
    </w:rPr>
  </w:style>
  <w:style w:type="paragraph" w:styleId="Heading4">
    <w:name w:val="heading 4"/>
    <w:basedOn w:val="Normal"/>
    <w:next w:val="Normal"/>
    <w:link w:val="Heading4Char"/>
    <w:uiPriority w:val="9"/>
    <w:semiHidden/>
    <w:unhideWhenUsed/>
    <w:qFormat/>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szCs w:val="22"/>
      <w:lang w:val="en-IN" w:eastAsia="en-US"/>
      <w14:ligatures w14:val="standardContextual"/>
    </w:rPr>
  </w:style>
  <w:style w:type="paragraph" w:styleId="Heading5">
    <w:name w:val="heading 5"/>
    <w:basedOn w:val="Normal"/>
    <w:next w:val="Normal"/>
    <w:link w:val="Heading5Char"/>
    <w:unhideWhenUsed/>
    <w:qFormat/>
    <w:pPr>
      <w:keepNext/>
      <w:keepLines/>
      <w:spacing w:before="80" w:after="40" w:line="259" w:lineRule="auto"/>
      <w:outlineLvl w:val="4"/>
    </w:pPr>
    <w:rPr>
      <w:rFonts w:asciiTheme="minorHAnsi" w:eastAsiaTheme="majorEastAsia" w:hAnsiTheme="minorHAnsi" w:cstheme="majorBidi"/>
      <w:color w:val="2F5496" w:themeColor="accent1" w:themeShade="BF"/>
      <w:kern w:val="2"/>
      <w:sz w:val="22"/>
      <w:szCs w:val="22"/>
      <w:lang w:val="en-IN" w:eastAsia="en-US"/>
      <w14:ligatures w14:val="standardContextual"/>
    </w:rPr>
  </w:style>
  <w:style w:type="paragraph" w:styleId="Heading6">
    <w:name w:val="heading 6"/>
    <w:basedOn w:val="Normal"/>
    <w:next w:val="Normal"/>
    <w:link w:val="Heading6Char"/>
    <w:uiPriority w:val="9"/>
    <w:semiHidden/>
    <w:unhideWhenUsed/>
    <w:qFormat/>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val="en-IN" w:eastAsia="en-US"/>
      <w14:ligatures w14:val="standardContextual"/>
    </w:rPr>
  </w:style>
  <w:style w:type="paragraph" w:styleId="Heading7">
    <w:name w:val="heading 7"/>
    <w:basedOn w:val="Normal"/>
    <w:next w:val="Normal"/>
    <w:link w:val="Heading7Char"/>
    <w:uiPriority w:val="9"/>
    <w:semiHidden/>
    <w:unhideWhenUsed/>
    <w:qFormat/>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val="en-IN" w:eastAsia="en-US"/>
      <w14:ligatures w14:val="standardContextual"/>
    </w:rPr>
  </w:style>
  <w:style w:type="paragraph" w:styleId="Heading8">
    <w:name w:val="heading 8"/>
    <w:basedOn w:val="Normal"/>
    <w:next w:val="Normal"/>
    <w:link w:val="Heading8Char"/>
    <w:uiPriority w:val="9"/>
    <w:semiHidden/>
    <w:unhideWhenUsed/>
    <w:qFormat/>
    <w:pPr>
      <w:keepNext/>
      <w:keepLines/>
      <w:spacing w:line="259" w:lineRule="auto"/>
      <w:outlineLvl w:val="7"/>
    </w:pPr>
    <w:rPr>
      <w:rFonts w:asciiTheme="minorHAnsi" w:eastAsiaTheme="majorEastAsia" w:hAnsiTheme="minorHAnsi" w:cstheme="majorBidi"/>
      <w:i/>
      <w:iCs/>
      <w:color w:val="262626" w:themeColor="text1" w:themeTint="D9"/>
      <w:kern w:val="2"/>
      <w:sz w:val="22"/>
      <w:szCs w:val="22"/>
      <w:lang w:val="en-IN" w:eastAsia="en-US"/>
      <w14:ligatures w14:val="standardContextual"/>
    </w:rPr>
  </w:style>
  <w:style w:type="paragraph" w:styleId="Heading9">
    <w:name w:val="heading 9"/>
    <w:basedOn w:val="Normal"/>
    <w:next w:val="Normal"/>
    <w:link w:val="Heading9Char"/>
    <w:uiPriority w:val="9"/>
    <w:semiHidden/>
    <w:unhideWhenUsed/>
    <w:qFormat/>
    <w:pPr>
      <w:keepNext/>
      <w:keepLines/>
      <w:spacing w:line="259" w:lineRule="auto"/>
      <w:outlineLvl w:val="8"/>
    </w:pPr>
    <w:rPr>
      <w:rFonts w:asciiTheme="minorHAnsi" w:eastAsiaTheme="majorEastAsia" w:hAnsiTheme="minorHAnsi" w:cstheme="majorBidi"/>
      <w:color w:val="262626" w:themeColor="text1" w:themeTint="D9"/>
      <w:kern w:val="2"/>
      <w:sz w:val="22"/>
      <w:szCs w:val="22"/>
      <w:lang w:val="en-IN"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uiPriority w:val="99"/>
    <w:semiHidden/>
    <w:qFormat/>
    <w:rPr>
      <w:sz w:val="16"/>
    </w:rPr>
  </w:style>
  <w:style w:type="paragraph" w:styleId="CommentText">
    <w:name w:val="annotation text"/>
    <w:basedOn w:val="Normal"/>
    <w:link w:val="CommentTextChar"/>
    <w:uiPriority w:val="99"/>
    <w:semiHidden/>
    <w:qFormat/>
    <w:pPr>
      <w:ind w:firstLine="567"/>
      <w:jc w:val="both"/>
    </w:pPr>
    <w:rPr>
      <w:sz w:val="20"/>
      <w:szCs w:val="20"/>
      <w:lang w:val="en-GB" w:eastAsia="en-U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536"/>
        <w:tab w:val="right" w:pos="9072"/>
      </w:tabs>
    </w:pPr>
  </w:style>
  <w:style w:type="paragraph" w:styleId="Header">
    <w:name w:val="header"/>
    <w:basedOn w:val="Normal"/>
    <w:link w:val="HeaderChar"/>
    <w:uiPriority w:val="99"/>
    <w:unhideWhenUsed/>
    <w:qFormat/>
    <w:pPr>
      <w:tabs>
        <w:tab w:val="center" w:pos="4536"/>
        <w:tab w:val="right" w:pos="9072"/>
      </w:tabs>
    </w:pPr>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HTMLPreformatted">
    <w:name w:val="HTML Preformatted"/>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style>
  <w:style w:type="paragraph" w:styleId="PlainText">
    <w:name w:val="Plain Text"/>
    <w:basedOn w:val="Normal"/>
    <w:link w:val="PlainTextChar"/>
    <w:qFormat/>
    <w:rPr>
      <w:rFonts w:ascii="Courier New" w:hAnsi="Courier New"/>
      <w:sz w:val="20"/>
      <w:szCs w:val="20"/>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160" w:line="259" w:lineRule="auto"/>
    </w:pPr>
    <w:rPr>
      <w:rFonts w:asciiTheme="minorHAnsi" w:eastAsiaTheme="majorEastAsia" w:hAnsiTheme="minorHAnsi" w:cstheme="majorBidi"/>
      <w:color w:val="595959" w:themeColor="text1" w:themeTint="A6"/>
      <w:spacing w:val="15"/>
      <w:kern w:val="2"/>
      <w:sz w:val="28"/>
      <w:szCs w:val="28"/>
      <w:lang w:val="en-IN" w:eastAsia="en-US"/>
      <w14:ligatures w14:val="standardContextual"/>
    </w:rPr>
  </w:style>
  <w:style w:type="table" w:styleId="TableGrid">
    <w:name w:val="Table Grid"/>
    <w:basedOn w:val="TableNormal"/>
    <w:uiPriority w:val="39"/>
    <w:qFormat/>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lang w:val="en-IN" w:eastAsia="en-US"/>
      <w14:ligatures w14:val="standardContextual"/>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line="259" w:lineRule="auto"/>
      <w:jc w:val="center"/>
    </w:pPr>
    <w:rPr>
      <w:rFonts w:asciiTheme="minorHAnsi" w:eastAsiaTheme="minorHAnsi" w:hAnsiTheme="minorHAnsi" w:cstheme="minorBidi"/>
      <w:i/>
      <w:iCs/>
      <w:color w:val="404040" w:themeColor="text1" w:themeTint="BF"/>
      <w:kern w:val="2"/>
      <w:sz w:val="22"/>
      <w:szCs w:val="22"/>
      <w:lang w:val="en-IN" w:eastAsia="en-US"/>
      <w14:ligatures w14:val="standardContextual"/>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spacing w:after="160" w:line="259" w:lineRule="auto"/>
      <w:ind w:left="720"/>
      <w:contextualSpacing/>
    </w:pPr>
    <w:rPr>
      <w:rFonts w:asciiTheme="minorHAnsi" w:eastAsiaTheme="minorHAnsi" w:hAnsiTheme="minorHAnsi" w:cstheme="minorBidi"/>
      <w:kern w:val="2"/>
      <w:sz w:val="22"/>
      <w:szCs w:val="22"/>
      <w:lang w:val="en-IN" w:eastAsia="en-US"/>
      <w14:ligatures w14:val="standardContextual"/>
    </w:r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lang w:val="en-IN" w:eastAsia="en-US"/>
      <w14:ligatures w14:val="standardContextual"/>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qFormat/>
    <w:rPr>
      <w:rFonts w:ascii="Times New Roman" w:eastAsia="Times New Roman" w:hAnsi="Times New Roman" w:cs="Times New Roman"/>
      <w:kern w:val="0"/>
      <w:sz w:val="24"/>
      <w:szCs w:val="24"/>
      <w:lang w:val="tr-TR" w:eastAsia="tr-TR"/>
      <w14:ligatures w14:val="none"/>
    </w:rPr>
  </w:style>
  <w:style w:type="character" w:customStyle="1" w:styleId="FooterChar">
    <w:name w:val="Footer Char"/>
    <w:basedOn w:val="DefaultParagraphFont"/>
    <w:link w:val="Footer"/>
    <w:uiPriority w:val="99"/>
    <w:qFormat/>
    <w:rPr>
      <w:rFonts w:ascii="Times New Roman" w:eastAsia="Times New Roman" w:hAnsi="Times New Roman" w:cs="Times New Roman"/>
      <w:kern w:val="0"/>
      <w:sz w:val="24"/>
      <w:szCs w:val="24"/>
      <w:lang w:val="tr-TR" w:eastAsia="tr-TR"/>
      <w14:ligatures w14:val="none"/>
    </w:rPr>
  </w:style>
  <w:style w:type="character" w:customStyle="1" w:styleId="PlainTextChar">
    <w:name w:val="Plain Text Char"/>
    <w:basedOn w:val="DefaultParagraphFont"/>
    <w:link w:val="PlainText"/>
    <w:qFormat/>
    <w:rPr>
      <w:rFonts w:ascii="Courier New" w:eastAsia="Times New Roman" w:hAnsi="Courier New" w:cs="Times New Roman"/>
      <w:kern w:val="0"/>
      <w:sz w:val="20"/>
      <w:szCs w:val="20"/>
      <w:lang w:val="en-US"/>
      <w14:ligatures w14:val="none"/>
    </w:rPr>
  </w:style>
  <w:style w:type="paragraph" w:customStyle="1" w:styleId="Default">
    <w:name w:val="Default"/>
    <w:qFormat/>
    <w:pPr>
      <w:autoSpaceDE w:val="0"/>
      <w:autoSpaceDN w:val="0"/>
      <w:adjustRightInd w:val="0"/>
    </w:pPr>
    <w:rPr>
      <w:rFonts w:eastAsia="Times New Roman"/>
      <w:color w:val="000000"/>
      <w:sz w:val="24"/>
      <w:szCs w:val="24"/>
      <w:lang w:val="tr-TR" w:eastAsia="tr-TR"/>
    </w:rPr>
  </w:style>
  <w:style w:type="character" w:customStyle="1" w:styleId="CommentTextChar">
    <w:name w:val="Comment Text Char"/>
    <w:basedOn w:val="DefaultParagraphFont"/>
    <w:link w:val="CommentText"/>
    <w:uiPriority w:val="99"/>
    <w:semiHidden/>
    <w:qFormat/>
    <w:rPr>
      <w:rFonts w:ascii="Times New Roman" w:eastAsia="Times New Roman" w:hAnsi="Times New Roman" w:cs="Times New Roman"/>
      <w:kern w:val="0"/>
      <w:sz w:val="20"/>
      <w:szCs w:val="20"/>
      <w:lang w:val="en-GB"/>
      <w14:ligatures w14:val="none"/>
    </w:rPr>
  </w:style>
  <w:style w:type="paragraph" w:styleId="NoSpacing">
    <w:name w:val="No Spacing"/>
    <w:uiPriority w:val="1"/>
    <w:qFormat/>
    <w:rPr>
      <w:rFonts w:asciiTheme="minorHAnsi" w:eastAsiaTheme="minorHAnsi" w:hAnsiTheme="minorHAnsi" w:cstheme="minorBidi"/>
      <w:sz w:val="22"/>
      <w:szCs w:val="22"/>
      <w:lang w:val="tr-TR" w:eastAsia="en-US"/>
    </w:rPr>
  </w:style>
  <w:style w:type="paragraph" w:customStyle="1" w:styleId="EndNoteBibliography">
    <w:name w:val="EndNote Bibliography"/>
    <w:basedOn w:val="Normal"/>
    <w:link w:val="EndNoteBibliographyChar"/>
    <w:qFormat/>
    <w:pPr>
      <w:spacing w:after="200"/>
      <w:jc w:val="both"/>
    </w:pPr>
    <w:rPr>
      <w:rFonts w:ascii="Calibri" w:eastAsiaTheme="minorHAnsi" w:hAnsi="Calibri" w:cstheme="minorBidi"/>
      <w:sz w:val="22"/>
      <w:szCs w:val="22"/>
      <w:lang w:val="en-US" w:eastAsia="en-US"/>
    </w:rPr>
  </w:style>
  <w:style w:type="character" w:customStyle="1" w:styleId="EndNoteBibliographyChar">
    <w:name w:val="EndNote Bibliography Char"/>
    <w:basedOn w:val="DefaultParagraphFont"/>
    <w:link w:val="EndNoteBibliography"/>
    <w:qFormat/>
    <w:rPr>
      <w:rFonts w:ascii="Calibri" w:hAnsi="Calibri"/>
      <w:kern w:val="0"/>
      <w:lang w:val="en-US"/>
      <w14:ligatures w14:val="none"/>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UnresolvedMention">
    <w:name w:val="Unresolved Mention"/>
    <w:basedOn w:val="DefaultParagraphFont"/>
    <w:uiPriority w:val="99"/>
    <w:semiHidden/>
    <w:unhideWhenUsed/>
    <w:rsid w:val="00842830"/>
    <w:rPr>
      <w:color w:val="605E5C"/>
      <w:shd w:val="clear" w:color="auto" w:fill="E1DFDD"/>
    </w:rPr>
  </w:style>
  <w:style w:type="character" w:styleId="FollowedHyperlink">
    <w:name w:val="FollowedHyperlink"/>
    <w:basedOn w:val="DefaultParagraphFont"/>
    <w:uiPriority w:val="99"/>
    <w:semiHidden/>
    <w:unhideWhenUsed/>
    <w:rsid w:val="00B629E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5.jpeg"/><Relationship Id="rId21" Type="http://schemas.openxmlformats.org/officeDocument/2006/relationships/image" Target="media/image10.jpeg"/><Relationship Id="rId42" Type="http://schemas.openxmlformats.org/officeDocument/2006/relationships/hyperlink" Target="https://doi.org/10.1016/0092-8674(92)90362-3" TargetMode="External"/><Relationship Id="rId47" Type="http://schemas.openxmlformats.org/officeDocument/2006/relationships/hyperlink" Target="https://doi.org/10.1038/nrd1549" TargetMode="External"/><Relationship Id="rId63" Type="http://schemas.openxmlformats.org/officeDocument/2006/relationships/hyperlink" Target="https://doi.org/10.1038/nrc3106" TargetMode="External"/><Relationship Id="rId68" Type="http://schemas.openxmlformats.org/officeDocument/2006/relationships/hyperlink" Target="https://doi.org/10.1016/j.cell.2017.02.006" TargetMode="External"/><Relationship Id="rId7" Type="http://schemas.openxmlformats.org/officeDocument/2006/relationships/hyperlink" Target="http://dergipark.org.tr/ijct" TargetMode="External"/><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jpeg"/><Relationship Id="rId29" Type="http://schemas.openxmlformats.org/officeDocument/2006/relationships/image" Target="media/image18.jpeg"/><Relationship Id="rId11" Type="http://schemas.openxmlformats.org/officeDocument/2006/relationships/hyperlink" Target="https://orcid.org/0000-0001-9746-444X" TargetMode="External"/><Relationship Id="rId24" Type="http://schemas.openxmlformats.org/officeDocument/2006/relationships/image" Target="media/image13.jpeg"/><Relationship Id="rId32" Type="http://schemas.openxmlformats.org/officeDocument/2006/relationships/hyperlink" Target="https://doi.org/10.1242/dmm.049229" TargetMode="External"/><Relationship Id="rId37" Type="http://schemas.openxmlformats.org/officeDocument/2006/relationships/hyperlink" Target="https://doi.org/10.1152/physrev.00003.2012" TargetMode="External"/><Relationship Id="rId40" Type="http://schemas.openxmlformats.org/officeDocument/2006/relationships/hyperlink" Target="https://doi.org/10.3390/molecules200713384" TargetMode="External"/><Relationship Id="rId45" Type="http://schemas.openxmlformats.org/officeDocument/2006/relationships/hyperlink" Target="https://doi.org/10.1007/s11864-015-0330-z" TargetMode="External"/><Relationship Id="rId53" Type="http://schemas.openxmlformats.org/officeDocument/2006/relationships/hyperlink" Target="https://doi.org/10.1038/s41568-018-0076-6" TargetMode="External"/><Relationship Id="rId58" Type="http://schemas.openxmlformats.org/officeDocument/2006/relationships/hyperlink" Target="https://www.cancer.gov" TargetMode="External"/><Relationship Id="rId66" Type="http://schemas.openxmlformats.org/officeDocument/2006/relationships/hyperlink" Target="https://doi.org/10.1126/science.1062023" TargetMode="External"/><Relationship Id="rId5" Type="http://schemas.openxmlformats.org/officeDocument/2006/relationships/footnotes" Target="footnotes.xml"/><Relationship Id="rId61" Type="http://schemas.openxmlformats.org/officeDocument/2006/relationships/hyperlink" Target="https://doi.org/10.1038/nrclinonc.2009.111" TargetMode="External"/><Relationship Id="rId19" Type="http://schemas.openxmlformats.org/officeDocument/2006/relationships/image" Target="media/image8.jpeg"/><Relationship Id="rId14" Type="http://schemas.openxmlformats.org/officeDocument/2006/relationships/footer" Target="footer1.xml"/><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hyperlink" Target="https://doi.org/10.1016/j.cell.2015.05.044" TargetMode="External"/><Relationship Id="rId43" Type="http://schemas.openxmlformats.org/officeDocument/2006/relationships/hyperlink" Target="https://doi.org/10.1021/ci049714" TargetMode="External"/><Relationship Id="rId48" Type="http://schemas.openxmlformats.org/officeDocument/2006/relationships/hyperlink" Target="https://doi.org/10.1042/BCJ20220547" TargetMode="External"/><Relationship Id="rId56" Type="http://schemas.openxmlformats.org/officeDocument/2006/relationships/hyperlink" Target="https://doi.org/10.1038/s41573-020-0068-6" TargetMode="External"/><Relationship Id="rId64" Type="http://schemas.openxmlformats.org/officeDocument/2006/relationships/hyperlink" Target="https://doi.org/10.1038/370527a0" TargetMode="External"/><Relationship Id="rId69" Type="http://schemas.openxmlformats.org/officeDocument/2006/relationships/hyperlink" Target="https://doi.org/10.1093/nar/gkm290" TargetMode="External"/><Relationship Id="rId8" Type="http://schemas.openxmlformats.org/officeDocument/2006/relationships/image" Target="media/image1.png"/><Relationship Id="rId51" Type="http://schemas.openxmlformats.org/officeDocument/2006/relationships/hyperlink" Target="https://doi.org/10.1021/ci200227u" TargetMode="External"/><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3.GIF"/><Relationship Id="rId17" Type="http://schemas.openxmlformats.org/officeDocument/2006/relationships/image" Target="media/image6.jpeg"/><Relationship Id="rId25" Type="http://schemas.openxmlformats.org/officeDocument/2006/relationships/image" Target="media/image14.jpeg"/><Relationship Id="rId33" Type="http://schemas.openxmlformats.org/officeDocument/2006/relationships/hyperlink" Target="https://doi.org/10.1016/j.ccr.2012.07.024" TargetMode="External"/><Relationship Id="rId38" Type="http://schemas.openxmlformats.org/officeDocument/2006/relationships/hyperlink" Target="https://doi.org/10.1038/nrd4389" TargetMode="External"/><Relationship Id="rId46" Type="http://schemas.openxmlformats.org/officeDocument/2006/relationships/hyperlink" Target="https://doi.org/10.1093/nar/28.1.27" TargetMode="External"/><Relationship Id="rId59" Type="http://schemas.openxmlformats.org/officeDocument/2006/relationships/hyperlink" Target="https://doi.org/10.1016/j.ccr.2012.07.024" TargetMode="External"/><Relationship Id="rId67" Type="http://schemas.openxmlformats.org/officeDocument/2006/relationships/hyperlink" Target="https://doi.org/10.3389/fcell.2016.00033" TargetMode="External"/><Relationship Id="rId20" Type="http://schemas.openxmlformats.org/officeDocument/2006/relationships/image" Target="media/image9.png"/><Relationship Id="rId41" Type="http://schemas.openxmlformats.org/officeDocument/2006/relationships/hyperlink" Target="https://doi.org/10.1038/nrd4510" TargetMode="External"/><Relationship Id="rId54" Type="http://schemas.openxmlformats.org/officeDocument/2006/relationships/hyperlink" Target="https://doi.org/10.1073/pnas.1116510109" TargetMode="External"/><Relationship Id="rId62" Type="http://schemas.openxmlformats.org/officeDocument/2006/relationships/hyperlink" Target="https://doi.org/10.1038/nrd.2016.139" TargetMode="External"/><Relationship Id="rId70" Type="http://schemas.openxmlformats.org/officeDocument/2006/relationships/hyperlink" Target="https://doi.org/10.1016/0092-8674(92)90072-8"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hyperlink" Target="https://www.cancer.net" TargetMode="External"/><Relationship Id="rId49" Type="http://schemas.openxmlformats.org/officeDocument/2006/relationships/hyperlink" Target="https://doi.org/10.1093/bioinformatics/btx491" TargetMode="External"/><Relationship Id="rId57" Type="http://schemas.openxmlformats.org/officeDocument/2006/relationships/hyperlink" Target="https://doi.org/10.1002/jcc.21256" TargetMode="External"/><Relationship Id="rId10" Type="http://schemas.openxmlformats.org/officeDocument/2006/relationships/image" Target="media/image2.png"/><Relationship Id="rId31" Type="http://schemas.openxmlformats.org/officeDocument/2006/relationships/image" Target="media/image20.jpeg"/><Relationship Id="rId44" Type="http://schemas.openxmlformats.org/officeDocument/2006/relationships/hyperlink" Target="https://doi.org/10.1074/jbc.M117.778886" TargetMode="External"/><Relationship Id="rId52" Type="http://schemas.openxmlformats.org/officeDocument/2006/relationships/hyperlink" Target="https://doi.org/10.1016/j.jmb.2004.05.079" TargetMode="External"/><Relationship Id="rId60" Type="http://schemas.openxmlformats.org/officeDocument/2006/relationships/hyperlink" Target="https://doi.org/10.1021/acs.jnatprod.9b01285" TargetMode="External"/><Relationship Id="rId65" Type="http://schemas.openxmlformats.org/officeDocument/2006/relationships/hyperlink" Target="https://doi.org/10.1074/jbc.M110.145235" TargetMode="External"/><Relationship Id="rId4" Type="http://schemas.openxmlformats.org/officeDocument/2006/relationships/webSettings" Target="webSettings.xml"/><Relationship Id="rId9" Type="http://schemas.openxmlformats.org/officeDocument/2006/relationships/hyperlink" Target="https://orcid.org/0000-0001-8855-1058" TargetMode="External"/><Relationship Id="rId13" Type="http://schemas.openxmlformats.org/officeDocument/2006/relationships/header" Target="header1.xml"/><Relationship Id="rId18" Type="http://schemas.openxmlformats.org/officeDocument/2006/relationships/image" Target="media/image7.jpeg"/><Relationship Id="rId39" Type="http://schemas.openxmlformats.org/officeDocument/2006/relationships/hyperlink" Target="https://doi.org/10.1007/978-1-4939-2269-7_19" TargetMode="External"/><Relationship Id="rId34" Type="http://schemas.openxmlformats.org/officeDocument/2006/relationships/hyperlink" Target="https://doi.org/10.1016/S1470-2045(13)70024-X" TargetMode="External"/><Relationship Id="rId50" Type="http://schemas.openxmlformats.org/officeDocument/2006/relationships/hyperlink" Target="https://doi.org/10.1107/S0021889892009944" TargetMode="External"/><Relationship Id="rId55" Type="http://schemas.openxmlformats.org/officeDocument/2006/relationships/hyperlink" Target="https://doi.org/10.1158/1078-0432.CCR-14-26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9</Pages>
  <Words>5820</Words>
  <Characters>33178</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Nayanika Das</dc:creator>
  <cp:keywords/>
  <dc:description/>
  <cp:lastModifiedBy>Nayanika Das</cp:lastModifiedBy>
  <cp:revision>2</cp:revision>
  <cp:lastPrinted>2026-02-15T06:33:00Z</cp:lastPrinted>
  <dcterms:created xsi:type="dcterms:W3CDTF">2026-02-15T06:34:00Z</dcterms:created>
  <dcterms:modified xsi:type="dcterms:W3CDTF">2026-02-15T06:34:00Z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ce6f8098-f843-40b0-96a6-825e379825a6</vt:lpwstr>
  </property>
  <property fmtid="{D5CDD505-2E9C-101B-9397-08002B2CF9AE}" pid="3" name="KSOProductBuildVer">
    <vt:lpwstr>1033-12.2.0.23155</vt:lpwstr>
  </property>
  <property fmtid="{D5CDD505-2E9C-101B-9397-08002B2CF9AE}" pid="4" name="ICV">
    <vt:lpwstr>6683E4E2190841338EEF65DEAFD75351_12</vt:lpwstr>
  </property>
</Properties>
</file>