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thinThickSmallGap" w:sz="12"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1196"/>
      </w:tblGrid>
      <w:tr w:rsidR="004631AB" w14:paraId="5DFD4929" w14:textId="77777777">
        <w:tc>
          <w:tcPr>
            <w:tcW w:w="6810" w:type="dxa"/>
            <w:vAlign w:val="center"/>
          </w:tcPr>
          <w:p w14:paraId="58730711" w14:textId="77777777" w:rsidR="004631AB" w:rsidRDefault="004631AB">
            <w:pPr>
              <w:pStyle w:val="Footer"/>
              <w:rPr>
                <w:b/>
                <w:sz w:val="28"/>
                <w:szCs w:val="14"/>
                <w:lang w:val="en-US"/>
              </w:rPr>
            </w:pPr>
            <w:bookmarkStart w:id="0" w:name="_Hlk23005139"/>
            <w:bookmarkEnd w:id="0"/>
          </w:p>
          <w:p w14:paraId="4FE30BEA" w14:textId="77777777" w:rsidR="004631AB" w:rsidRDefault="00000000">
            <w:pPr>
              <w:pStyle w:val="Footer"/>
              <w:rPr>
                <w:b/>
                <w:sz w:val="28"/>
                <w:szCs w:val="14"/>
                <w:lang w:val="en-US"/>
              </w:rPr>
            </w:pPr>
            <w:r>
              <w:rPr>
                <w:b/>
                <w:sz w:val="28"/>
                <w:szCs w:val="14"/>
                <w:lang w:val="en-US"/>
              </w:rPr>
              <w:t>International Journal of Chemistry and Technology</w:t>
            </w:r>
          </w:p>
          <w:p w14:paraId="544CE9B2" w14:textId="77777777" w:rsidR="004631AB" w:rsidRDefault="004631AB">
            <w:pPr>
              <w:pStyle w:val="Footer"/>
              <w:rPr>
                <w:sz w:val="18"/>
                <w:szCs w:val="18"/>
                <w:lang w:val="en-US"/>
              </w:rPr>
            </w:pPr>
          </w:p>
          <w:p w14:paraId="25AE3BC4" w14:textId="77777777" w:rsidR="004631AB" w:rsidRDefault="004631AB">
            <w:pPr>
              <w:pStyle w:val="Footer"/>
              <w:rPr>
                <w:color w:val="0070C0"/>
                <w:sz w:val="18"/>
                <w:szCs w:val="18"/>
                <w:u w:val="single"/>
                <w:lang w:val="en-US"/>
              </w:rPr>
            </w:pPr>
            <w:hyperlink r:id="rId7" w:history="1">
              <w:r>
                <w:rPr>
                  <w:rStyle w:val="Hyperlink"/>
                  <w:rFonts w:eastAsiaTheme="majorEastAsia"/>
                  <w:color w:val="0070C0"/>
                  <w:sz w:val="18"/>
                  <w:szCs w:val="18"/>
                  <w:lang w:val="en-US"/>
                </w:rPr>
                <w:t>http://dergipark.org.tr/ijct</w:t>
              </w:r>
            </w:hyperlink>
          </w:p>
          <w:p w14:paraId="28378979" w14:textId="77777777" w:rsidR="004631AB" w:rsidRDefault="004631AB">
            <w:pPr>
              <w:pStyle w:val="Footer"/>
              <w:rPr>
                <w:sz w:val="18"/>
                <w:szCs w:val="18"/>
                <w:lang w:val="en-US"/>
              </w:rPr>
            </w:pPr>
          </w:p>
          <w:p w14:paraId="75A1B46E" w14:textId="77777777" w:rsidR="004631AB" w:rsidRDefault="00000000">
            <w:pPr>
              <w:pStyle w:val="Footer"/>
              <w:rPr>
                <w:sz w:val="18"/>
                <w:szCs w:val="18"/>
                <w:lang w:val="en-US"/>
              </w:rPr>
            </w:pPr>
            <w:r>
              <w:rPr>
                <w:sz w:val="18"/>
                <w:szCs w:val="18"/>
                <w:lang w:val="en-US"/>
              </w:rPr>
              <w:t>Research Article</w:t>
            </w:r>
          </w:p>
        </w:tc>
        <w:tc>
          <w:tcPr>
            <w:tcW w:w="1196" w:type="dxa"/>
            <w:vAlign w:val="center"/>
          </w:tcPr>
          <w:p w14:paraId="5793D91E" w14:textId="77777777" w:rsidR="004631AB" w:rsidRDefault="00000000">
            <w:pPr>
              <w:pStyle w:val="Footer"/>
              <w:rPr>
                <w:b/>
                <w:sz w:val="28"/>
                <w:szCs w:val="28"/>
                <w:lang w:val="en-US"/>
              </w:rPr>
            </w:pPr>
            <w:r>
              <w:rPr>
                <w:noProof/>
                <w:sz w:val="21"/>
                <w:szCs w:val="21"/>
                <w:shd w:val="clear" w:color="auto" w:fill="FFFFFF"/>
              </w:rPr>
              <w:drawing>
                <wp:inline distT="0" distB="0" distL="0" distR="0" wp14:anchorId="1FE70854" wp14:editId="7D373177">
                  <wp:extent cx="530225" cy="755015"/>
                  <wp:effectExtent l="0" t="0" r="317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8" cstate="print"/>
                          <a:stretch>
                            <a:fillRect/>
                          </a:stretch>
                        </pic:blipFill>
                        <pic:spPr>
                          <a:xfrm>
                            <a:off x="0" y="0"/>
                            <a:ext cx="533969" cy="760491"/>
                          </a:xfrm>
                          <a:prstGeom prst="rect">
                            <a:avLst/>
                          </a:prstGeom>
                        </pic:spPr>
                      </pic:pic>
                    </a:graphicData>
                  </a:graphic>
                </wp:inline>
              </w:drawing>
            </w:r>
          </w:p>
        </w:tc>
      </w:tr>
    </w:tbl>
    <w:p w14:paraId="58EC8DFF" w14:textId="77777777" w:rsidR="004631AB" w:rsidRDefault="004631AB">
      <w:pPr>
        <w:rPr>
          <w:sz w:val="18"/>
          <w:szCs w:val="18"/>
          <w:lang w:val="en-US"/>
        </w:rPr>
      </w:pPr>
    </w:p>
    <w:p w14:paraId="06106341" w14:textId="77777777" w:rsidR="004631AB" w:rsidRDefault="00000000">
      <w:pPr>
        <w:spacing w:line="276" w:lineRule="auto"/>
        <w:rPr>
          <w:b/>
          <w:bCs/>
          <w:sz w:val="28"/>
          <w:szCs w:val="28"/>
          <w:lang w:val="en-IN"/>
        </w:rPr>
      </w:pPr>
      <w:r>
        <w:rPr>
          <w:b/>
          <w:bCs/>
          <w:sz w:val="28"/>
          <w:szCs w:val="28"/>
          <w:highlight w:val="yellow"/>
          <w:lang w:val="en-IN"/>
        </w:rPr>
        <w:t>Virtual Screening and Docking of Natural Compounds as Selective Inhibitors of Mutant NRAS in Melanoma.</w:t>
      </w:r>
    </w:p>
    <w:tbl>
      <w:tblPr>
        <w:tblW w:w="9434" w:type="dxa"/>
        <w:tblInd w:w="399" w:type="dxa"/>
        <w:tblCellMar>
          <w:left w:w="70" w:type="dxa"/>
          <w:right w:w="70" w:type="dxa"/>
        </w:tblCellMar>
        <w:tblLook w:val="04A0" w:firstRow="1" w:lastRow="0" w:firstColumn="1" w:lastColumn="0" w:noHBand="0" w:noVBand="1"/>
      </w:tblPr>
      <w:tblGrid>
        <w:gridCol w:w="9434"/>
      </w:tblGrid>
      <w:tr w:rsidR="004631AB" w14:paraId="24BB863B" w14:textId="77777777">
        <w:trPr>
          <w:trHeight w:val="718"/>
        </w:trPr>
        <w:tc>
          <w:tcPr>
            <w:tcW w:w="9434" w:type="dxa"/>
          </w:tcPr>
          <w:p w14:paraId="3DBC7281" w14:textId="77777777" w:rsidR="004631AB" w:rsidRDefault="004631AB">
            <w:pPr>
              <w:pStyle w:val="NoSpacing"/>
              <w:jc w:val="center"/>
              <w:rPr>
                <w:rFonts w:ascii="Times New Roman" w:hAnsi="Times New Roman" w:cs="Times New Roman"/>
                <w:sz w:val="18"/>
                <w:lang w:val="en-IN"/>
              </w:rPr>
            </w:pPr>
          </w:p>
          <w:p w14:paraId="01819A0E" w14:textId="77777777" w:rsidR="004631AB" w:rsidRDefault="00000000">
            <w:pPr>
              <w:tabs>
                <w:tab w:val="left" w:pos="0"/>
              </w:tabs>
              <w:jc w:val="center"/>
              <w:rPr>
                <w:b/>
                <w:sz w:val="18"/>
                <w:szCs w:val="18"/>
                <w:vertAlign w:val="superscript"/>
              </w:rPr>
            </w:pPr>
            <w:r>
              <w:rPr>
                <w:b/>
                <w:noProof/>
                <w:sz w:val="18"/>
                <w:szCs w:val="18"/>
                <w:vertAlign w:val="superscript"/>
              </w:rPr>
              <w:drawing>
                <wp:inline distT="0" distB="0" distL="0" distR="0" wp14:anchorId="49718FDA" wp14:editId="24A86E25">
                  <wp:extent cx="137160" cy="137160"/>
                  <wp:effectExtent l="0" t="0" r="0" b="0"/>
                  <wp:docPr id="3" name="Resim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7160" cy="137160"/>
                          </a:xfrm>
                          <a:prstGeom prst="rect">
                            <a:avLst/>
                          </a:prstGeom>
                          <a:noFill/>
                        </pic:spPr>
                      </pic:pic>
                    </a:graphicData>
                  </a:graphic>
                </wp:inline>
              </w:drawing>
            </w:r>
            <w:r>
              <w:t>Nayanika DAS</w:t>
            </w:r>
            <w:r>
              <w:rPr>
                <w:b/>
                <w:sz w:val="18"/>
                <w:szCs w:val="18"/>
                <w:vertAlign w:val="superscript"/>
              </w:rPr>
              <w:t>1</w:t>
            </w:r>
            <w:r>
              <w:rPr>
                <w:b/>
                <w:sz w:val="18"/>
                <w:szCs w:val="18"/>
              </w:rPr>
              <w:t xml:space="preserve">,      </w:t>
            </w:r>
            <w:r>
              <w:rPr>
                <w:b/>
                <w:noProof/>
                <w:sz w:val="18"/>
                <w:szCs w:val="18"/>
                <w:vertAlign w:val="superscript"/>
              </w:rPr>
              <w:drawing>
                <wp:inline distT="0" distB="0" distL="0" distR="0" wp14:anchorId="6C965403" wp14:editId="5E21D75F">
                  <wp:extent cx="157480" cy="157480"/>
                  <wp:effectExtent l="0" t="0" r="0" b="0"/>
                  <wp:docPr id="4" name="Resim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7480" cy="157480"/>
                          </a:xfrm>
                          <a:prstGeom prst="rect">
                            <a:avLst/>
                          </a:prstGeom>
                          <a:noFill/>
                        </pic:spPr>
                      </pic:pic>
                    </a:graphicData>
                  </a:graphic>
                </wp:inline>
              </w:drawing>
            </w:r>
            <w:r>
              <w:t>Vijay BALADHYE</w:t>
            </w:r>
            <w:r>
              <w:rPr>
                <w:b/>
                <w:sz w:val="18"/>
                <w:szCs w:val="18"/>
                <w:vertAlign w:val="superscript"/>
              </w:rPr>
              <w:t>1</w:t>
            </w:r>
            <w:r>
              <w:rPr>
                <w:i/>
                <w:sz w:val="18"/>
                <w:szCs w:val="18"/>
                <w:lang w:val="es-ES"/>
              </w:rPr>
              <w:t>*</w:t>
            </w:r>
          </w:p>
          <w:p w14:paraId="63FFC0BC" w14:textId="77777777" w:rsidR="004631AB" w:rsidRDefault="004631AB">
            <w:pPr>
              <w:pStyle w:val="NoSpacing"/>
              <w:jc w:val="center"/>
              <w:rPr>
                <w:rFonts w:ascii="Times New Roman" w:hAnsi="Times New Roman" w:cs="Times New Roman"/>
                <w:sz w:val="18"/>
                <w:lang w:val="en-US"/>
              </w:rPr>
            </w:pPr>
          </w:p>
          <w:p w14:paraId="6591C83C" w14:textId="77777777" w:rsidR="004631AB" w:rsidRDefault="004631AB">
            <w:pPr>
              <w:pStyle w:val="NoSpacing"/>
              <w:jc w:val="center"/>
              <w:rPr>
                <w:rFonts w:ascii="Times New Roman" w:hAnsi="Times New Roman" w:cs="Times New Roman"/>
                <w:sz w:val="18"/>
                <w:lang w:val="en-US"/>
              </w:rPr>
            </w:pPr>
          </w:p>
        </w:tc>
      </w:tr>
    </w:tbl>
    <w:p w14:paraId="49195681" w14:textId="77777777" w:rsidR="004631AB" w:rsidRDefault="00000000">
      <w:pPr>
        <w:tabs>
          <w:tab w:val="left" w:pos="0"/>
        </w:tabs>
        <w:jc w:val="center"/>
        <w:rPr>
          <w:i/>
          <w:sz w:val="28"/>
          <w:szCs w:val="28"/>
          <w:lang w:val="es-ES"/>
        </w:rPr>
      </w:pPr>
      <w:r>
        <w:rPr>
          <w:i/>
          <w:sz w:val="28"/>
          <w:szCs w:val="28"/>
          <w:vertAlign w:val="superscript"/>
          <w:lang w:val="es-ES"/>
        </w:rPr>
        <w:t xml:space="preserve">¹ </w:t>
      </w:r>
      <w:proofErr w:type="spellStart"/>
      <w:r>
        <w:rPr>
          <w:i/>
          <w:sz w:val="28"/>
          <w:szCs w:val="28"/>
          <w:vertAlign w:val="superscript"/>
          <w:lang w:val="es-ES"/>
        </w:rPr>
        <w:t>Bioinformatics</w:t>
      </w:r>
      <w:proofErr w:type="spellEnd"/>
      <w:r>
        <w:rPr>
          <w:i/>
          <w:sz w:val="28"/>
          <w:szCs w:val="28"/>
          <w:vertAlign w:val="superscript"/>
          <w:lang w:val="es-ES"/>
        </w:rPr>
        <w:t xml:space="preserve"> Centre, </w:t>
      </w:r>
      <w:proofErr w:type="spellStart"/>
      <w:r>
        <w:rPr>
          <w:i/>
          <w:sz w:val="28"/>
          <w:szCs w:val="28"/>
          <w:vertAlign w:val="superscript"/>
          <w:lang w:val="es-ES"/>
        </w:rPr>
        <w:t>Savitribai</w:t>
      </w:r>
      <w:proofErr w:type="spellEnd"/>
      <w:r>
        <w:rPr>
          <w:i/>
          <w:sz w:val="28"/>
          <w:szCs w:val="28"/>
          <w:vertAlign w:val="superscript"/>
          <w:lang w:val="es-ES"/>
        </w:rPr>
        <w:t xml:space="preserve"> </w:t>
      </w:r>
      <w:proofErr w:type="spellStart"/>
      <w:r>
        <w:rPr>
          <w:i/>
          <w:sz w:val="28"/>
          <w:szCs w:val="28"/>
          <w:vertAlign w:val="superscript"/>
          <w:lang w:val="es-ES"/>
        </w:rPr>
        <w:t>Phule</w:t>
      </w:r>
      <w:proofErr w:type="spellEnd"/>
      <w:r>
        <w:rPr>
          <w:i/>
          <w:sz w:val="28"/>
          <w:szCs w:val="28"/>
          <w:vertAlign w:val="superscript"/>
          <w:lang w:val="es-ES"/>
        </w:rPr>
        <w:t xml:space="preserve"> Pune </w:t>
      </w:r>
      <w:proofErr w:type="spellStart"/>
      <w:r>
        <w:rPr>
          <w:i/>
          <w:sz w:val="28"/>
          <w:szCs w:val="28"/>
          <w:vertAlign w:val="superscript"/>
          <w:lang w:val="es-ES"/>
        </w:rPr>
        <w:t>University</w:t>
      </w:r>
      <w:proofErr w:type="spellEnd"/>
      <w:r>
        <w:rPr>
          <w:i/>
          <w:sz w:val="28"/>
          <w:szCs w:val="28"/>
          <w:vertAlign w:val="superscript"/>
          <w:lang w:val="es-ES"/>
        </w:rPr>
        <w:t>, Pune 411007 (MS), India.</w:t>
      </w:r>
    </w:p>
    <w:p w14:paraId="6C18813B" w14:textId="77777777" w:rsidR="004631AB" w:rsidRDefault="004631AB">
      <w:pPr>
        <w:spacing w:after="96"/>
        <w:ind w:left="3276" w:right="96"/>
        <w:jc w:val="both"/>
        <w:rPr>
          <w:i/>
          <w:sz w:val="18"/>
          <w:szCs w:val="18"/>
          <w:lang w:val="es-ES"/>
        </w:rPr>
      </w:pPr>
    </w:p>
    <w:p w14:paraId="0322A3A2" w14:textId="77777777" w:rsidR="004631AB" w:rsidRDefault="00000000">
      <w:pPr>
        <w:spacing w:after="96"/>
        <w:ind w:left="3276" w:right="96"/>
        <w:jc w:val="both"/>
        <w:rPr>
          <w:color w:val="1155CC"/>
          <w:sz w:val="15"/>
          <w:szCs w:val="15"/>
          <w:u w:val="single"/>
        </w:rPr>
      </w:pPr>
      <w:r>
        <w:rPr>
          <w:i/>
          <w:sz w:val="18"/>
          <w:szCs w:val="18"/>
          <w:lang w:val="es-ES"/>
        </w:rPr>
        <w:t>*</w:t>
      </w:r>
      <w:proofErr w:type="spellStart"/>
      <w:r>
        <w:rPr>
          <w:i/>
          <w:sz w:val="18"/>
          <w:szCs w:val="18"/>
          <w:lang w:val="es-ES"/>
        </w:rPr>
        <w:t>Corresponding</w:t>
      </w:r>
      <w:proofErr w:type="spellEnd"/>
      <w:r>
        <w:rPr>
          <w:i/>
          <w:sz w:val="18"/>
          <w:szCs w:val="18"/>
          <w:lang w:val="es-ES"/>
        </w:rPr>
        <w:t xml:space="preserve"> </w:t>
      </w:r>
      <w:proofErr w:type="spellStart"/>
      <w:proofErr w:type="gramStart"/>
      <w:r>
        <w:rPr>
          <w:i/>
          <w:sz w:val="18"/>
          <w:szCs w:val="18"/>
          <w:lang w:val="es-ES"/>
        </w:rPr>
        <w:t>author</w:t>
      </w:r>
      <w:proofErr w:type="spellEnd"/>
      <w:r>
        <w:rPr>
          <w:i/>
          <w:sz w:val="18"/>
          <w:szCs w:val="18"/>
          <w:lang w:val="es-ES"/>
        </w:rPr>
        <w:t xml:space="preserve"> :</w:t>
      </w:r>
      <w:proofErr w:type="gramEnd"/>
      <w:r>
        <w:rPr>
          <w:i/>
          <w:sz w:val="18"/>
          <w:szCs w:val="18"/>
          <w:lang w:val="es-ES"/>
        </w:rPr>
        <w:t xml:space="preserve"> </w:t>
      </w:r>
      <w:r>
        <w:rPr>
          <w:rFonts w:ascii="SimSun" w:eastAsia="SimSun" w:hAnsi="SimSun" w:cs="SimSun"/>
          <w:noProof/>
          <w:color w:val="202124"/>
          <w:sz w:val="18"/>
          <w:szCs w:val="18"/>
          <w:lang w:val="en-US" w:eastAsia="zh-CN" w:bidi="ar"/>
        </w:rPr>
        <w:drawing>
          <wp:inline distT="0" distB="0" distL="114300" distR="114300" wp14:anchorId="53504116" wp14:editId="48DDC035">
            <wp:extent cx="9525" cy="952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2"/>
                    <a:stretch>
                      <a:fillRect/>
                    </a:stretch>
                  </pic:blipFill>
                  <pic:spPr>
                    <a:xfrm>
                      <a:off x="0" y="0"/>
                      <a:ext cx="9525" cy="9525"/>
                    </a:xfrm>
                    <a:prstGeom prst="rect">
                      <a:avLst/>
                    </a:prstGeom>
                    <a:noFill/>
                    <a:ln w="9525">
                      <a:noFill/>
                    </a:ln>
                  </pic:spPr>
                </pic:pic>
              </a:graphicData>
            </a:graphic>
          </wp:inline>
        </w:drawing>
      </w:r>
      <w:r>
        <w:rPr>
          <w:rFonts w:eastAsia="SimSun"/>
          <w:color w:val="1155CC"/>
          <w:sz w:val="16"/>
          <w:szCs w:val="16"/>
          <w:u w:val="single"/>
          <w:lang w:val="en-US" w:eastAsia="zh-CN" w:bidi="ar"/>
        </w:rPr>
        <w:t>vijaybaladhye@gmail.com</w:t>
      </w:r>
    </w:p>
    <w:p w14:paraId="62EC203E" w14:textId="77777777" w:rsidR="004631AB" w:rsidRDefault="004631AB">
      <w:pPr>
        <w:tabs>
          <w:tab w:val="left" w:pos="0"/>
        </w:tabs>
        <w:rPr>
          <w:rFonts w:ascii="Cambria" w:hAnsi="Cambria"/>
          <w:sz w:val="20"/>
          <w:szCs w:val="20"/>
          <w:lang w:val="es-ES"/>
        </w:rPr>
      </w:pPr>
    </w:p>
    <w:p w14:paraId="179DD2AE" w14:textId="77777777" w:rsidR="004631AB" w:rsidRDefault="00000000">
      <w:pPr>
        <w:shd w:val="clear" w:color="auto" w:fill="FFFFFF"/>
        <w:rPr>
          <w:sz w:val="15"/>
          <w:szCs w:val="15"/>
          <w:lang w:val="en-US"/>
        </w:rPr>
      </w:pPr>
      <w:r>
        <w:rPr>
          <w:sz w:val="15"/>
          <w:szCs w:val="15"/>
          <w:lang w:val="en-US"/>
        </w:rPr>
        <w:t>------------------------------------------------------------------------------------------------------------------------------------------------------------------------------------------------</w:t>
      </w:r>
    </w:p>
    <w:p w14:paraId="1CA813C3" w14:textId="77777777" w:rsidR="004631AB" w:rsidRDefault="004631AB">
      <w:pPr>
        <w:spacing w:after="120"/>
        <w:rPr>
          <w:b/>
          <w:sz w:val="18"/>
          <w:szCs w:val="18"/>
          <w:lang w:val="en-US"/>
        </w:rPr>
        <w:sectPr w:rsidR="004631AB">
          <w:headerReference w:type="default" r:id="rId13"/>
          <w:footerReference w:type="default" r:id="rId14"/>
          <w:pgSz w:w="11907" w:h="16839"/>
          <w:pgMar w:top="1701" w:right="1134" w:bottom="1418" w:left="1134" w:header="709" w:footer="709" w:gutter="0"/>
          <w:pgNumType w:start="1"/>
          <w:cols w:space="708"/>
          <w:docGrid w:linePitch="360"/>
        </w:sectPr>
      </w:pPr>
    </w:p>
    <w:p w14:paraId="770ADC4E" w14:textId="77777777" w:rsidR="004631AB" w:rsidRDefault="004631AB">
      <w:pPr>
        <w:rPr>
          <w:b/>
          <w:color w:val="0070C0"/>
          <w:sz w:val="20"/>
          <w:szCs w:val="20"/>
          <w:lang w:val="en-US"/>
        </w:rPr>
      </w:pPr>
    </w:p>
    <w:p w14:paraId="76B28C93" w14:textId="77777777" w:rsidR="004631AB" w:rsidRDefault="004631AB">
      <w:pPr>
        <w:rPr>
          <w:b/>
          <w:color w:val="0070C0"/>
          <w:sz w:val="20"/>
          <w:szCs w:val="20"/>
          <w:lang w:val="en-US"/>
        </w:rPr>
      </w:pPr>
    </w:p>
    <w:p w14:paraId="3AC7E780" w14:textId="77777777" w:rsidR="004631AB" w:rsidRDefault="004631AB">
      <w:pPr>
        <w:rPr>
          <w:b/>
          <w:color w:val="0070C0"/>
          <w:sz w:val="20"/>
          <w:szCs w:val="20"/>
          <w:lang w:val="en-US"/>
        </w:rPr>
        <w:sectPr w:rsidR="004631AB">
          <w:type w:val="continuous"/>
          <w:pgSz w:w="11907" w:h="16839"/>
          <w:pgMar w:top="1701" w:right="1134" w:bottom="1135" w:left="1134" w:header="709" w:footer="709" w:gutter="0"/>
          <w:pgNumType w:start="176"/>
          <w:cols w:num="2" w:space="567"/>
          <w:docGrid w:linePitch="360"/>
        </w:sectPr>
      </w:pPr>
    </w:p>
    <w:p w14:paraId="2208FC55" w14:textId="77777777" w:rsidR="004631AB" w:rsidRDefault="00000000">
      <w:pPr>
        <w:rPr>
          <w:b/>
          <w:color w:val="0070C0"/>
          <w:sz w:val="18"/>
          <w:szCs w:val="18"/>
          <w:lang w:val="en-US"/>
        </w:rPr>
      </w:pPr>
      <w:r>
        <w:rPr>
          <w:b/>
          <w:color w:val="0070C0"/>
          <w:sz w:val="18"/>
          <w:szCs w:val="18"/>
          <w:lang w:val="en-US"/>
        </w:rPr>
        <w:t xml:space="preserve">ABSTRACT </w:t>
      </w:r>
    </w:p>
    <w:p w14:paraId="4DC512C2" w14:textId="77777777" w:rsidR="004631AB" w:rsidRDefault="004631AB">
      <w:pPr>
        <w:rPr>
          <w:b/>
          <w:color w:val="0070C0"/>
          <w:sz w:val="18"/>
          <w:szCs w:val="18"/>
          <w:lang w:val="en-US"/>
        </w:rPr>
      </w:pPr>
    </w:p>
    <w:p w14:paraId="1C6D7A11" w14:textId="77777777" w:rsidR="004631AB" w:rsidRDefault="00000000">
      <w:pPr>
        <w:jc w:val="both"/>
        <w:rPr>
          <w:sz w:val="18"/>
          <w:szCs w:val="18"/>
        </w:rPr>
      </w:pPr>
      <w:r>
        <w:rPr>
          <w:sz w:val="18"/>
          <w:szCs w:val="18"/>
        </w:rPr>
        <w:t>Melanoma is an aggressive and currently incurable skin cancer, primarily affecting individuals with light skin pigmentation. Key oncogenic drivers include mutations in BRAF, NRAS, CDK4 and MITF, with signaling mediated mainly through the MAPK and PI3K–Akt pathways. MEK inhibitors have shown limited clinical success, emphasizing the need for novel therapeutic agents. In this study, structure-based virtual screening and molecular docking were employed to identify natural products that inhibit mutant NRAS. The crystal structure of wild-type NRAS was obtained from the Protein Data Bank and clinically relevant mutations (Gly12, Gly13, Gln61) were introduced computationally. A library of natural compounds from the ZINC database was screened, identifying candidates based on binding free energy. Eleven top-ranking compounds were further analyzed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2EF08CA2" w14:textId="77777777" w:rsidR="004631AB" w:rsidRDefault="004631AB">
      <w:pPr>
        <w:jc w:val="both"/>
        <w:rPr>
          <w:rFonts w:eastAsia="Calibri"/>
          <w:sz w:val="18"/>
          <w:szCs w:val="18"/>
          <w:lang w:val="en"/>
        </w:rPr>
      </w:pPr>
    </w:p>
    <w:p w14:paraId="5D4FEE01" w14:textId="77777777" w:rsidR="004631AB" w:rsidRDefault="00000000">
      <w:pPr>
        <w:jc w:val="both"/>
        <w:rPr>
          <w:rFonts w:eastAsia="Calibri"/>
          <w:sz w:val="18"/>
          <w:szCs w:val="18"/>
          <w:lang w:val="en-US"/>
        </w:rPr>
        <w:sectPr w:rsidR="004631AB">
          <w:type w:val="continuous"/>
          <w:pgSz w:w="11907" w:h="16839"/>
          <w:pgMar w:top="1701" w:right="1134" w:bottom="1135" w:left="1134" w:header="709" w:footer="709" w:gutter="0"/>
          <w:pgNumType w:start="176"/>
          <w:cols w:space="567"/>
          <w:docGrid w:linePitch="360"/>
        </w:sectPr>
      </w:pPr>
      <w:r>
        <w:rPr>
          <w:b/>
          <w:color w:val="0070C0"/>
          <w:sz w:val="18"/>
          <w:szCs w:val="18"/>
          <w:lang w:val="en-US"/>
        </w:rPr>
        <w:t>Keywords:</w:t>
      </w:r>
      <w:r>
        <w:rPr>
          <w:b/>
          <w:color w:val="4472C4" w:themeColor="accent1"/>
          <w:sz w:val="18"/>
          <w:szCs w:val="18"/>
          <w:lang w:val="en-US"/>
        </w:rPr>
        <w:t xml:space="preserve"> </w:t>
      </w:r>
      <w:r>
        <w:rPr>
          <w:sz w:val="18"/>
          <w:szCs w:val="18"/>
        </w:rPr>
        <w:t xml:space="preserve">NRAS, melanoma, molecular docking, MEK inhibitor, natural compounds etc. </w:t>
      </w:r>
    </w:p>
    <w:p w14:paraId="5E6A7D52" w14:textId="77777777" w:rsidR="004631AB" w:rsidRDefault="004631AB">
      <w:pPr>
        <w:rPr>
          <w:b/>
          <w:color w:val="0070C0"/>
          <w:sz w:val="20"/>
          <w:szCs w:val="20"/>
          <w:lang w:val="en-US"/>
        </w:rPr>
      </w:pPr>
    </w:p>
    <w:p w14:paraId="36568E47" w14:textId="77777777" w:rsidR="004631AB" w:rsidRDefault="004631AB">
      <w:pPr>
        <w:pStyle w:val="PlainText"/>
        <w:rPr>
          <w:rFonts w:ascii="Times New Roman" w:hAnsi="Times New Roman"/>
          <w:sz w:val="15"/>
          <w:szCs w:val="15"/>
        </w:rPr>
        <w:sectPr w:rsidR="004631AB">
          <w:type w:val="continuous"/>
          <w:pgSz w:w="11907" w:h="16839"/>
          <w:pgMar w:top="1701" w:right="1134" w:bottom="1135" w:left="1134" w:header="709" w:footer="709" w:gutter="0"/>
          <w:pgNumType w:start="176"/>
          <w:cols w:num="2" w:space="567"/>
          <w:docGrid w:linePitch="360"/>
        </w:sectPr>
      </w:pPr>
    </w:p>
    <w:p w14:paraId="319D0B51" w14:textId="77777777" w:rsidR="004631AB" w:rsidRDefault="00000000">
      <w:pPr>
        <w:pStyle w:val="PlainText"/>
        <w:rPr>
          <w:rFonts w:ascii="Times New Roman" w:hAnsi="Times New Roman"/>
          <w:sz w:val="15"/>
          <w:szCs w:val="15"/>
        </w:rPr>
        <w:sectPr w:rsidR="004631AB">
          <w:type w:val="continuous"/>
          <w:pgSz w:w="11907" w:h="16839"/>
          <w:pgMar w:top="1701" w:right="1134" w:bottom="1135" w:left="1134" w:header="709" w:footer="709" w:gutter="0"/>
          <w:pgNumType w:start="176"/>
          <w:cols w:space="567"/>
          <w:docGrid w:linePitch="360"/>
        </w:sectPr>
      </w:pPr>
      <w:r>
        <w:rPr>
          <w:rFonts w:ascii="Times New Roman" w:hAnsi="Times New Roman"/>
          <w:sz w:val="15"/>
          <w:szCs w:val="15"/>
        </w:rPr>
        <w:t>------------------------------------------------------------------------------------------------------------------------------------------------------------------------------------------------</w:t>
      </w:r>
    </w:p>
    <w:p w14:paraId="70C7EDE0" w14:textId="77777777" w:rsidR="004631AB" w:rsidRDefault="004631AB">
      <w:pPr>
        <w:tabs>
          <w:tab w:val="left" w:pos="284"/>
        </w:tabs>
        <w:rPr>
          <w:sz w:val="18"/>
          <w:szCs w:val="18"/>
          <w:lang w:val="en-US"/>
        </w:rPr>
      </w:pPr>
    </w:p>
    <w:p w14:paraId="40FDA735" w14:textId="77777777" w:rsidR="004631AB" w:rsidRDefault="004631AB">
      <w:pPr>
        <w:tabs>
          <w:tab w:val="left" w:pos="284"/>
        </w:tabs>
        <w:rPr>
          <w:sz w:val="18"/>
          <w:szCs w:val="18"/>
          <w:lang w:val="en-US"/>
        </w:rPr>
      </w:pPr>
    </w:p>
    <w:p w14:paraId="5E046768" w14:textId="77777777" w:rsidR="004631AB" w:rsidRDefault="004631AB">
      <w:pPr>
        <w:tabs>
          <w:tab w:val="left" w:pos="284"/>
        </w:tabs>
        <w:rPr>
          <w:sz w:val="18"/>
          <w:szCs w:val="18"/>
          <w:lang w:val="en-US"/>
        </w:rPr>
        <w:sectPr w:rsidR="004631AB">
          <w:type w:val="continuous"/>
          <w:pgSz w:w="11907" w:h="16839"/>
          <w:pgMar w:top="1701" w:right="1134" w:bottom="1135" w:left="1134" w:header="709" w:footer="709" w:gutter="0"/>
          <w:pgNumType w:start="176"/>
          <w:cols w:num="2" w:space="567"/>
          <w:docGrid w:linePitch="360"/>
        </w:sectPr>
      </w:pPr>
    </w:p>
    <w:p w14:paraId="69FFE1BC" w14:textId="77777777" w:rsidR="004631AB" w:rsidRDefault="004631AB">
      <w:pPr>
        <w:pStyle w:val="PlainText"/>
        <w:rPr>
          <w:rFonts w:ascii="Times New Roman" w:hAnsi="Times New Roman"/>
          <w:sz w:val="15"/>
          <w:szCs w:val="15"/>
        </w:rPr>
        <w:sectPr w:rsidR="004631AB">
          <w:type w:val="continuous"/>
          <w:pgSz w:w="11907" w:h="16839"/>
          <w:pgMar w:top="1701" w:right="992" w:bottom="1418" w:left="1134" w:header="709" w:footer="709" w:gutter="0"/>
          <w:pgNumType w:start="176"/>
          <w:cols w:space="708"/>
          <w:docGrid w:linePitch="360"/>
        </w:sectPr>
      </w:pPr>
    </w:p>
    <w:p w14:paraId="1883EB26" w14:textId="77777777" w:rsidR="004631AB" w:rsidRDefault="00000000">
      <w:pPr>
        <w:jc w:val="both"/>
        <w:rPr>
          <w:b/>
          <w:color w:val="0070C0"/>
          <w:sz w:val="20"/>
          <w:szCs w:val="20"/>
          <w:lang w:val="en-US"/>
        </w:rPr>
      </w:pPr>
      <w:r>
        <w:rPr>
          <w:b/>
          <w:color w:val="0070C0"/>
          <w:sz w:val="20"/>
          <w:szCs w:val="20"/>
          <w:lang w:val="en-US"/>
        </w:rPr>
        <w:t xml:space="preserve">1. INTRODUCTION </w:t>
      </w:r>
    </w:p>
    <w:p w14:paraId="17E0E254" w14:textId="77777777" w:rsidR="004631AB" w:rsidRDefault="004631AB">
      <w:pPr>
        <w:jc w:val="both"/>
        <w:rPr>
          <w:b/>
          <w:color w:val="0070C0"/>
          <w:sz w:val="20"/>
          <w:szCs w:val="20"/>
          <w:lang w:val="en-US"/>
        </w:rPr>
      </w:pPr>
    </w:p>
    <w:p w14:paraId="1C3BAF90" w14:textId="0822112F" w:rsidR="004631AB" w:rsidRPr="00CE756C" w:rsidRDefault="00000000" w:rsidP="00CE756C">
      <w:pPr>
        <w:jc w:val="both"/>
        <w:rPr>
          <w:rFonts w:eastAsia="Calibri"/>
          <w:bCs/>
          <w:sz w:val="20"/>
          <w:szCs w:val="20"/>
          <w:lang w:val="en-US"/>
        </w:rPr>
      </w:pPr>
      <w:r>
        <w:rPr>
          <w:rFonts w:eastAsia="Calibri"/>
          <w:bCs/>
          <w:sz w:val="20"/>
          <w:szCs w:val="20"/>
          <w:lang w:val="en-US"/>
        </w:rPr>
        <w:t>Melanoma is a deadly form of skin cancer</w:t>
      </w:r>
      <w:r w:rsidR="00705203">
        <w:rPr>
          <w:rFonts w:eastAsia="Calibri"/>
          <w:bCs/>
          <w:sz w:val="20"/>
          <w:szCs w:val="20"/>
          <w:lang w:val="en-US"/>
        </w:rPr>
        <w:t xml:space="preserve"> </w:t>
      </w:r>
      <w:r>
        <w:rPr>
          <w:rFonts w:eastAsia="Calibri"/>
          <w:bCs/>
          <w:sz w:val="20"/>
          <w:szCs w:val="20"/>
          <w:lang w:val="en-US"/>
        </w:rPr>
        <w:t>responsible for most deaths worldwide. At the basal level of the epidermis melanocytes are found, which produce the UV absorbing pigment melanin</w:t>
      </w:r>
      <w:r>
        <w:rPr>
          <w:rFonts w:eastAsia="Calibri"/>
          <w:bCs/>
          <w:color w:val="4472C4" w:themeColor="accent1"/>
          <w:sz w:val="20"/>
          <w:szCs w:val="20"/>
          <w:lang w:val="en-US"/>
        </w:rPr>
        <w:t xml:space="preserve"> </w:t>
      </w:r>
      <w:r w:rsidRPr="00842830">
        <w:rPr>
          <w:rFonts w:eastAsia="Calibri"/>
          <w:bCs/>
          <w:color w:val="0070C0"/>
          <w:sz w:val="20"/>
          <w:szCs w:val="20"/>
          <w:lang w:val="en-US"/>
        </w:rPr>
        <w:t>(Cancer.Net Editorial Board, 2025)</w:t>
      </w:r>
      <w:r w:rsidR="00842830">
        <w:rPr>
          <w:rFonts w:eastAsia="Calibri"/>
          <w:bCs/>
          <w:color w:val="0070C0"/>
          <w:sz w:val="20"/>
          <w:szCs w:val="20"/>
          <w:lang w:val="en-US"/>
        </w:rPr>
        <w:t xml:space="preserve">. </w:t>
      </w:r>
      <w:r>
        <w:rPr>
          <w:rFonts w:eastAsia="Calibri"/>
          <w:bCs/>
          <w:sz w:val="20"/>
          <w:szCs w:val="20"/>
          <w:lang w:val="en-US"/>
        </w:rPr>
        <w:t xml:space="preserve">It's a combination of environmental and genetic factors; the majority of melanomas arise from somatic mutations acquired later in life. </w:t>
      </w:r>
      <w:r w:rsidR="00842830" w:rsidRPr="00B629E1">
        <w:rPr>
          <w:rFonts w:eastAsia="Calibri"/>
          <w:bCs/>
          <w:sz w:val="20"/>
          <w:szCs w:val="20"/>
          <w:highlight w:val="yellow"/>
        </w:rPr>
        <w:t xml:space="preserve">Among the key molecular drivers of melanoma are mutations in the RAS family of small GTPases </w:t>
      </w:r>
      <w:r w:rsidR="00842830" w:rsidRPr="00B629E1">
        <w:rPr>
          <w:rFonts w:eastAsia="Calibri"/>
          <w:bCs/>
          <w:color w:val="0070C0"/>
          <w:sz w:val="20"/>
          <w:szCs w:val="20"/>
          <w:highlight w:val="yellow"/>
        </w:rPr>
        <w:t xml:space="preserve">(Al Mahi &amp; Ablain, 2022). </w:t>
      </w:r>
      <w:r w:rsidR="00B629E1" w:rsidRPr="00B629E1">
        <w:rPr>
          <w:rFonts w:eastAsia="Calibri"/>
          <w:bCs/>
          <w:sz w:val="20"/>
          <w:szCs w:val="20"/>
          <w:highlight w:val="yellow"/>
        </w:rPr>
        <w:t xml:space="preserve">RAS family proteins play a central role in a variety of cellular processes such as signaling, survival, apoptosis, and membrane trafficking </w:t>
      </w:r>
      <w:r w:rsidR="008C44F2" w:rsidRPr="008C44F2">
        <w:rPr>
          <w:rFonts w:eastAsia="Calibri"/>
          <w:bCs/>
          <w:color w:val="0070C0"/>
          <w:sz w:val="20"/>
          <w:szCs w:val="20"/>
          <w:highlight w:val="yellow"/>
        </w:rPr>
        <w:t>(Cherfils &amp; Zeghouf, 2013; Hu &amp; Martí, 2025; Ostrem &amp; Shokat, 2016)</w:t>
      </w:r>
      <w:r w:rsidR="008C44F2">
        <w:rPr>
          <w:rFonts w:eastAsia="Calibri"/>
          <w:bCs/>
          <w:color w:val="0070C0"/>
          <w:sz w:val="20"/>
          <w:szCs w:val="20"/>
          <w:highlight w:val="yellow"/>
        </w:rPr>
        <w:t xml:space="preserve">. </w:t>
      </w:r>
      <w:r w:rsidR="00A020CB" w:rsidRPr="00A020CB">
        <w:rPr>
          <w:rFonts w:eastAsia="Calibri"/>
          <w:bCs/>
          <w:sz w:val="20"/>
          <w:szCs w:val="20"/>
          <w:highlight w:val="yellow"/>
        </w:rPr>
        <w:t>They function like binary switches, cycling between an active (GTP-bound) and inactive (GDP-bound) state</w:t>
      </w:r>
      <w:r w:rsidR="00646659">
        <w:rPr>
          <w:rFonts w:eastAsia="Calibri"/>
          <w:bCs/>
          <w:sz w:val="20"/>
          <w:szCs w:val="20"/>
          <w:highlight w:val="yellow"/>
        </w:rPr>
        <w:t>, t</w:t>
      </w:r>
      <w:r w:rsidR="00646659" w:rsidRPr="00646659">
        <w:rPr>
          <w:rFonts w:eastAsia="Calibri"/>
          <w:bCs/>
          <w:sz w:val="20"/>
          <w:szCs w:val="20"/>
          <w:highlight w:val="yellow"/>
        </w:rPr>
        <w:t xml:space="preserve">his switching mechanism is governed primarily by two flexible regions known as </w:t>
      </w:r>
      <w:r w:rsidR="00646659" w:rsidRPr="00646659">
        <w:rPr>
          <w:rFonts w:eastAsia="Calibri"/>
          <w:sz w:val="20"/>
          <w:szCs w:val="20"/>
          <w:highlight w:val="yellow"/>
        </w:rPr>
        <w:t>Switch I (residues ~30–38) and Switch II (residues ~59–67).</w:t>
      </w:r>
      <w:r w:rsidR="00A020CB" w:rsidRPr="00A020CB">
        <w:rPr>
          <w:rFonts w:eastAsia="Calibri"/>
          <w:bCs/>
          <w:sz w:val="20"/>
          <w:szCs w:val="20"/>
          <w:highlight w:val="yellow"/>
        </w:rPr>
        <w:t xml:space="preserve"> </w:t>
      </w:r>
      <w:r w:rsidR="008C44F2" w:rsidRPr="008C44F2">
        <w:rPr>
          <w:rFonts w:eastAsia="Calibri"/>
          <w:bCs/>
          <w:color w:val="0070C0"/>
          <w:sz w:val="20"/>
          <w:szCs w:val="20"/>
          <w:highlight w:val="yellow"/>
        </w:rPr>
        <w:t xml:space="preserve">(Hu &amp; Martí, 2025; Kolch et al., 2023; Li &amp; Zhang, 2004; Spoerner et al., 2010; Vetter &amp; </w:t>
      </w:r>
      <w:r w:rsidR="008C44F2" w:rsidRPr="008C44F2">
        <w:rPr>
          <w:rFonts w:eastAsia="Calibri"/>
          <w:bCs/>
          <w:color w:val="0070C0"/>
          <w:sz w:val="20"/>
          <w:szCs w:val="20"/>
          <w:highlight w:val="yellow"/>
        </w:rPr>
        <w:t>Wittinghofer, 2001)</w:t>
      </w:r>
      <w:r w:rsidR="008C44F2">
        <w:rPr>
          <w:rFonts w:eastAsia="Calibri"/>
          <w:bCs/>
          <w:color w:val="0070C0"/>
          <w:sz w:val="20"/>
          <w:szCs w:val="20"/>
          <w:highlight w:val="yellow"/>
        </w:rPr>
        <w:t xml:space="preserve"> </w:t>
      </w:r>
      <w:r w:rsidRPr="003C0A8F">
        <w:rPr>
          <w:rFonts w:eastAsia="Calibri"/>
          <w:bCs/>
          <w:sz w:val="20"/>
          <w:szCs w:val="20"/>
          <w:highlight w:val="yellow"/>
          <w:lang w:val="en-US"/>
        </w:rPr>
        <w:t>and inactive (GDP-bound) states</w:t>
      </w:r>
      <w:r w:rsidR="00A020CB">
        <w:rPr>
          <w:rFonts w:eastAsia="Calibri"/>
          <w:bCs/>
          <w:sz w:val="20"/>
          <w:szCs w:val="20"/>
          <w:highlight w:val="yellow"/>
          <w:lang w:val="en-US"/>
        </w:rPr>
        <w:t xml:space="preserve">. </w:t>
      </w:r>
      <w:r w:rsidRPr="003C0A8F">
        <w:rPr>
          <w:rFonts w:eastAsia="Calibri"/>
          <w:bCs/>
          <w:sz w:val="20"/>
          <w:szCs w:val="20"/>
          <w:highlight w:val="yellow"/>
          <w:lang w:val="en-US"/>
        </w:rPr>
        <w:t xml:space="preserve">Ras is activated or inactivated when bound to GTP or </w:t>
      </w:r>
      <w:r w:rsidR="00A020CB" w:rsidRPr="003C0A8F">
        <w:rPr>
          <w:rFonts w:eastAsia="Calibri"/>
          <w:bCs/>
          <w:sz w:val="20"/>
          <w:szCs w:val="20"/>
          <w:highlight w:val="yellow"/>
          <w:lang w:val="en-US"/>
        </w:rPr>
        <w:t>GDP, respectively</w:t>
      </w:r>
      <w:r w:rsidR="008C44F2" w:rsidRPr="008C44F2">
        <w:rPr>
          <w:rFonts w:eastAsia="Calibri"/>
          <w:bCs/>
          <w:sz w:val="20"/>
          <w:szCs w:val="20"/>
          <w:highlight w:val="yellow"/>
        </w:rPr>
        <w:t xml:space="preserve">When activated, they can interact with effector proteins that control fundamental biological processes such as EGFR, MAPK, or PI3K </w:t>
      </w:r>
      <w:r w:rsidR="008C44F2" w:rsidRPr="008C44F2">
        <w:rPr>
          <w:rFonts w:eastAsia="Calibri"/>
          <w:bCs/>
          <w:color w:val="0070C0"/>
          <w:sz w:val="20"/>
          <w:szCs w:val="20"/>
          <w:highlight w:val="yellow"/>
        </w:rPr>
        <w:t xml:space="preserve">(Ardito et al., 2012; Howe et al., 1992; Navas et al., 2012; Normanno et al., 2009; Rodriguez-Viciana et al., 1994; Wood et al., 1992). </w:t>
      </w:r>
      <w:r w:rsidR="00CB1660" w:rsidRPr="00CB1660">
        <w:rPr>
          <w:rFonts w:eastAsia="Calibri"/>
          <w:bCs/>
          <w:sz w:val="20"/>
          <w:szCs w:val="20"/>
          <w:highlight w:val="yellow"/>
        </w:rPr>
        <w:t xml:space="preserve">However, excessive activation of RAS will eventually lead to cancers such as melanoma, colorectal, lung, and especially pancreatic cancer </w:t>
      </w:r>
      <w:r w:rsidR="00CB1660" w:rsidRPr="00CB1660">
        <w:rPr>
          <w:rFonts w:eastAsia="Calibri"/>
          <w:bCs/>
          <w:color w:val="0070C0"/>
          <w:sz w:val="20"/>
          <w:szCs w:val="20"/>
          <w:highlight w:val="yellow"/>
        </w:rPr>
        <w:t>(Li et al., 2018; Moore et al., 2020).</w:t>
      </w:r>
      <w:r w:rsidR="00CB1660">
        <w:rPr>
          <w:rFonts w:eastAsia="Calibri"/>
          <w:bCs/>
          <w:color w:val="0070C0"/>
          <w:sz w:val="20"/>
          <w:szCs w:val="20"/>
          <w:highlight w:val="yellow"/>
        </w:rPr>
        <w:t xml:space="preserve"> </w:t>
      </w:r>
      <w:r w:rsidRPr="003C0A8F">
        <w:rPr>
          <w:rFonts w:eastAsia="Calibri"/>
          <w:bCs/>
          <w:sz w:val="20"/>
          <w:szCs w:val="20"/>
          <w:highlight w:val="yellow"/>
          <w:lang w:val="en-US"/>
        </w:rPr>
        <w:t>Mutations of RAS key residues such as G12, G13 and G61, are found in more than 30% of human tumors. Most oncogenic mutations in Ras occur in the residues G12, G13 and Q61, which are located in a region conserved between HRAS,</w:t>
      </w:r>
      <w:r w:rsidR="00842830">
        <w:rPr>
          <w:rFonts w:eastAsia="Calibri"/>
          <w:bCs/>
          <w:sz w:val="20"/>
          <w:szCs w:val="20"/>
          <w:highlight w:val="yellow"/>
          <w:lang w:val="en-US"/>
        </w:rPr>
        <w:t xml:space="preserve"> </w:t>
      </w:r>
      <w:r w:rsidRPr="003C0A8F">
        <w:rPr>
          <w:rFonts w:eastAsia="Calibri"/>
          <w:bCs/>
          <w:sz w:val="20"/>
          <w:szCs w:val="20"/>
          <w:highlight w:val="yellow"/>
          <w:lang w:val="en-US"/>
        </w:rPr>
        <w:t>KRAS and NRAS</w:t>
      </w:r>
      <w:r w:rsidR="0086532D">
        <w:rPr>
          <w:rFonts w:eastAsia="Calibri"/>
          <w:bCs/>
          <w:sz w:val="20"/>
          <w:szCs w:val="20"/>
          <w:highlight w:val="yellow"/>
          <w:lang w:val="en-US"/>
        </w:rPr>
        <w:t xml:space="preserve"> </w:t>
      </w:r>
      <w:r w:rsidR="0086532D" w:rsidRPr="0086532D">
        <w:rPr>
          <w:rFonts w:eastAsia="Calibri"/>
          <w:bCs/>
          <w:color w:val="0070C0"/>
          <w:sz w:val="20"/>
          <w:szCs w:val="20"/>
          <w:highlight w:val="yellow"/>
        </w:rPr>
        <w:t xml:space="preserve">(Pylayeva-Gupta et al., 2011). </w:t>
      </w:r>
      <w:r w:rsidR="00CE756C" w:rsidRPr="00CE756C">
        <w:rPr>
          <w:rFonts w:eastAsia="Calibri"/>
          <w:bCs/>
          <w:sz w:val="20"/>
          <w:szCs w:val="20"/>
          <w:highlight w:val="yellow"/>
          <w:lang w:val="en-US"/>
        </w:rPr>
        <w:t xml:space="preserve">Among the three RAS isoforms (HRAS, KRAS, and NRAS), NRAS plays a prominent role in melanoma </w:t>
      </w:r>
      <w:r w:rsidR="00CE756C" w:rsidRPr="00CE756C">
        <w:rPr>
          <w:rFonts w:eastAsia="Calibri"/>
          <w:bCs/>
          <w:color w:val="0070C0"/>
          <w:sz w:val="20"/>
          <w:szCs w:val="20"/>
          <w:highlight w:val="yellow"/>
          <w:lang w:val="en-US"/>
        </w:rPr>
        <w:t xml:space="preserve">(Johnson &amp; Puzanov, 2015; Wellbrock &amp; </w:t>
      </w:r>
      <w:proofErr w:type="spellStart"/>
      <w:r w:rsidR="00CE756C" w:rsidRPr="00CE756C">
        <w:rPr>
          <w:rFonts w:eastAsia="Calibri"/>
          <w:bCs/>
          <w:color w:val="0070C0"/>
          <w:sz w:val="20"/>
          <w:szCs w:val="20"/>
          <w:highlight w:val="yellow"/>
          <w:lang w:val="en-US"/>
        </w:rPr>
        <w:t>Arozarena</w:t>
      </w:r>
      <w:proofErr w:type="spellEnd"/>
      <w:r w:rsidR="00CE756C" w:rsidRPr="00CE756C">
        <w:rPr>
          <w:rFonts w:eastAsia="Calibri"/>
          <w:bCs/>
          <w:color w:val="0070C0"/>
          <w:sz w:val="20"/>
          <w:szCs w:val="20"/>
          <w:highlight w:val="yellow"/>
          <w:lang w:val="en-US"/>
        </w:rPr>
        <w:t xml:space="preserve">, 2016). </w:t>
      </w:r>
      <w:r w:rsidR="00CE756C" w:rsidRPr="00CE756C">
        <w:rPr>
          <w:rFonts w:eastAsia="Calibri"/>
          <w:bCs/>
          <w:sz w:val="20"/>
          <w:szCs w:val="20"/>
          <w:highlight w:val="yellow"/>
          <w:lang w:val="en-US"/>
        </w:rPr>
        <w:t xml:space="preserve">Activating mutations in NRAS, particularly at codon 61, are observed in a substantial fraction of melanoma cases and are strongly </w:t>
      </w:r>
      <w:r w:rsidR="00CE756C" w:rsidRPr="00CE756C">
        <w:rPr>
          <w:rFonts w:eastAsia="Calibri"/>
          <w:bCs/>
          <w:sz w:val="20"/>
          <w:szCs w:val="20"/>
          <w:highlight w:val="yellow"/>
          <w:lang w:val="en-US"/>
        </w:rPr>
        <w:lastRenderedPageBreak/>
        <w:t xml:space="preserve">associated with aberrant activation of the MAPK signaling pathway </w:t>
      </w:r>
      <w:r w:rsidR="00CE756C" w:rsidRPr="00CE756C">
        <w:rPr>
          <w:rFonts w:eastAsia="Calibri"/>
          <w:bCs/>
          <w:color w:val="0070C0"/>
          <w:sz w:val="20"/>
          <w:szCs w:val="20"/>
          <w:highlight w:val="yellow"/>
          <w:lang w:val="en-US"/>
        </w:rPr>
        <w:t xml:space="preserve">(Johnson &amp; Puzanov, 2015; </w:t>
      </w:r>
      <w:proofErr w:type="spellStart"/>
      <w:r w:rsidR="00CE756C" w:rsidRPr="00CE756C">
        <w:rPr>
          <w:rFonts w:eastAsia="Calibri"/>
          <w:bCs/>
          <w:color w:val="0070C0"/>
          <w:sz w:val="20"/>
          <w:szCs w:val="20"/>
          <w:highlight w:val="yellow"/>
          <w:lang w:val="en-US"/>
        </w:rPr>
        <w:t>Pylayeva</w:t>
      </w:r>
      <w:proofErr w:type="spellEnd"/>
      <w:r w:rsidR="00CE756C" w:rsidRPr="00CE756C">
        <w:rPr>
          <w:rFonts w:eastAsia="Calibri"/>
          <w:bCs/>
          <w:color w:val="0070C0"/>
          <w:sz w:val="20"/>
          <w:szCs w:val="20"/>
          <w:highlight w:val="yellow"/>
          <w:lang w:val="en-US"/>
        </w:rPr>
        <w:t xml:space="preserve">-Gupta et al., 2011). </w:t>
      </w:r>
      <w:r w:rsidR="00CE756C" w:rsidRPr="00CE756C">
        <w:rPr>
          <w:rFonts w:eastAsia="Calibri"/>
          <w:bCs/>
          <w:sz w:val="20"/>
          <w:szCs w:val="20"/>
          <w:highlight w:val="yellow"/>
          <w:lang w:val="en-US"/>
        </w:rPr>
        <w:t xml:space="preserve">Although significant attention has historically focused on BRAF-mutant melanoma, NRAS-mutant melanoma represents a biologically distinct and therapeutically challenging subgroup </w:t>
      </w:r>
      <w:r w:rsidR="00CE756C" w:rsidRPr="00CE756C">
        <w:rPr>
          <w:rFonts w:eastAsia="Calibri"/>
          <w:bCs/>
          <w:color w:val="0070C0"/>
          <w:sz w:val="20"/>
          <w:szCs w:val="20"/>
          <w:highlight w:val="yellow"/>
          <w:lang w:val="en-US"/>
        </w:rPr>
        <w:t xml:space="preserve">(Johnson &amp; Puzanov, 2015; Wellbrock &amp; </w:t>
      </w:r>
      <w:proofErr w:type="spellStart"/>
      <w:r w:rsidR="00CE756C" w:rsidRPr="00CE756C">
        <w:rPr>
          <w:rFonts w:eastAsia="Calibri"/>
          <w:bCs/>
          <w:color w:val="0070C0"/>
          <w:sz w:val="20"/>
          <w:szCs w:val="20"/>
          <w:highlight w:val="yellow"/>
          <w:lang w:val="en-US"/>
        </w:rPr>
        <w:t>Arozarena</w:t>
      </w:r>
      <w:proofErr w:type="spellEnd"/>
      <w:r w:rsidR="00CE756C" w:rsidRPr="00CE756C">
        <w:rPr>
          <w:rFonts w:eastAsia="Calibri"/>
          <w:bCs/>
          <w:color w:val="0070C0"/>
          <w:sz w:val="20"/>
          <w:szCs w:val="20"/>
          <w:highlight w:val="yellow"/>
          <w:lang w:val="en-US"/>
        </w:rPr>
        <w:t xml:space="preserve">, 2016). </w:t>
      </w:r>
      <w:r w:rsidR="00CE756C" w:rsidRPr="00CE756C">
        <w:rPr>
          <w:rFonts w:eastAsia="Calibri"/>
          <w:bCs/>
          <w:sz w:val="20"/>
          <w:szCs w:val="20"/>
          <w:highlight w:val="yellow"/>
          <w:lang w:val="en-US"/>
        </w:rPr>
        <w:t xml:space="preserve">It has been observed that NRAS mutations tend to remain predominantly in their active GTP-bound conformation, mainly because codon 61 mutations impair the intrinsic enzymatic activity of NRAS to hydrolyze GTP to GDP </w:t>
      </w:r>
      <w:r w:rsidR="00CE756C" w:rsidRPr="00CE756C">
        <w:rPr>
          <w:rFonts w:eastAsia="Calibri"/>
          <w:bCs/>
          <w:color w:val="0070C0"/>
          <w:sz w:val="20"/>
          <w:szCs w:val="20"/>
          <w:highlight w:val="yellow"/>
          <w:lang w:val="en-US"/>
        </w:rPr>
        <w:t xml:space="preserve">(Li &amp; Zhang, 2004; Vetter &amp; </w:t>
      </w:r>
      <w:proofErr w:type="spellStart"/>
      <w:r w:rsidR="00CE756C" w:rsidRPr="00CE756C">
        <w:rPr>
          <w:rFonts w:eastAsia="Calibri"/>
          <w:bCs/>
          <w:color w:val="0070C0"/>
          <w:sz w:val="20"/>
          <w:szCs w:val="20"/>
          <w:highlight w:val="yellow"/>
          <w:lang w:val="en-US"/>
        </w:rPr>
        <w:t>Wittinghofer</w:t>
      </w:r>
      <w:proofErr w:type="spellEnd"/>
      <w:r w:rsidR="00CE756C" w:rsidRPr="00CE756C">
        <w:rPr>
          <w:rFonts w:eastAsia="Calibri"/>
          <w:bCs/>
          <w:color w:val="0070C0"/>
          <w:sz w:val="20"/>
          <w:szCs w:val="20"/>
          <w:highlight w:val="yellow"/>
          <w:lang w:val="en-US"/>
        </w:rPr>
        <w:t>, 2001).</w:t>
      </w:r>
      <w:r w:rsidR="00D500E0">
        <w:rPr>
          <w:rFonts w:eastAsia="Calibri"/>
          <w:bCs/>
          <w:color w:val="0070C0"/>
          <w:sz w:val="20"/>
          <w:szCs w:val="20"/>
          <w:highlight w:val="yellow"/>
          <w:lang w:val="en-US"/>
        </w:rPr>
        <w:t xml:space="preserve"> </w:t>
      </w:r>
      <w:r w:rsidR="00D500E0" w:rsidRPr="00D500E0">
        <w:rPr>
          <w:rFonts w:eastAsia="Calibri"/>
          <w:bCs/>
          <w:sz w:val="20"/>
          <w:szCs w:val="20"/>
          <w:highlight w:val="yellow"/>
        </w:rPr>
        <w:t>The P-loop (also called the Walker-A or G1 motif) is a glycine-rich phosphate-binding loop that interacts with the β- and γ-phosphates of GDP/GTP and is highly conserved in Ras and other small GTPases</w:t>
      </w:r>
      <w:r w:rsidR="00D500E0">
        <w:rPr>
          <w:rFonts w:eastAsia="Calibri"/>
          <w:bCs/>
          <w:sz w:val="20"/>
          <w:szCs w:val="20"/>
          <w:highlight w:val="yellow"/>
        </w:rPr>
        <w:t xml:space="preserve"> (</w:t>
      </w:r>
      <w:r w:rsidR="00D500E0" w:rsidRPr="00CE756C">
        <w:rPr>
          <w:rFonts w:eastAsia="Calibri"/>
          <w:bCs/>
          <w:color w:val="0070C0"/>
          <w:sz w:val="20"/>
          <w:szCs w:val="20"/>
          <w:highlight w:val="yellow"/>
          <w:lang w:val="en-US"/>
        </w:rPr>
        <w:t xml:space="preserve">Vetter &amp; </w:t>
      </w:r>
      <w:proofErr w:type="spellStart"/>
      <w:r w:rsidR="00D500E0" w:rsidRPr="00CE756C">
        <w:rPr>
          <w:rFonts w:eastAsia="Calibri"/>
          <w:bCs/>
          <w:color w:val="0070C0"/>
          <w:sz w:val="20"/>
          <w:szCs w:val="20"/>
          <w:highlight w:val="yellow"/>
          <w:lang w:val="en-US"/>
        </w:rPr>
        <w:t>Wittinghofer</w:t>
      </w:r>
      <w:proofErr w:type="spellEnd"/>
      <w:r w:rsidR="00D500E0" w:rsidRPr="00CE756C">
        <w:rPr>
          <w:rFonts w:eastAsia="Calibri"/>
          <w:bCs/>
          <w:color w:val="0070C0"/>
          <w:sz w:val="20"/>
          <w:szCs w:val="20"/>
          <w:highlight w:val="yellow"/>
          <w:lang w:val="en-US"/>
        </w:rPr>
        <w:t>, 2001).</w:t>
      </w:r>
      <w:r w:rsidR="00D500E0">
        <w:rPr>
          <w:rFonts w:eastAsia="Calibri"/>
          <w:bCs/>
          <w:color w:val="0070C0"/>
          <w:sz w:val="20"/>
          <w:szCs w:val="20"/>
          <w:highlight w:val="yellow"/>
          <w:lang w:val="en-US"/>
        </w:rPr>
        <w:t xml:space="preserve"> </w:t>
      </w:r>
      <w:r w:rsidR="00D500E0">
        <w:rPr>
          <w:rFonts w:eastAsia="Calibri"/>
          <w:bCs/>
          <w:sz w:val="20"/>
          <w:szCs w:val="20"/>
          <w:highlight w:val="yellow"/>
        </w:rPr>
        <w:t xml:space="preserve"> </w:t>
      </w:r>
      <w:r w:rsidR="00CE756C" w:rsidRPr="00CE756C">
        <w:rPr>
          <w:rFonts w:eastAsia="Calibri"/>
          <w:bCs/>
          <w:sz w:val="20"/>
          <w:szCs w:val="20"/>
          <w:highlight w:val="yellow"/>
          <w:lang w:val="en-US"/>
        </w:rPr>
        <w:t xml:space="preserve">This makes the task of drugging NRAS particularly difficult. Although mutation-specific targeting strategies have recently achieved success in KRAS(G12C), analogous approaches for NRAS are less developed, particularly because codon 61 mutations do not introduce reactive cysteine residues suitable for covalent inhibition </w:t>
      </w:r>
      <w:r w:rsidR="00CE756C" w:rsidRPr="00CE756C">
        <w:rPr>
          <w:rFonts w:eastAsia="Calibri"/>
          <w:bCs/>
          <w:color w:val="0070C0"/>
          <w:sz w:val="20"/>
          <w:szCs w:val="20"/>
          <w:highlight w:val="yellow"/>
          <w:lang w:val="en-US"/>
        </w:rPr>
        <w:t xml:space="preserve">(Moore et al., 2020; Ostrem &amp; Shokat, 2016). </w:t>
      </w:r>
      <w:r w:rsidR="00CE756C" w:rsidRPr="00CE756C">
        <w:rPr>
          <w:rFonts w:eastAsia="Calibri"/>
          <w:bCs/>
          <w:sz w:val="20"/>
          <w:szCs w:val="20"/>
          <w:highlight w:val="yellow"/>
          <w:lang w:val="en-US"/>
        </w:rPr>
        <w:t xml:space="preserve">For instance, some inhibitors such as the potential inhibitor HM-387 have been recently designed in silico to target the NRAS-Q61 positively charged mutant R61, inducing the GTP-bound NRAS-Q61 oncogenic mutant toward an “off-like” state. Consequently, most current therapeutic strategies for NRAS-mutant melanoma rely on indirect targeting of downstream signaling pathways </w:t>
      </w:r>
      <w:r w:rsidR="00CE756C" w:rsidRPr="00CE756C">
        <w:rPr>
          <w:rFonts w:eastAsia="Calibri"/>
          <w:bCs/>
          <w:color w:val="0070C0"/>
          <w:sz w:val="20"/>
          <w:szCs w:val="20"/>
          <w:highlight w:val="yellow"/>
          <w:lang w:val="en-US"/>
        </w:rPr>
        <w:t xml:space="preserve">(Johnson &amp; Puzanov, 2015; Wellbrock &amp; </w:t>
      </w:r>
      <w:proofErr w:type="spellStart"/>
      <w:r w:rsidR="00CE756C" w:rsidRPr="00CE756C">
        <w:rPr>
          <w:rFonts w:eastAsia="Calibri"/>
          <w:bCs/>
          <w:color w:val="0070C0"/>
          <w:sz w:val="20"/>
          <w:szCs w:val="20"/>
          <w:highlight w:val="yellow"/>
          <w:lang w:val="en-US"/>
        </w:rPr>
        <w:t>Arozarena</w:t>
      </w:r>
      <w:proofErr w:type="spellEnd"/>
      <w:r w:rsidR="00CE756C" w:rsidRPr="00CE756C">
        <w:rPr>
          <w:rFonts w:eastAsia="Calibri"/>
          <w:bCs/>
          <w:color w:val="0070C0"/>
          <w:sz w:val="20"/>
          <w:szCs w:val="20"/>
          <w:highlight w:val="yellow"/>
          <w:lang w:val="en-US"/>
        </w:rPr>
        <w:t xml:space="preserve">, 2016). </w:t>
      </w:r>
      <w:r w:rsidR="00CE756C" w:rsidRPr="00CE756C">
        <w:rPr>
          <w:rFonts w:eastAsia="Calibri"/>
          <w:bCs/>
          <w:sz w:val="20"/>
          <w:szCs w:val="20"/>
          <w:highlight w:val="yellow"/>
          <w:lang w:val="en-US"/>
        </w:rPr>
        <w:t xml:space="preserve">MEK inhibitors such as </w:t>
      </w:r>
      <w:proofErr w:type="spellStart"/>
      <w:r w:rsidR="00CE756C" w:rsidRPr="00CE756C">
        <w:rPr>
          <w:rFonts w:eastAsia="Calibri"/>
          <w:bCs/>
          <w:sz w:val="20"/>
          <w:szCs w:val="20"/>
          <w:highlight w:val="yellow"/>
          <w:lang w:val="en-US"/>
        </w:rPr>
        <w:t>binimetinib</w:t>
      </w:r>
      <w:proofErr w:type="spellEnd"/>
      <w:r w:rsidR="00CE756C" w:rsidRPr="00CE756C">
        <w:rPr>
          <w:rFonts w:eastAsia="Calibri"/>
          <w:bCs/>
          <w:sz w:val="20"/>
          <w:szCs w:val="20"/>
          <w:highlight w:val="yellow"/>
          <w:lang w:val="en-US"/>
        </w:rPr>
        <w:t xml:space="preserve"> and trametinib have demonstrated partial clinical activity; however, response rates remain modest and resistance frequently develops </w:t>
      </w:r>
      <w:r w:rsidR="00CE756C" w:rsidRPr="00CE756C">
        <w:rPr>
          <w:rFonts w:eastAsia="Calibri"/>
          <w:bCs/>
          <w:color w:val="0070C0"/>
          <w:sz w:val="20"/>
          <w:szCs w:val="20"/>
          <w:highlight w:val="yellow"/>
          <w:lang w:val="en-US"/>
        </w:rPr>
        <w:t xml:space="preserve">(Johnson &amp; Puzanov, 2015). </w:t>
      </w:r>
      <w:r w:rsidR="00CE756C" w:rsidRPr="00CE756C">
        <w:rPr>
          <w:rFonts w:eastAsia="Calibri"/>
          <w:bCs/>
          <w:sz w:val="20"/>
          <w:szCs w:val="20"/>
          <w:highlight w:val="yellow"/>
          <w:lang w:val="en-US"/>
        </w:rPr>
        <w:t xml:space="preserve">Farnesyltransferase inhibitors and combination therapies have also been explored, but durable and mutation-specific inhibition of NRAS remains unresolved </w:t>
      </w:r>
      <w:r w:rsidR="00CE756C" w:rsidRPr="00CE756C">
        <w:rPr>
          <w:rFonts w:eastAsia="Calibri"/>
          <w:bCs/>
          <w:color w:val="0070C0"/>
          <w:sz w:val="20"/>
          <w:szCs w:val="20"/>
          <w:highlight w:val="yellow"/>
          <w:lang w:val="en-US"/>
        </w:rPr>
        <w:t xml:space="preserve">(Moore et al., 2020). </w:t>
      </w:r>
      <w:r w:rsidR="00CE756C" w:rsidRPr="00CE756C">
        <w:rPr>
          <w:rFonts w:eastAsia="Calibri"/>
          <w:bCs/>
          <w:sz w:val="20"/>
          <w:szCs w:val="20"/>
          <w:highlight w:val="yellow"/>
          <w:lang w:val="en-US"/>
        </w:rPr>
        <w:t xml:space="preserve">Therefore, the development of novel approaches capable of directly or allosterically modulating mutant NRAS represents a significant unmet medical need. Direct pharmacological targeting of NRAS remains challenging due to its high affinity for GTP and the absence of deep, well-defined binding pockets on its surface, features that have historically led to its classification as an “undruggable” oncogene </w:t>
      </w:r>
      <w:r w:rsidR="00CE756C" w:rsidRPr="00CE756C">
        <w:rPr>
          <w:rFonts w:eastAsia="Calibri"/>
          <w:bCs/>
          <w:color w:val="0070C0"/>
          <w:sz w:val="20"/>
          <w:szCs w:val="20"/>
          <w:highlight w:val="yellow"/>
          <w:lang w:val="en-US"/>
        </w:rPr>
        <w:t xml:space="preserve">(Cox et al., 2014; McCormick, 2015; Moore et al., 2020). </w:t>
      </w:r>
      <w:r w:rsidR="00CE756C" w:rsidRPr="00CE756C">
        <w:rPr>
          <w:rFonts w:eastAsia="Calibri"/>
          <w:bCs/>
          <w:sz w:val="20"/>
          <w:szCs w:val="20"/>
          <w:highlight w:val="yellow"/>
          <w:lang w:val="en-US"/>
        </w:rPr>
        <w:t xml:space="preserve">In this context, natural products represent an attractive and relatively underexplored source of bioactive chemical scaffolds. Owing to their structural diversity, stereochemical complexity, and evolutionary optimization for biological activity, natural compounds have historically contributed substantially to anticancer drug development </w:t>
      </w:r>
      <w:r w:rsidR="00CE756C" w:rsidRPr="00CE756C">
        <w:rPr>
          <w:rFonts w:eastAsia="Calibri"/>
          <w:bCs/>
          <w:color w:val="0070C0"/>
          <w:sz w:val="20"/>
          <w:szCs w:val="20"/>
          <w:highlight w:val="yellow"/>
          <w:lang w:val="en-US"/>
        </w:rPr>
        <w:t xml:space="preserve">(Harvey et al., 2015; Newman &amp; Cragg, 2020). </w:t>
      </w:r>
      <w:r w:rsidR="00CE756C" w:rsidRPr="00CE756C">
        <w:rPr>
          <w:rFonts w:eastAsia="Calibri"/>
          <w:bCs/>
          <w:sz w:val="20"/>
          <w:szCs w:val="20"/>
          <w:highlight w:val="yellow"/>
          <w:lang w:val="en-US"/>
        </w:rPr>
        <w:t xml:space="preserve">Importantly, many clinically approved anticancer agents are derived from natural products or their analogues, underscoring their value in oncology drug discovery </w:t>
      </w:r>
      <w:r w:rsidR="00CE756C" w:rsidRPr="00CE756C">
        <w:rPr>
          <w:rFonts w:eastAsia="Calibri"/>
          <w:bCs/>
          <w:color w:val="0070C0"/>
          <w:sz w:val="20"/>
          <w:szCs w:val="20"/>
          <w:highlight w:val="yellow"/>
          <w:lang w:val="en-US"/>
        </w:rPr>
        <w:t xml:space="preserve">(Newman &amp; Cragg, 2020). </w:t>
      </w:r>
      <w:r w:rsidR="00CE756C" w:rsidRPr="00CE756C">
        <w:rPr>
          <w:rFonts w:eastAsia="Calibri"/>
          <w:bCs/>
          <w:sz w:val="20"/>
          <w:szCs w:val="20"/>
          <w:highlight w:val="yellow"/>
          <w:lang w:val="en-US"/>
        </w:rPr>
        <w:t xml:space="preserve">Computational structure-based approaches offer a powerful framework for exploring such possibilities. Molecular docking and virtual screening enable the systematic evaluation of ligand binding modes, interaction networks, and conformational stability at atomic resolution </w:t>
      </w:r>
      <w:r w:rsidR="00CE756C" w:rsidRPr="00CE756C">
        <w:rPr>
          <w:rFonts w:eastAsia="Calibri"/>
          <w:bCs/>
          <w:color w:val="0070C0"/>
          <w:sz w:val="20"/>
          <w:szCs w:val="20"/>
          <w:highlight w:val="yellow"/>
          <w:lang w:val="en-US"/>
        </w:rPr>
        <w:t xml:space="preserve">(Kitchen et al., 2004; </w:t>
      </w:r>
      <w:proofErr w:type="spellStart"/>
      <w:r w:rsidR="00CE756C" w:rsidRPr="00CE756C">
        <w:rPr>
          <w:rFonts w:eastAsia="Calibri"/>
          <w:bCs/>
          <w:color w:val="0070C0"/>
          <w:sz w:val="20"/>
          <w:szCs w:val="20"/>
          <w:highlight w:val="yellow"/>
          <w:lang w:val="en-US"/>
        </w:rPr>
        <w:t>Lionta</w:t>
      </w:r>
      <w:proofErr w:type="spellEnd"/>
      <w:r w:rsidR="00CE756C" w:rsidRPr="00CE756C">
        <w:rPr>
          <w:rFonts w:eastAsia="Calibri"/>
          <w:bCs/>
          <w:color w:val="0070C0"/>
          <w:sz w:val="20"/>
          <w:szCs w:val="20"/>
          <w:highlight w:val="yellow"/>
          <w:lang w:val="en-US"/>
        </w:rPr>
        <w:t xml:space="preserve"> et al., 2014). </w:t>
      </w:r>
      <w:r w:rsidR="00CE756C" w:rsidRPr="00CE756C">
        <w:rPr>
          <w:rFonts w:eastAsia="Calibri"/>
          <w:bCs/>
          <w:sz w:val="20"/>
          <w:szCs w:val="20"/>
          <w:highlight w:val="yellow"/>
          <w:lang w:val="en-US"/>
        </w:rPr>
        <w:t>These techniques are particularly valuable for</w:t>
      </w:r>
      <w:r w:rsidR="00CE756C" w:rsidRPr="00CE756C">
        <w:rPr>
          <w:rFonts w:eastAsia="Calibri"/>
          <w:bCs/>
          <w:sz w:val="20"/>
          <w:szCs w:val="20"/>
          <w:lang w:val="en-US"/>
        </w:rPr>
        <w:t xml:space="preserve"> </w:t>
      </w:r>
      <w:r w:rsidR="00CE756C" w:rsidRPr="00CE756C">
        <w:rPr>
          <w:rFonts w:eastAsia="Calibri"/>
          <w:bCs/>
          <w:sz w:val="20"/>
          <w:szCs w:val="20"/>
          <w:highlight w:val="yellow"/>
          <w:lang w:val="en-US"/>
        </w:rPr>
        <w:t>targets like NRAS, where experimental structural characterization of ligand-bound complexes remains limited.</w:t>
      </w:r>
    </w:p>
    <w:p w14:paraId="7183C101" w14:textId="4C9677E8" w:rsidR="003C0A8F" w:rsidRDefault="00000000">
      <w:pPr>
        <w:jc w:val="both"/>
        <w:rPr>
          <w:rFonts w:eastAsia="Calibri"/>
          <w:bCs/>
          <w:sz w:val="20"/>
          <w:szCs w:val="20"/>
          <w:lang w:val="en-US"/>
        </w:rPr>
      </w:pPr>
      <w:r w:rsidRPr="003C0A8F">
        <w:rPr>
          <w:rFonts w:eastAsia="Calibri"/>
          <w:bCs/>
          <w:sz w:val="20"/>
          <w:szCs w:val="20"/>
          <w:highlight w:val="yellow"/>
          <w:lang w:val="en-US"/>
        </w:rPr>
        <w:t>In the present study, we employed a structure-based computational strategy to identify natural compounds from the ZINC database with potential inhibitory activity against clinically relevant mutant NRAS variants (G12, G13, and Q61). Mutant protein models were generated and structurally validated, followed by large-scale virtual screening of natural compounds and molecular docking. Candidate compounds were evaluated based on predicted binding free energy and detailed interaction analysis to identify top-ranking molecules exhibiting stable hydrogen-bond and hydrophobic interactions with key functional residues in the NRAS active site.</w:t>
      </w:r>
    </w:p>
    <w:p w14:paraId="0F03DE19" w14:textId="77777777" w:rsidR="006A49D5" w:rsidRDefault="006A49D5">
      <w:pPr>
        <w:jc w:val="both"/>
        <w:rPr>
          <w:rFonts w:eastAsia="Calibri"/>
          <w:bCs/>
          <w:sz w:val="20"/>
          <w:szCs w:val="20"/>
          <w:lang w:val="en-US"/>
        </w:rPr>
      </w:pPr>
    </w:p>
    <w:p w14:paraId="38CAF251" w14:textId="41298944" w:rsidR="004631AB" w:rsidRDefault="00000000">
      <w:pPr>
        <w:jc w:val="both"/>
        <w:rPr>
          <w:rFonts w:eastAsia="Calibri"/>
          <w:b/>
          <w:color w:val="0070C0"/>
          <w:sz w:val="20"/>
          <w:szCs w:val="20"/>
          <w:lang w:val="en-US"/>
        </w:rPr>
      </w:pPr>
      <w:r>
        <w:rPr>
          <w:rFonts w:eastAsia="Calibri"/>
          <w:b/>
          <w:color w:val="0070C0"/>
          <w:sz w:val="20"/>
          <w:szCs w:val="20"/>
          <w:lang w:val="en-US"/>
        </w:rPr>
        <w:t>2.1. Methods</w:t>
      </w:r>
    </w:p>
    <w:p w14:paraId="5CBEE072" w14:textId="77777777" w:rsidR="004631AB" w:rsidRDefault="004631AB">
      <w:pPr>
        <w:jc w:val="both"/>
        <w:rPr>
          <w:rFonts w:eastAsia="Calibri"/>
          <w:b/>
          <w:color w:val="0070C0"/>
          <w:sz w:val="20"/>
          <w:szCs w:val="20"/>
          <w:lang w:val="en-US"/>
        </w:rPr>
      </w:pPr>
    </w:p>
    <w:p w14:paraId="21B55925" w14:textId="77777777" w:rsidR="004631AB" w:rsidRDefault="00000000">
      <w:pPr>
        <w:jc w:val="both"/>
        <w:rPr>
          <w:rFonts w:eastAsia="Calibri"/>
          <w:b/>
          <w:color w:val="2E74B5" w:themeColor="accent5" w:themeShade="BF"/>
          <w:sz w:val="20"/>
          <w:szCs w:val="20"/>
          <w:lang w:val="en-US"/>
        </w:rPr>
      </w:pPr>
      <w:r>
        <w:rPr>
          <w:rFonts w:eastAsia="Calibri"/>
          <w:b/>
          <w:color w:val="0070C0"/>
          <w:sz w:val="20"/>
          <w:szCs w:val="20"/>
          <w:lang w:val="en-US"/>
        </w:rPr>
        <w:t xml:space="preserve">2.1.1. </w:t>
      </w:r>
      <w:r>
        <w:rPr>
          <w:rFonts w:eastAsia="TimesNewRomanPSMT"/>
          <w:b/>
          <w:bCs/>
          <w:color w:val="2E74B5" w:themeColor="accent5" w:themeShade="BF"/>
          <w:sz w:val="20"/>
          <w:szCs w:val="20"/>
        </w:rPr>
        <w:t>Target identificaction</w:t>
      </w:r>
    </w:p>
    <w:p w14:paraId="4529B137" w14:textId="77777777" w:rsidR="004631AB" w:rsidRDefault="004631AB">
      <w:pPr>
        <w:jc w:val="both"/>
        <w:rPr>
          <w:rFonts w:eastAsia="TimesNewRomanPSMT"/>
          <w:sz w:val="20"/>
          <w:szCs w:val="20"/>
        </w:rPr>
      </w:pPr>
    </w:p>
    <w:p w14:paraId="6B805D79" w14:textId="77777777" w:rsidR="004631AB" w:rsidRDefault="00000000">
      <w:pPr>
        <w:jc w:val="both"/>
        <w:rPr>
          <w:rFonts w:eastAsia="Calibri"/>
          <w:bCs/>
          <w:sz w:val="20"/>
          <w:szCs w:val="20"/>
        </w:rPr>
      </w:pPr>
      <w:r>
        <w:rPr>
          <w:rFonts w:eastAsia="Calibri"/>
          <w:bCs/>
          <w:sz w:val="20"/>
          <w:szCs w:val="20"/>
        </w:rPr>
        <w:t>The KEGG database</w:t>
      </w:r>
      <w:r>
        <w:rPr>
          <w:rFonts w:eastAsia="Calibri"/>
          <w:bCs/>
          <w:color w:val="0070C0"/>
          <w:sz w:val="20"/>
          <w:szCs w:val="20"/>
        </w:rPr>
        <w:t xml:space="preserve"> (Kanehisa &amp; Goto, 2000)</w:t>
      </w:r>
      <w:r>
        <w:rPr>
          <w:rFonts w:eastAsia="Calibri"/>
          <w:bCs/>
          <w:sz w:val="20"/>
          <w:szCs w:val="20"/>
        </w:rPr>
        <w:t xml:space="preserve"> was used to study the melanoma pathway. Dysregulation of the MAPK pathway is very common in many cancers due to mutations in the RAS gene. The MAPK pathway is one of the major pathways involved in the progress of melanoma and so it was chosen for this study. It harbours BRAF, NRAS, ERK, and MEK as its components. About 28% of the mutations are seen in NRAS of this pathway </w:t>
      </w:r>
      <w:r>
        <w:rPr>
          <w:rFonts w:eastAsia="Calibri"/>
          <w:bCs/>
          <w:color w:val="0070C0"/>
          <w:sz w:val="20"/>
          <w:szCs w:val="20"/>
        </w:rPr>
        <w:t>(Cancer.Net Editorial Board, 2025).</w:t>
      </w:r>
    </w:p>
    <w:p w14:paraId="368EEAA3" w14:textId="77777777" w:rsidR="004631AB" w:rsidRDefault="004631AB">
      <w:pPr>
        <w:jc w:val="both"/>
        <w:rPr>
          <w:rFonts w:eastAsia="Calibri"/>
          <w:b/>
          <w:color w:val="0070C0"/>
          <w:sz w:val="20"/>
          <w:szCs w:val="20"/>
        </w:rPr>
      </w:pPr>
    </w:p>
    <w:p w14:paraId="23CC3679" w14:textId="77777777" w:rsidR="004631AB" w:rsidRDefault="00000000">
      <w:pPr>
        <w:jc w:val="both"/>
        <w:rPr>
          <w:rFonts w:eastAsia="Calibri"/>
          <w:b/>
          <w:color w:val="0070C0"/>
          <w:sz w:val="20"/>
          <w:szCs w:val="20"/>
          <w:lang w:val="en-US"/>
        </w:rPr>
      </w:pPr>
      <w:r>
        <w:rPr>
          <w:rFonts w:eastAsia="Calibri"/>
          <w:b/>
          <w:color w:val="0070C0"/>
          <w:sz w:val="20"/>
          <w:szCs w:val="20"/>
          <w:lang w:val="en-US"/>
        </w:rPr>
        <w:t xml:space="preserve">2.1.2. Protein Preparation </w:t>
      </w:r>
    </w:p>
    <w:p w14:paraId="6C528FD4" w14:textId="77777777" w:rsidR="004631AB" w:rsidRDefault="004631AB">
      <w:pPr>
        <w:jc w:val="both"/>
        <w:rPr>
          <w:rFonts w:eastAsia="Calibri"/>
          <w:b/>
          <w:color w:val="0070C0"/>
          <w:sz w:val="20"/>
          <w:szCs w:val="20"/>
          <w:lang w:val="en-US"/>
        </w:rPr>
      </w:pPr>
    </w:p>
    <w:p w14:paraId="3664A9FC" w14:textId="77777777" w:rsidR="004631AB" w:rsidRDefault="00000000">
      <w:pPr>
        <w:jc w:val="both"/>
        <w:rPr>
          <w:rFonts w:eastAsia="TimesNewRomanPSMT"/>
          <w:sz w:val="20"/>
          <w:szCs w:val="20"/>
        </w:rPr>
      </w:pPr>
      <w:r>
        <w:rPr>
          <w:rFonts w:eastAsia="TimesNewRomanPSMT"/>
          <w:sz w:val="20"/>
          <w:szCs w:val="20"/>
        </w:rPr>
        <w:t xml:space="preserve">The wild type NRAS structure with the best resolution and well curated in UniProt was selected. The PDB ID of this structure was 5UHV and UniProtKB ID was P01111. NRAS is a small GTPase structure. A clear difference between isoforms of NRAS is the binding of Ras Binding Domain </w:t>
      </w:r>
      <w:r>
        <w:rPr>
          <w:rFonts w:eastAsia="TimesNewRomanPSMT"/>
          <w:color w:val="0070C0"/>
          <w:sz w:val="20"/>
          <w:szCs w:val="20"/>
        </w:rPr>
        <w:t>(Johnson et al., 2017).</w:t>
      </w:r>
      <w:r>
        <w:rPr>
          <w:rFonts w:eastAsia="TimesNewRomanPSMT"/>
          <w:sz w:val="20"/>
          <w:szCs w:val="20"/>
        </w:rPr>
        <w:t xml:space="preserve"> NRAS has only the A chain associated with it. Hence, docking was carried out on the A chain of NRAS on the active site. The G-domain, catalysing GTP hydrolysis and mediating downstream signalling, is 95% conserved between the Ras isoforms </w:t>
      </w:r>
      <w:r>
        <w:rPr>
          <w:rFonts w:eastAsia="TimesNewRomanPSMT"/>
          <w:color w:val="0070C0"/>
          <w:sz w:val="20"/>
          <w:szCs w:val="20"/>
        </w:rPr>
        <w:t>(Johnson et al., 2017).</w:t>
      </w:r>
      <w:r>
        <w:rPr>
          <w:rFonts w:eastAsia="TimesNewRomanPSMT"/>
          <w:sz w:val="20"/>
          <w:szCs w:val="20"/>
        </w:rPr>
        <w:t xml:space="preserve"> The wild type NRAS has a total of 189 amino acids. The overall structure can be divided into a catalytic G domain, which is comprised of residues 1-86 and 87-166 </w:t>
      </w:r>
      <w:r>
        <w:rPr>
          <w:rFonts w:eastAsia="TimesNewRomanPSMT"/>
          <w:color w:val="0070C0"/>
          <w:sz w:val="20"/>
          <w:szCs w:val="20"/>
        </w:rPr>
        <w:t xml:space="preserve">(Johnson et al., 2017). </w:t>
      </w:r>
    </w:p>
    <w:p w14:paraId="4ED9E6A9" w14:textId="77777777" w:rsidR="004631AB" w:rsidRDefault="004631AB">
      <w:pPr>
        <w:jc w:val="both"/>
        <w:rPr>
          <w:rFonts w:eastAsia="TimesNewRomanPSMT"/>
          <w:sz w:val="20"/>
          <w:szCs w:val="20"/>
        </w:rPr>
      </w:pPr>
    </w:p>
    <w:p w14:paraId="1872D17D" w14:textId="77777777" w:rsidR="004631AB" w:rsidRDefault="00000000">
      <w:pPr>
        <w:jc w:val="both"/>
        <w:rPr>
          <w:rFonts w:eastAsia="Calibri"/>
          <w:b/>
          <w:color w:val="0070C0"/>
          <w:sz w:val="20"/>
          <w:szCs w:val="20"/>
          <w:lang w:val="en-US"/>
        </w:rPr>
      </w:pPr>
      <w:r>
        <w:rPr>
          <w:rFonts w:eastAsia="Calibri"/>
          <w:b/>
          <w:color w:val="0070C0"/>
          <w:sz w:val="20"/>
          <w:szCs w:val="20"/>
          <w:lang w:val="en-US"/>
        </w:rPr>
        <w:t>2.1.3.</w:t>
      </w:r>
      <w:r>
        <w:t xml:space="preserve"> </w:t>
      </w:r>
      <w:r>
        <w:rPr>
          <w:rFonts w:eastAsia="Calibri"/>
          <w:b/>
          <w:color w:val="0070C0"/>
          <w:sz w:val="20"/>
          <w:szCs w:val="20"/>
          <w:lang w:val="en-US"/>
        </w:rPr>
        <w:t xml:space="preserve">Protein Structure Validation </w:t>
      </w:r>
    </w:p>
    <w:p w14:paraId="07DB7810" w14:textId="77777777" w:rsidR="004631AB" w:rsidRDefault="004631AB">
      <w:pPr>
        <w:jc w:val="both"/>
        <w:rPr>
          <w:rFonts w:eastAsia="Calibri"/>
          <w:sz w:val="20"/>
          <w:szCs w:val="20"/>
          <w:lang w:val="en-US"/>
        </w:rPr>
      </w:pPr>
    </w:p>
    <w:p w14:paraId="0999B484" w14:textId="77777777" w:rsidR="004631AB" w:rsidRDefault="00000000">
      <w:pPr>
        <w:jc w:val="both"/>
        <w:rPr>
          <w:sz w:val="20"/>
          <w:szCs w:val="20"/>
        </w:rPr>
      </w:pPr>
      <w:r>
        <w:rPr>
          <w:sz w:val="20"/>
          <w:szCs w:val="20"/>
        </w:rPr>
        <w:t xml:space="preserve">ProSA </w:t>
      </w:r>
      <w:r>
        <w:rPr>
          <w:color w:val="0070C0"/>
          <w:sz w:val="20"/>
          <w:szCs w:val="20"/>
        </w:rPr>
        <w:t>(Wiederstein &amp; Sippl, 2007)</w:t>
      </w:r>
      <w:r>
        <w:rPr>
          <w:sz w:val="20"/>
          <w:szCs w:val="20"/>
        </w:rPr>
        <w:t xml:space="preserve"> is frequently used for protein structure validation. ProSA calculates an overall </w:t>
      </w:r>
      <w:r>
        <w:rPr>
          <w:sz w:val="20"/>
          <w:szCs w:val="20"/>
        </w:rPr>
        <w:lastRenderedPageBreak/>
        <w:t xml:space="preserve">quality score for a specific input structure. The z-score indicates overall model quality </w:t>
      </w:r>
      <w:r>
        <w:rPr>
          <w:color w:val="0070C0"/>
          <w:sz w:val="20"/>
          <w:szCs w:val="20"/>
        </w:rPr>
        <w:t>(Wiederstein &amp; Sippl, 2007).</w:t>
      </w:r>
      <w:r>
        <w:rPr>
          <w:sz w:val="20"/>
          <w:szCs w:val="20"/>
        </w:rPr>
        <w:t xml:space="preserve"> Its value is displayed in a plot showing the z-scores of all protein chains in the current PDB. ProSA-web visualizes the 3D structure of the input protein using the molecule viewer Jmol. ProSA was used for validation of the structure of mutant NRAS built in SPDBV. PROCHECK </w:t>
      </w:r>
      <w:r>
        <w:rPr>
          <w:color w:val="0070C0"/>
          <w:sz w:val="20"/>
          <w:szCs w:val="20"/>
        </w:rPr>
        <w:t xml:space="preserve">(Laskowski et al., 1993), </w:t>
      </w:r>
      <w:r>
        <w:rPr>
          <w:sz w:val="20"/>
          <w:szCs w:val="20"/>
        </w:rPr>
        <w:t xml:space="preserve">a model evaluation and validation tool, checks for the stereochemical quality of a protein structure producing residue-by-residue geometry plots. It includes PROCHECK-NMR for checking the quality of structures solved by NMR. The G-factor provides a measure of how normal or unusual the property is. It gives the Ramachandran plot to understand if the residues are in allowed or disallowed regions. PROCHECK was used for validation of the structure of mutant NRAS built in SPDBV </w:t>
      </w:r>
      <w:r>
        <w:rPr>
          <w:color w:val="0070C0"/>
          <w:sz w:val="20"/>
          <w:szCs w:val="20"/>
        </w:rPr>
        <w:t>(Laskowski et al., 1993).</w:t>
      </w:r>
    </w:p>
    <w:p w14:paraId="68AECFFE" w14:textId="77777777" w:rsidR="004631AB" w:rsidRDefault="004631AB">
      <w:pPr>
        <w:jc w:val="both"/>
        <w:rPr>
          <w:sz w:val="20"/>
          <w:szCs w:val="20"/>
        </w:rPr>
      </w:pPr>
    </w:p>
    <w:p w14:paraId="156E2B47" w14:textId="77777777" w:rsidR="004631AB" w:rsidRDefault="00000000">
      <w:pPr>
        <w:jc w:val="both"/>
        <w:rPr>
          <w:rFonts w:eastAsia="Calibri"/>
          <w:b/>
          <w:color w:val="0070C0"/>
          <w:sz w:val="20"/>
          <w:szCs w:val="20"/>
          <w:lang w:val="en-US"/>
        </w:rPr>
      </w:pPr>
      <w:r>
        <w:rPr>
          <w:rFonts w:eastAsia="Calibri"/>
          <w:b/>
          <w:color w:val="0070C0"/>
          <w:sz w:val="20"/>
          <w:szCs w:val="20"/>
          <w:lang w:val="en-US"/>
        </w:rPr>
        <w:t>2.1.4.</w:t>
      </w:r>
      <w:r>
        <w:t xml:space="preserve"> </w:t>
      </w:r>
      <w:r>
        <w:rPr>
          <w:rFonts w:eastAsia="Calibri"/>
          <w:b/>
          <w:color w:val="0070C0"/>
          <w:sz w:val="20"/>
          <w:szCs w:val="20"/>
          <w:lang w:val="en-US"/>
        </w:rPr>
        <w:t>Compound Library Curation and Filtering</w:t>
      </w:r>
    </w:p>
    <w:p w14:paraId="3E7EFAC4" w14:textId="77777777" w:rsidR="004631AB" w:rsidRDefault="004631AB">
      <w:pPr>
        <w:jc w:val="both"/>
        <w:rPr>
          <w:sz w:val="20"/>
          <w:szCs w:val="20"/>
        </w:rPr>
      </w:pPr>
    </w:p>
    <w:p w14:paraId="2866FEFB" w14:textId="4C581B0E" w:rsidR="004631AB" w:rsidRDefault="00000000">
      <w:pPr>
        <w:jc w:val="both"/>
        <w:rPr>
          <w:rFonts w:eastAsia="Calibri"/>
          <w:bCs/>
          <w:sz w:val="20"/>
          <w:szCs w:val="20"/>
          <w:lang w:val="en-US"/>
        </w:rPr>
      </w:pPr>
      <w:r>
        <w:rPr>
          <w:rFonts w:eastAsia="Calibri"/>
          <w:bCs/>
          <w:sz w:val="20"/>
          <w:szCs w:val="20"/>
          <w:lang w:val="en-US"/>
        </w:rPr>
        <w:t xml:space="preserve">The database used for obtaining natural compounds for screening was the ZINC Database </w:t>
      </w:r>
      <w:r>
        <w:rPr>
          <w:rFonts w:eastAsia="Calibri"/>
          <w:bCs/>
          <w:color w:val="0070C0"/>
          <w:sz w:val="20"/>
          <w:szCs w:val="20"/>
          <w:lang w:val="en-US"/>
        </w:rPr>
        <w:t>(ZINC Database, 2025).</w:t>
      </w:r>
      <w:r>
        <w:rPr>
          <w:rFonts w:eastAsia="Calibri"/>
          <w:bCs/>
          <w:sz w:val="20"/>
          <w:szCs w:val="20"/>
          <w:lang w:val="en-US"/>
        </w:rPr>
        <w:t xml:space="preserve"> Natural products occupy an important part of the small molecule space because they are recognized by at least two proteins: the end of their biosynthetic pathway and their evolutionary biological target. The natural compounds screened were obtained from the ZINC natural product library. FAF-Drugs4 </w:t>
      </w:r>
      <w:r w:rsidR="00C35105" w:rsidRPr="00C35105">
        <w:rPr>
          <w:rFonts w:eastAsia="Calibri"/>
          <w:bCs/>
          <w:color w:val="0070C0"/>
          <w:sz w:val="20"/>
          <w:szCs w:val="20"/>
        </w:rPr>
        <w:t>(Lagorce et al., 2017</w:t>
      </w:r>
      <w:r>
        <w:rPr>
          <w:rFonts w:eastAsia="Calibri"/>
          <w:bCs/>
          <w:color w:val="0070C0"/>
          <w:sz w:val="20"/>
          <w:szCs w:val="20"/>
          <w:lang w:val="en-US"/>
        </w:rPr>
        <w:t>)</w:t>
      </w:r>
      <w:r>
        <w:rPr>
          <w:rFonts w:eastAsia="Calibri"/>
          <w:bCs/>
          <w:sz w:val="20"/>
          <w:szCs w:val="20"/>
          <w:lang w:val="en-US"/>
        </w:rPr>
        <w:t xml:space="preserve"> is a program for filtering large compound libraries prior to in silico screening or related modelling studies. The tool can perform computational prediction of some ADME-Tox properties (adsorption, distribution, metabolism, excretion, and toxicity) to assist hit selection before chemical synthesis or ordering </w:t>
      </w:r>
      <w:r w:rsidR="00C35105" w:rsidRPr="00C35105">
        <w:rPr>
          <w:rFonts w:eastAsia="Calibri"/>
          <w:bCs/>
          <w:color w:val="0070C0"/>
          <w:sz w:val="20"/>
          <w:szCs w:val="20"/>
        </w:rPr>
        <w:t>(Lagorce et al., 2017)</w:t>
      </w:r>
      <w:r w:rsidR="00C35105">
        <w:rPr>
          <w:rFonts w:eastAsia="Calibri"/>
          <w:bCs/>
          <w:color w:val="0070C0"/>
          <w:sz w:val="20"/>
          <w:szCs w:val="20"/>
        </w:rPr>
        <w:t xml:space="preserve">. </w:t>
      </w:r>
      <w:r>
        <w:rPr>
          <w:rFonts w:eastAsia="Calibri"/>
          <w:bCs/>
          <w:sz w:val="20"/>
          <w:szCs w:val="20"/>
          <w:lang w:val="en-US"/>
        </w:rPr>
        <w:t>This tool was used to filter out compounds in the ZINC database to remove interfering compounds and retain lead compounds with comparatively small log P for further optimization. PAINS moieties, or Pan Assay Interference Compounds, are compounds that occur frequently in biochemical high throughput screens.</w:t>
      </w:r>
    </w:p>
    <w:p w14:paraId="1250AB7E" w14:textId="77777777" w:rsidR="004631AB" w:rsidRDefault="004631AB">
      <w:pPr>
        <w:jc w:val="both"/>
        <w:rPr>
          <w:rFonts w:eastAsia="Calibri"/>
          <w:bCs/>
          <w:sz w:val="20"/>
          <w:szCs w:val="20"/>
          <w:lang w:val="en-US"/>
        </w:rPr>
      </w:pPr>
    </w:p>
    <w:p w14:paraId="3BCFBF1D" w14:textId="77777777" w:rsidR="004631AB" w:rsidRDefault="00000000">
      <w:pPr>
        <w:jc w:val="both"/>
        <w:rPr>
          <w:rFonts w:eastAsia="Calibri"/>
          <w:b/>
          <w:color w:val="0070C0"/>
          <w:sz w:val="20"/>
          <w:szCs w:val="20"/>
          <w:lang w:val="en-US"/>
        </w:rPr>
      </w:pPr>
      <w:r>
        <w:rPr>
          <w:rFonts w:eastAsia="Calibri"/>
          <w:b/>
          <w:color w:val="0070C0"/>
          <w:sz w:val="20"/>
          <w:szCs w:val="20"/>
          <w:lang w:val="en-US"/>
        </w:rPr>
        <w:t>2.1.5.</w:t>
      </w:r>
      <w:r>
        <w:t xml:space="preserve"> </w:t>
      </w:r>
      <w:r>
        <w:rPr>
          <w:rFonts w:eastAsia="Calibri"/>
          <w:b/>
          <w:color w:val="0070C0"/>
          <w:sz w:val="20"/>
          <w:szCs w:val="20"/>
          <w:lang w:val="en-US"/>
        </w:rPr>
        <w:t>Virtual Screening and Molecular Docking</w:t>
      </w:r>
    </w:p>
    <w:p w14:paraId="2BE39A2C" w14:textId="77777777" w:rsidR="004631AB" w:rsidRDefault="004631AB">
      <w:pPr>
        <w:jc w:val="both"/>
        <w:rPr>
          <w:rFonts w:eastAsia="Calibri"/>
          <w:bCs/>
          <w:sz w:val="20"/>
          <w:szCs w:val="20"/>
          <w:lang w:val="en-US"/>
        </w:rPr>
      </w:pPr>
    </w:p>
    <w:p w14:paraId="559E4D45" w14:textId="77777777" w:rsidR="004631AB" w:rsidRDefault="00000000">
      <w:pPr>
        <w:jc w:val="both"/>
        <w:rPr>
          <w:rFonts w:eastAsia="Calibri"/>
          <w:bCs/>
          <w:sz w:val="20"/>
          <w:szCs w:val="20"/>
          <w:lang w:val="en-US"/>
        </w:rPr>
      </w:pPr>
      <w:proofErr w:type="spellStart"/>
      <w:r>
        <w:rPr>
          <w:rFonts w:eastAsia="Calibri"/>
          <w:bCs/>
          <w:sz w:val="20"/>
          <w:szCs w:val="20"/>
          <w:lang w:val="en-US"/>
        </w:rPr>
        <w:t>PyRx</w:t>
      </w:r>
      <w:proofErr w:type="spellEnd"/>
      <w:r>
        <w:rPr>
          <w:rFonts w:eastAsia="Calibri"/>
          <w:bCs/>
          <w:sz w:val="20"/>
          <w:szCs w:val="20"/>
          <w:lang w:val="en-US"/>
        </w:rPr>
        <w:t xml:space="preserve"> </w:t>
      </w:r>
      <w:r>
        <w:rPr>
          <w:rFonts w:eastAsia="Calibri"/>
          <w:bCs/>
          <w:color w:val="0070C0"/>
          <w:sz w:val="20"/>
          <w:szCs w:val="20"/>
          <w:lang w:val="en-US"/>
        </w:rPr>
        <w:t>(Radhakrishnan et al., 2024)</w:t>
      </w:r>
      <w:r>
        <w:rPr>
          <w:rFonts w:eastAsia="Calibri"/>
          <w:bCs/>
          <w:sz w:val="20"/>
          <w:szCs w:val="20"/>
          <w:lang w:val="en-US"/>
        </w:rPr>
        <w:t xml:space="preserve"> is a virtual screening tool used for docking natural compounds. It uses the </w:t>
      </w:r>
      <w:proofErr w:type="spellStart"/>
      <w:r>
        <w:rPr>
          <w:rFonts w:eastAsia="Calibri"/>
          <w:bCs/>
          <w:sz w:val="20"/>
          <w:szCs w:val="20"/>
          <w:lang w:val="en-US"/>
        </w:rPr>
        <w:t>AutoDock</w:t>
      </w:r>
      <w:proofErr w:type="spellEnd"/>
      <w:r>
        <w:rPr>
          <w:rFonts w:eastAsia="Calibri"/>
          <w:bCs/>
          <w:sz w:val="20"/>
          <w:szCs w:val="20"/>
          <w:lang w:val="en-US"/>
        </w:rPr>
        <w:t xml:space="preserve"> 4.2 suite with Lamarckian genetic algorithm. The tool was first evaluated using the NRAS mutant structure and the ligand </w:t>
      </w:r>
      <w:proofErr w:type="spellStart"/>
      <w:r>
        <w:rPr>
          <w:rFonts w:eastAsia="Calibri"/>
          <w:bCs/>
          <w:sz w:val="20"/>
          <w:szCs w:val="20"/>
          <w:lang w:val="en-US"/>
        </w:rPr>
        <w:t>phosphoaminophosphonic</w:t>
      </w:r>
      <w:proofErr w:type="spellEnd"/>
      <w:r>
        <w:rPr>
          <w:rFonts w:eastAsia="Calibri"/>
          <w:bCs/>
          <w:sz w:val="20"/>
          <w:szCs w:val="20"/>
          <w:lang w:val="en-US"/>
        </w:rPr>
        <w:t xml:space="preserve"> acid-guanylate ester, a non-</w:t>
      </w:r>
      <w:proofErr w:type="spellStart"/>
      <w:r>
        <w:rPr>
          <w:rFonts w:eastAsia="Calibri"/>
          <w:bCs/>
          <w:sz w:val="20"/>
          <w:szCs w:val="20"/>
          <w:lang w:val="en-US"/>
        </w:rPr>
        <w:t>hydrolyzable</w:t>
      </w:r>
      <w:proofErr w:type="spellEnd"/>
      <w:r>
        <w:rPr>
          <w:rFonts w:eastAsia="Calibri"/>
          <w:bCs/>
          <w:sz w:val="20"/>
          <w:szCs w:val="20"/>
          <w:lang w:val="en-US"/>
        </w:rPr>
        <w:t xml:space="preserve"> analog of GTP. The nucleotide is a potent stimulator of adenylate cyclase and was docked. The RMSD tolerance of 2.0 Å indicated good software stability. The grid box was set to 50 × 50 × 50 with a spacing of 0.3750 Å. All ligands were converted to </w:t>
      </w:r>
      <w:proofErr w:type="spellStart"/>
      <w:r>
        <w:rPr>
          <w:rFonts w:eastAsia="Calibri"/>
          <w:bCs/>
          <w:sz w:val="20"/>
          <w:szCs w:val="20"/>
          <w:lang w:val="en-US"/>
        </w:rPr>
        <w:t>pdbqt</w:t>
      </w:r>
      <w:proofErr w:type="spellEnd"/>
      <w:r>
        <w:rPr>
          <w:rFonts w:eastAsia="Calibri"/>
          <w:bCs/>
          <w:sz w:val="20"/>
          <w:szCs w:val="20"/>
          <w:lang w:val="en-US"/>
        </w:rPr>
        <w:t xml:space="preserve"> format in </w:t>
      </w:r>
      <w:proofErr w:type="spellStart"/>
      <w:r>
        <w:rPr>
          <w:rFonts w:eastAsia="Calibri"/>
          <w:bCs/>
          <w:sz w:val="20"/>
          <w:szCs w:val="20"/>
          <w:lang w:val="en-US"/>
        </w:rPr>
        <w:t>PyRx</w:t>
      </w:r>
      <w:proofErr w:type="spellEnd"/>
      <w:r>
        <w:rPr>
          <w:rFonts w:eastAsia="Calibri"/>
          <w:bCs/>
          <w:sz w:val="20"/>
          <w:szCs w:val="20"/>
          <w:lang w:val="en-US"/>
        </w:rPr>
        <w:t xml:space="preserve">. </w:t>
      </w:r>
      <w:proofErr w:type="spellStart"/>
      <w:r>
        <w:rPr>
          <w:rFonts w:eastAsia="Calibri"/>
          <w:bCs/>
          <w:sz w:val="20"/>
          <w:szCs w:val="20"/>
          <w:lang w:val="en-US"/>
        </w:rPr>
        <w:t>AutoDock</w:t>
      </w:r>
      <w:proofErr w:type="spellEnd"/>
      <w:r>
        <w:rPr>
          <w:rFonts w:eastAsia="Calibri"/>
          <w:bCs/>
          <w:sz w:val="20"/>
          <w:szCs w:val="20"/>
          <w:lang w:val="en-US"/>
        </w:rPr>
        <w:t xml:space="preserve"> was set to run generating 10 poses per compound. Only the pose with the best binding score was tabulated in the </w:t>
      </w:r>
      <w:proofErr w:type="spellStart"/>
      <w:r>
        <w:rPr>
          <w:rFonts w:eastAsia="Calibri"/>
          <w:bCs/>
          <w:sz w:val="20"/>
          <w:szCs w:val="20"/>
          <w:lang w:val="en-US"/>
        </w:rPr>
        <w:t>sdf</w:t>
      </w:r>
      <w:proofErr w:type="spellEnd"/>
      <w:r>
        <w:rPr>
          <w:rFonts w:eastAsia="Calibri"/>
          <w:bCs/>
          <w:sz w:val="20"/>
          <w:szCs w:val="20"/>
          <w:lang w:val="en-US"/>
        </w:rPr>
        <w:t xml:space="preserve"> files. This yielded the best protein-ligand binding candidates </w:t>
      </w:r>
      <w:r>
        <w:rPr>
          <w:rFonts w:eastAsia="Calibri"/>
          <w:bCs/>
          <w:sz w:val="20"/>
          <w:szCs w:val="20"/>
          <w:lang w:val="en-US"/>
        </w:rPr>
        <w:t xml:space="preserve">for further analysis. Docking results were </w:t>
      </w:r>
      <w:proofErr w:type="spellStart"/>
      <w:r>
        <w:rPr>
          <w:rFonts w:eastAsia="Calibri"/>
          <w:bCs/>
          <w:sz w:val="20"/>
          <w:szCs w:val="20"/>
          <w:lang w:val="en-US"/>
        </w:rPr>
        <w:t>analysed</w:t>
      </w:r>
      <w:proofErr w:type="spellEnd"/>
      <w:r>
        <w:rPr>
          <w:rFonts w:eastAsia="Calibri"/>
          <w:bCs/>
          <w:sz w:val="20"/>
          <w:szCs w:val="20"/>
          <w:lang w:val="en-US"/>
        </w:rPr>
        <w:t xml:space="preserve"> using LigPlot+ </w:t>
      </w:r>
      <w:r>
        <w:rPr>
          <w:rFonts w:eastAsia="Calibri"/>
          <w:bCs/>
          <w:color w:val="0070C0"/>
          <w:sz w:val="20"/>
          <w:szCs w:val="20"/>
          <w:lang w:val="en-US"/>
        </w:rPr>
        <w:t>(</w:t>
      </w:r>
      <w:proofErr w:type="spellStart"/>
      <w:r>
        <w:rPr>
          <w:rFonts w:eastAsia="Calibri"/>
          <w:bCs/>
          <w:color w:val="0070C0"/>
          <w:sz w:val="20"/>
          <w:szCs w:val="20"/>
          <w:lang w:val="en-US"/>
        </w:rPr>
        <w:t>LigPlus</w:t>
      </w:r>
      <w:proofErr w:type="spellEnd"/>
      <w:r>
        <w:rPr>
          <w:rFonts w:eastAsia="Calibri"/>
          <w:bCs/>
          <w:color w:val="0070C0"/>
          <w:sz w:val="20"/>
          <w:szCs w:val="20"/>
          <w:lang w:val="en-US"/>
        </w:rPr>
        <w:t>, 2025),</w:t>
      </w:r>
      <w:r>
        <w:rPr>
          <w:rFonts w:eastAsia="Calibri"/>
          <w:bCs/>
          <w:sz w:val="20"/>
          <w:szCs w:val="20"/>
          <w:lang w:val="en-US"/>
        </w:rPr>
        <w:t xml:space="preserve"> an advanced version of LIGPLOT for automatic generation of 2D ligand-protein interaction diagrams. The hydrophobic and hydrogen bond interactions contribute to protein-ligand complex stability and help determine the inhibitory potential of each compound on mutant NRAS.</w:t>
      </w:r>
    </w:p>
    <w:p w14:paraId="35072E41" w14:textId="77777777" w:rsidR="004631AB" w:rsidRDefault="004631AB">
      <w:pPr>
        <w:jc w:val="both"/>
        <w:rPr>
          <w:rFonts w:eastAsia="Calibri"/>
          <w:bCs/>
          <w:sz w:val="20"/>
          <w:szCs w:val="20"/>
          <w:lang w:val="en-US"/>
        </w:rPr>
      </w:pPr>
    </w:p>
    <w:p w14:paraId="6F863373" w14:textId="77777777" w:rsidR="004631AB" w:rsidRDefault="00000000">
      <w:pPr>
        <w:jc w:val="both"/>
        <w:rPr>
          <w:rFonts w:eastAsia="Calibri"/>
          <w:color w:val="0070C0"/>
          <w:sz w:val="20"/>
          <w:szCs w:val="20"/>
          <w:lang w:val="en-US"/>
        </w:rPr>
      </w:pPr>
      <w:r>
        <w:rPr>
          <w:rFonts w:eastAsia="Calibri"/>
          <w:b/>
          <w:color w:val="0070C0"/>
          <w:sz w:val="20"/>
          <w:szCs w:val="20"/>
          <w:lang w:val="en-US"/>
        </w:rPr>
        <w:t>3. RESULTS and DISCUSSION</w:t>
      </w:r>
    </w:p>
    <w:p w14:paraId="0A70B9B1" w14:textId="77777777" w:rsidR="004631AB" w:rsidRDefault="004631AB">
      <w:pPr>
        <w:autoSpaceDE w:val="0"/>
        <w:autoSpaceDN w:val="0"/>
        <w:adjustRightInd w:val="0"/>
        <w:jc w:val="both"/>
        <w:rPr>
          <w:b/>
          <w:color w:val="000000"/>
          <w:sz w:val="20"/>
          <w:szCs w:val="20"/>
          <w:shd w:val="clear" w:color="auto" w:fill="FFFFFF"/>
        </w:rPr>
      </w:pPr>
    </w:p>
    <w:p w14:paraId="219078F8" w14:textId="77777777" w:rsidR="004631AB" w:rsidRDefault="00000000">
      <w:pPr>
        <w:autoSpaceDE w:val="0"/>
        <w:autoSpaceDN w:val="0"/>
        <w:adjustRightInd w:val="0"/>
        <w:jc w:val="both"/>
        <w:rPr>
          <w:color w:val="000000"/>
          <w:sz w:val="20"/>
          <w:szCs w:val="20"/>
          <w:shd w:val="clear" w:color="auto" w:fill="FFFFFF"/>
          <w:lang w:val="yo-NG"/>
        </w:rPr>
      </w:pPr>
      <w:r>
        <w:rPr>
          <w:rFonts w:eastAsia="Calibri"/>
          <w:b/>
          <w:color w:val="0070C0"/>
          <w:sz w:val="20"/>
          <w:szCs w:val="20"/>
          <w:lang w:val="en-US"/>
        </w:rPr>
        <w:t>3.1. Validation of mutant NRAS models</w:t>
      </w:r>
      <w:r>
        <w:rPr>
          <w:color w:val="000000"/>
          <w:sz w:val="20"/>
          <w:szCs w:val="20"/>
          <w:shd w:val="clear" w:color="auto" w:fill="FFFFFF"/>
          <w:lang w:val="yo-NG"/>
        </w:rPr>
        <w:tab/>
      </w:r>
    </w:p>
    <w:p w14:paraId="3E7D8860" w14:textId="77777777" w:rsidR="004631AB" w:rsidRDefault="004631AB">
      <w:pPr>
        <w:jc w:val="both"/>
        <w:rPr>
          <w:sz w:val="20"/>
          <w:szCs w:val="20"/>
        </w:rPr>
      </w:pPr>
    </w:p>
    <w:p w14:paraId="70E5B33F" w14:textId="5A4C2292" w:rsidR="004631AB" w:rsidRPr="00A675F7" w:rsidRDefault="007202E6">
      <w:pPr>
        <w:jc w:val="both"/>
        <w:rPr>
          <w:sz w:val="20"/>
          <w:szCs w:val="20"/>
          <w:highlight w:val="yellow"/>
          <w:lang w:val="en-IN"/>
        </w:rPr>
      </w:pPr>
      <w:r w:rsidRPr="007202E6">
        <w:rPr>
          <w:sz w:val="20"/>
          <w:szCs w:val="20"/>
          <w:highlight w:val="yellow"/>
        </w:rPr>
        <w:t>The mutant NRAS variants (G12D, G13D, and Q61R) were generated using SwissPDB Viewer based on the wild-type structural template</w:t>
      </w:r>
      <w:r w:rsidR="00697E75" w:rsidRPr="00883871">
        <w:rPr>
          <w:sz w:val="20"/>
          <w:szCs w:val="20"/>
          <w:highlight w:val="yellow"/>
        </w:rPr>
        <w:t>.</w:t>
      </w:r>
      <w:r w:rsidR="00000000" w:rsidRPr="00883871">
        <w:rPr>
          <w:sz w:val="20"/>
          <w:szCs w:val="20"/>
          <w:highlight w:val="yellow"/>
        </w:rPr>
        <w:t xml:space="preserve"> Structural quality checks confirmed the reliability of these models. </w:t>
      </w:r>
      <w:r w:rsidR="00A13AB2" w:rsidRPr="00883871">
        <w:rPr>
          <w:sz w:val="20"/>
          <w:szCs w:val="20"/>
          <w:highlight w:val="yellow"/>
        </w:rPr>
        <w:t>The protein model's backbone torsion angles (phi and psi) are highly stereochemically favourable, over 90% of residues falling in the most allowed regions of the Ramachandran plot</w:t>
      </w:r>
      <w:r w:rsidR="00A675F7">
        <w:rPr>
          <w:sz w:val="20"/>
          <w:szCs w:val="20"/>
          <w:highlight w:val="yellow"/>
        </w:rPr>
        <w:t xml:space="preserve"> </w:t>
      </w:r>
      <w:r w:rsidR="00A675F7" w:rsidRPr="00A675F7">
        <w:rPr>
          <w:bCs/>
          <w:sz w:val="20"/>
          <w:szCs w:val="20"/>
          <w:highlight w:val="yellow"/>
          <w:lang w:val="en-IN"/>
        </w:rPr>
        <w:t>(Figure 1E–F)</w:t>
      </w:r>
      <w:r w:rsidR="00A13AB2" w:rsidRPr="00A675F7">
        <w:rPr>
          <w:bCs/>
          <w:sz w:val="20"/>
          <w:szCs w:val="20"/>
          <w:highlight w:val="yellow"/>
        </w:rPr>
        <w:t>,</w:t>
      </w:r>
      <w:r w:rsidR="00A13AB2" w:rsidRPr="00883871">
        <w:rPr>
          <w:sz w:val="20"/>
          <w:szCs w:val="20"/>
          <w:highlight w:val="yellow"/>
        </w:rPr>
        <w:t xml:space="preserve"> signifying excellent structural quality. Only</w:t>
      </w:r>
      <w:r w:rsidR="00000000" w:rsidRPr="00883871">
        <w:rPr>
          <w:sz w:val="20"/>
          <w:szCs w:val="20"/>
          <w:highlight w:val="yellow"/>
        </w:rPr>
        <w:t xml:space="preserve"> a minor fraction occupied disallowed regions. P</w:t>
      </w:r>
      <w:r w:rsidR="00A675F7">
        <w:rPr>
          <w:sz w:val="20"/>
          <w:szCs w:val="20"/>
          <w:highlight w:val="yellow"/>
        </w:rPr>
        <w:t>ro</w:t>
      </w:r>
      <w:r w:rsidR="00000000" w:rsidRPr="00883871">
        <w:rPr>
          <w:sz w:val="20"/>
          <w:szCs w:val="20"/>
          <w:highlight w:val="yellow"/>
        </w:rPr>
        <w:t>SA scores were negative, indicating minimal erroneous regions</w:t>
      </w:r>
      <w:r w:rsidR="00A675F7">
        <w:rPr>
          <w:sz w:val="20"/>
          <w:szCs w:val="20"/>
          <w:highlight w:val="yellow"/>
        </w:rPr>
        <w:t xml:space="preserve"> </w:t>
      </w:r>
      <w:r w:rsidR="00A675F7" w:rsidRPr="00A675F7">
        <w:rPr>
          <w:bCs/>
          <w:sz w:val="20"/>
          <w:szCs w:val="20"/>
          <w:highlight w:val="yellow"/>
          <w:lang w:val="en-IN"/>
        </w:rPr>
        <w:t xml:space="preserve">(Figure 1C) were consistent with native proteins of similar size, indicating reliable global folding </w:t>
      </w:r>
      <w:r w:rsidR="00A675F7" w:rsidRPr="00A675F7">
        <w:rPr>
          <w:bCs/>
          <w:color w:val="0070C0"/>
          <w:sz w:val="20"/>
          <w:szCs w:val="20"/>
          <w:highlight w:val="yellow"/>
          <w:lang w:val="en-IN"/>
        </w:rPr>
        <w:t>(Wiederstein &amp; Sippl, 2007)</w:t>
      </w:r>
      <w:r w:rsidR="00000000" w:rsidRPr="00A675F7">
        <w:rPr>
          <w:bCs/>
          <w:color w:val="0070C0"/>
          <w:sz w:val="20"/>
          <w:szCs w:val="20"/>
          <w:highlight w:val="yellow"/>
        </w:rPr>
        <w:t>.</w:t>
      </w:r>
      <w:r w:rsidR="00000000" w:rsidRPr="00A675F7">
        <w:rPr>
          <w:color w:val="0070C0"/>
          <w:sz w:val="20"/>
          <w:szCs w:val="20"/>
          <w:highlight w:val="yellow"/>
        </w:rPr>
        <w:t xml:space="preserve"> </w:t>
      </w:r>
      <w:r w:rsidR="00697E75" w:rsidRPr="00883871">
        <w:rPr>
          <w:sz w:val="20"/>
          <w:szCs w:val="20"/>
          <w:highlight w:val="yellow"/>
        </w:rPr>
        <w:t>The modelled NRAS mutant structure was therefore used for further analysis, demonstrating strong structural stability.</w:t>
      </w:r>
      <w:r w:rsidR="00697E75">
        <w:rPr>
          <w:sz w:val="20"/>
          <w:szCs w:val="20"/>
        </w:rPr>
        <w:t xml:space="preserve"> </w:t>
      </w:r>
    </w:p>
    <w:p w14:paraId="371A7910" w14:textId="79ACFE4D" w:rsidR="004631AB" w:rsidRDefault="00000000">
      <w:pPr>
        <w:jc w:val="both"/>
        <w:rPr>
          <w:rFonts w:eastAsia="Segoe UI"/>
          <w:spacing w:val="1"/>
          <w:sz w:val="20"/>
          <w:szCs w:val="20"/>
        </w:rPr>
      </w:pPr>
      <w:r>
        <w:rPr>
          <w:noProof/>
        </w:rPr>
        <w:drawing>
          <wp:anchor distT="0" distB="0" distL="114300" distR="114300" simplePos="0" relativeHeight="251659264" behindDoc="0" locked="0" layoutInCell="1" allowOverlap="1" wp14:anchorId="7E239B93" wp14:editId="0D9A1BC7">
            <wp:simplePos x="0" y="0"/>
            <wp:positionH relativeFrom="column">
              <wp:align>left</wp:align>
            </wp:positionH>
            <wp:positionV relativeFrom="paragraph">
              <wp:posOffset>133350</wp:posOffset>
            </wp:positionV>
            <wp:extent cx="1390650" cy="985520"/>
            <wp:effectExtent l="0" t="0" r="0" b="508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390650" cy="985520"/>
                    </a:xfrm>
                    <a:prstGeom prst="rect">
                      <a:avLst/>
                    </a:prstGeom>
                  </pic:spPr>
                </pic:pic>
              </a:graphicData>
            </a:graphic>
          </wp:anchor>
        </w:drawing>
      </w:r>
    </w:p>
    <w:p w14:paraId="0DA33A59" w14:textId="666A72C3" w:rsidR="004631AB" w:rsidRDefault="00000000">
      <w:pPr>
        <w:jc w:val="both"/>
        <w:rPr>
          <w:rFonts w:eastAsia="Segoe UI"/>
          <w:spacing w:val="1"/>
          <w:sz w:val="20"/>
          <w:szCs w:val="20"/>
        </w:rPr>
      </w:pPr>
      <w:r>
        <w:rPr>
          <w:noProof/>
        </w:rPr>
        <w:drawing>
          <wp:anchor distT="0" distB="0" distL="114300" distR="114300" simplePos="0" relativeHeight="251660288" behindDoc="0" locked="0" layoutInCell="1" allowOverlap="1" wp14:anchorId="20D87AD1" wp14:editId="17D2917E">
            <wp:simplePos x="0" y="0"/>
            <wp:positionH relativeFrom="margin">
              <wp:align>right</wp:align>
            </wp:positionH>
            <wp:positionV relativeFrom="paragraph">
              <wp:posOffset>2540</wp:posOffset>
            </wp:positionV>
            <wp:extent cx="1343025" cy="970280"/>
            <wp:effectExtent l="0" t="0" r="9525" b="1270"/>
            <wp:wrapNone/>
            <wp:docPr id="6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jpe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343025" cy="970280"/>
                    </a:xfrm>
                    <a:prstGeom prst="rect">
                      <a:avLst/>
                    </a:prstGeom>
                  </pic:spPr>
                </pic:pic>
              </a:graphicData>
            </a:graphic>
          </wp:anchor>
        </w:drawing>
      </w:r>
    </w:p>
    <w:p w14:paraId="4A023283" w14:textId="5E25C13F" w:rsidR="004631AB" w:rsidRDefault="004631AB">
      <w:pPr>
        <w:jc w:val="both"/>
        <w:rPr>
          <w:rFonts w:eastAsia="Segoe UI"/>
          <w:spacing w:val="1"/>
          <w:sz w:val="20"/>
          <w:szCs w:val="20"/>
        </w:rPr>
      </w:pPr>
    </w:p>
    <w:p w14:paraId="51589EAF" w14:textId="77777777" w:rsidR="004631AB" w:rsidRDefault="004631AB">
      <w:pPr>
        <w:jc w:val="both"/>
        <w:rPr>
          <w:rFonts w:eastAsia="Segoe UI"/>
          <w:spacing w:val="1"/>
          <w:sz w:val="20"/>
          <w:szCs w:val="20"/>
        </w:rPr>
      </w:pPr>
    </w:p>
    <w:p w14:paraId="4FCC8A45" w14:textId="77777777" w:rsidR="004631AB" w:rsidRDefault="004631AB">
      <w:pPr>
        <w:jc w:val="both"/>
        <w:rPr>
          <w:rFonts w:eastAsia="Segoe UI"/>
          <w:spacing w:val="1"/>
          <w:sz w:val="20"/>
          <w:szCs w:val="20"/>
        </w:rPr>
      </w:pPr>
    </w:p>
    <w:p w14:paraId="74E16C14" w14:textId="77777777" w:rsidR="004631AB" w:rsidRDefault="004631AB">
      <w:pPr>
        <w:jc w:val="both"/>
        <w:rPr>
          <w:rFonts w:eastAsia="Segoe UI"/>
          <w:spacing w:val="1"/>
          <w:sz w:val="20"/>
          <w:szCs w:val="20"/>
        </w:rPr>
      </w:pPr>
    </w:p>
    <w:p w14:paraId="06FC3481" w14:textId="77777777" w:rsidR="004631AB" w:rsidRDefault="004631AB">
      <w:pPr>
        <w:jc w:val="both"/>
        <w:rPr>
          <w:rFonts w:eastAsia="Segoe UI"/>
          <w:spacing w:val="1"/>
          <w:sz w:val="20"/>
          <w:szCs w:val="20"/>
        </w:rPr>
      </w:pPr>
    </w:p>
    <w:p w14:paraId="1476E872" w14:textId="77777777" w:rsidR="004631AB" w:rsidRDefault="004631AB">
      <w:pPr>
        <w:jc w:val="both"/>
        <w:rPr>
          <w:rFonts w:eastAsia="Segoe UI"/>
          <w:spacing w:val="1"/>
          <w:sz w:val="20"/>
          <w:szCs w:val="20"/>
        </w:rPr>
      </w:pPr>
    </w:p>
    <w:p w14:paraId="30C01E01" w14:textId="77777777" w:rsidR="004631AB" w:rsidRDefault="00000000">
      <w:pPr>
        <w:numPr>
          <w:ilvl w:val="0"/>
          <w:numId w:val="1"/>
        </w:numPr>
        <w:ind w:left="993"/>
        <w:jc w:val="both"/>
        <w:rPr>
          <w:rFonts w:eastAsia="Segoe UI"/>
          <w:spacing w:val="1"/>
          <w:sz w:val="20"/>
          <w:szCs w:val="20"/>
          <w:lang w:val="en-US"/>
        </w:rPr>
      </w:pPr>
      <w:r>
        <w:rPr>
          <w:rFonts w:eastAsia="Segoe UI"/>
          <w:spacing w:val="1"/>
          <w:sz w:val="20"/>
          <w:szCs w:val="20"/>
          <w:lang w:val="en-US"/>
        </w:rPr>
        <w:t xml:space="preserve">                                    </w:t>
      </w:r>
      <w:r>
        <w:rPr>
          <w:rFonts w:eastAsia="Segoe UI"/>
          <w:spacing w:val="1"/>
          <w:sz w:val="20"/>
          <w:szCs w:val="20"/>
        </w:rPr>
        <w:t>(B</w:t>
      </w:r>
      <w:r>
        <w:rPr>
          <w:rFonts w:eastAsia="Segoe UI"/>
          <w:spacing w:val="1"/>
          <w:sz w:val="20"/>
          <w:szCs w:val="20"/>
          <w:lang w:val="en-US"/>
        </w:rPr>
        <w:t>)</w:t>
      </w:r>
    </w:p>
    <w:p w14:paraId="554BD5DE" w14:textId="77777777" w:rsidR="004631AB" w:rsidRDefault="00000000">
      <w:pPr>
        <w:jc w:val="both"/>
        <w:rPr>
          <w:rFonts w:eastAsia="Segoe UI"/>
          <w:spacing w:val="1"/>
          <w:sz w:val="20"/>
          <w:szCs w:val="20"/>
        </w:rPr>
      </w:pPr>
      <w:r>
        <w:rPr>
          <w:noProof/>
        </w:rPr>
        <w:drawing>
          <wp:anchor distT="0" distB="0" distL="114300" distR="114300" simplePos="0" relativeHeight="251661312" behindDoc="0" locked="0" layoutInCell="1" allowOverlap="1" wp14:anchorId="26156E41" wp14:editId="1F337A0C">
            <wp:simplePos x="0" y="0"/>
            <wp:positionH relativeFrom="column">
              <wp:posOffset>-7620</wp:posOffset>
            </wp:positionH>
            <wp:positionV relativeFrom="paragraph">
              <wp:posOffset>47625</wp:posOffset>
            </wp:positionV>
            <wp:extent cx="1409700" cy="1012825"/>
            <wp:effectExtent l="19050" t="19050" r="19050" b="15875"/>
            <wp:wrapNone/>
            <wp:docPr id="6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jpe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409700" cy="1012825"/>
                    </a:xfrm>
                    <a:prstGeom prst="rect">
                      <a:avLst/>
                    </a:prstGeom>
                    <a:ln>
                      <a:solidFill>
                        <a:schemeClr val="bg1">
                          <a:lumMod val="65000"/>
                        </a:schemeClr>
                      </a:solidFill>
                    </a:ln>
                  </pic:spPr>
                </pic:pic>
              </a:graphicData>
            </a:graphic>
          </wp:anchor>
        </w:drawing>
      </w:r>
      <w:r>
        <w:rPr>
          <w:noProof/>
        </w:rPr>
        <w:drawing>
          <wp:anchor distT="0" distB="0" distL="114300" distR="114300" simplePos="0" relativeHeight="251662336" behindDoc="0" locked="0" layoutInCell="1" allowOverlap="1" wp14:anchorId="14DDEE50" wp14:editId="210C1F46">
            <wp:simplePos x="0" y="0"/>
            <wp:positionH relativeFrom="margin">
              <wp:align>right</wp:align>
            </wp:positionH>
            <wp:positionV relativeFrom="paragraph">
              <wp:posOffset>66675</wp:posOffset>
            </wp:positionV>
            <wp:extent cx="1381125" cy="1025525"/>
            <wp:effectExtent l="19050" t="19050" r="28575" b="22225"/>
            <wp:wrapNone/>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jpe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381125" cy="1025525"/>
                    </a:xfrm>
                    <a:prstGeom prst="rect">
                      <a:avLst/>
                    </a:prstGeom>
                    <a:ln>
                      <a:solidFill>
                        <a:schemeClr val="bg1">
                          <a:lumMod val="65000"/>
                        </a:schemeClr>
                      </a:solidFill>
                    </a:ln>
                  </pic:spPr>
                </pic:pic>
              </a:graphicData>
            </a:graphic>
          </wp:anchor>
        </w:drawing>
      </w:r>
    </w:p>
    <w:p w14:paraId="595886C1" w14:textId="77777777" w:rsidR="004631AB" w:rsidRDefault="004631AB">
      <w:pPr>
        <w:jc w:val="both"/>
        <w:rPr>
          <w:rFonts w:eastAsia="Segoe UI"/>
          <w:spacing w:val="1"/>
          <w:sz w:val="20"/>
          <w:szCs w:val="20"/>
        </w:rPr>
      </w:pPr>
    </w:p>
    <w:p w14:paraId="3436838A" w14:textId="77777777" w:rsidR="004631AB" w:rsidRDefault="00000000">
      <w:pPr>
        <w:jc w:val="both"/>
        <w:rPr>
          <w:rFonts w:eastAsia="Segoe UI"/>
          <w:spacing w:val="1"/>
          <w:sz w:val="20"/>
          <w:szCs w:val="20"/>
        </w:rPr>
      </w:pPr>
      <w:r>
        <w:rPr>
          <w:rFonts w:eastAsia="Segoe UI"/>
          <w:spacing w:val="1"/>
          <w:sz w:val="20"/>
          <w:szCs w:val="20"/>
        </w:rPr>
        <w:t xml:space="preserve"> </w:t>
      </w:r>
    </w:p>
    <w:p w14:paraId="2A610E6A" w14:textId="77777777" w:rsidR="004631AB" w:rsidRDefault="004631AB">
      <w:pPr>
        <w:jc w:val="both"/>
        <w:rPr>
          <w:rFonts w:eastAsia="Segoe UI"/>
          <w:spacing w:val="1"/>
          <w:sz w:val="20"/>
          <w:szCs w:val="20"/>
        </w:rPr>
      </w:pPr>
    </w:p>
    <w:p w14:paraId="6872C4B5" w14:textId="77777777" w:rsidR="004631AB" w:rsidRDefault="004631AB">
      <w:pPr>
        <w:jc w:val="both"/>
        <w:rPr>
          <w:rFonts w:eastAsia="Segoe UI"/>
          <w:spacing w:val="1"/>
          <w:sz w:val="20"/>
          <w:szCs w:val="20"/>
        </w:rPr>
      </w:pPr>
    </w:p>
    <w:p w14:paraId="15F1498B" w14:textId="77777777" w:rsidR="004631AB" w:rsidRDefault="004631AB">
      <w:pPr>
        <w:jc w:val="both"/>
        <w:rPr>
          <w:rFonts w:eastAsia="Segoe UI"/>
          <w:spacing w:val="1"/>
          <w:sz w:val="20"/>
          <w:szCs w:val="20"/>
        </w:rPr>
      </w:pPr>
    </w:p>
    <w:p w14:paraId="649F21A6" w14:textId="77777777" w:rsidR="004631AB" w:rsidRDefault="004631AB">
      <w:pPr>
        <w:jc w:val="both"/>
        <w:rPr>
          <w:rFonts w:eastAsia="Segoe UI"/>
          <w:spacing w:val="1"/>
          <w:sz w:val="20"/>
          <w:szCs w:val="20"/>
        </w:rPr>
      </w:pPr>
    </w:p>
    <w:p w14:paraId="47DADA6F" w14:textId="77777777" w:rsidR="004631AB" w:rsidRDefault="004631AB">
      <w:pPr>
        <w:jc w:val="both"/>
        <w:rPr>
          <w:rFonts w:eastAsia="Segoe UI"/>
          <w:spacing w:val="1"/>
          <w:sz w:val="20"/>
          <w:szCs w:val="20"/>
          <w:lang w:val="en-US"/>
        </w:rPr>
      </w:pPr>
    </w:p>
    <w:p w14:paraId="31FABB34" w14:textId="77777777" w:rsidR="004631AB" w:rsidRDefault="00000000">
      <w:pPr>
        <w:jc w:val="both"/>
        <w:rPr>
          <w:rFonts w:eastAsia="Calibri"/>
          <w:b/>
          <w:color w:val="0070C0"/>
          <w:sz w:val="20"/>
          <w:szCs w:val="20"/>
          <w:lang w:val="en-US"/>
        </w:rPr>
      </w:pPr>
      <w:r>
        <w:rPr>
          <w:rFonts w:eastAsia="Segoe UI"/>
          <w:spacing w:val="1"/>
          <w:sz w:val="20"/>
          <w:szCs w:val="20"/>
          <w:lang w:val="en-US"/>
        </w:rPr>
        <w:t xml:space="preserve">                   </w:t>
      </w:r>
      <w:r>
        <w:rPr>
          <w:rFonts w:eastAsia="Segoe UI"/>
          <w:spacing w:val="1"/>
          <w:sz w:val="20"/>
          <w:szCs w:val="20"/>
        </w:rPr>
        <w:t>(C)</w:t>
      </w:r>
      <w:r>
        <w:rPr>
          <w:rFonts w:eastAsia="Segoe UI"/>
          <w:spacing w:val="1"/>
          <w:sz w:val="20"/>
          <w:szCs w:val="20"/>
          <w:lang w:val="en-US"/>
        </w:rPr>
        <w:t xml:space="preserve">                                     </w:t>
      </w:r>
      <w:r>
        <w:rPr>
          <w:rFonts w:eastAsia="Segoe UI"/>
          <w:spacing w:val="1"/>
          <w:sz w:val="20"/>
          <w:szCs w:val="20"/>
        </w:rPr>
        <w:t>(D)</w:t>
      </w:r>
    </w:p>
    <w:p w14:paraId="7AEC7C6C" w14:textId="77777777" w:rsidR="004631AB" w:rsidRDefault="004631AB">
      <w:pPr>
        <w:jc w:val="both"/>
        <w:rPr>
          <w:rFonts w:eastAsia="Segoe UI"/>
          <w:spacing w:val="1"/>
          <w:sz w:val="20"/>
          <w:szCs w:val="20"/>
          <w:lang w:val="en-US"/>
        </w:rPr>
      </w:pPr>
    </w:p>
    <w:p w14:paraId="5D6E46D3" w14:textId="2CB08AEC" w:rsidR="004631AB" w:rsidRDefault="00000000">
      <w:pPr>
        <w:jc w:val="both"/>
        <w:rPr>
          <w:rFonts w:eastAsia="Segoe UI"/>
          <w:spacing w:val="1"/>
          <w:sz w:val="20"/>
          <w:szCs w:val="20"/>
        </w:rPr>
      </w:pPr>
      <w:r>
        <w:rPr>
          <w:noProof/>
        </w:rPr>
        <w:drawing>
          <wp:anchor distT="0" distB="0" distL="114300" distR="114300" simplePos="0" relativeHeight="251663360" behindDoc="0" locked="0" layoutInCell="1" allowOverlap="1" wp14:anchorId="69187A59" wp14:editId="25CFD023">
            <wp:simplePos x="0" y="0"/>
            <wp:positionH relativeFrom="column">
              <wp:align>left</wp:align>
            </wp:positionH>
            <wp:positionV relativeFrom="paragraph">
              <wp:posOffset>92710</wp:posOffset>
            </wp:positionV>
            <wp:extent cx="1276350" cy="1028700"/>
            <wp:effectExtent l="19050" t="19050" r="19050" b="19050"/>
            <wp:wrapNone/>
            <wp:docPr id="6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jpe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276350" cy="1028700"/>
                    </a:xfrm>
                    <a:prstGeom prst="rect">
                      <a:avLst/>
                    </a:prstGeom>
                    <a:ln>
                      <a:solidFill>
                        <a:schemeClr val="bg1">
                          <a:lumMod val="65000"/>
                        </a:schemeClr>
                      </a:solidFill>
                    </a:ln>
                  </pic:spPr>
                </pic:pic>
              </a:graphicData>
            </a:graphic>
          </wp:anchor>
        </w:drawing>
      </w:r>
      <w:r>
        <w:rPr>
          <w:noProof/>
        </w:rPr>
        <w:drawing>
          <wp:anchor distT="0" distB="0" distL="114300" distR="114300" simplePos="0" relativeHeight="251664384" behindDoc="0" locked="0" layoutInCell="1" allowOverlap="1" wp14:anchorId="755968A0" wp14:editId="0BCE5A1A">
            <wp:simplePos x="0" y="0"/>
            <wp:positionH relativeFrom="margin">
              <wp:align>right</wp:align>
            </wp:positionH>
            <wp:positionV relativeFrom="paragraph">
              <wp:posOffset>73660</wp:posOffset>
            </wp:positionV>
            <wp:extent cx="1447800" cy="1038225"/>
            <wp:effectExtent l="19050" t="19050" r="19050" b="25400"/>
            <wp:wrapNone/>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447800" cy="1038225"/>
                    </a:xfrm>
                    <a:prstGeom prst="rect">
                      <a:avLst/>
                    </a:prstGeom>
                    <a:ln>
                      <a:solidFill>
                        <a:schemeClr val="bg1">
                          <a:lumMod val="65000"/>
                        </a:schemeClr>
                      </a:solidFill>
                    </a:ln>
                  </pic:spPr>
                </pic:pic>
              </a:graphicData>
            </a:graphic>
            <wp14:sizeRelV relativeFrom="margin">
              <wp14:pctHeight>0</wp14:pctHeight>
            </wp14:sizeRelV>
          </wp:anchor>
        </w:drawing>
      </w:r>
    </w:p>
    <w:p w14:paraId="6A9FF5C6" w14:textId="77777777" w:rsidR="004631AB" w:rsidRDefault="004631AB">
      <w:pPr>
        <w:jc w:val="both"/>
        <w:rPr>
          <w:rFonts w:eastAsia="Segoe UI"/>
          <w:spacing w:val="1"/>
          <w:sz w:val="20"/>
          <w:szCs w:val="20"/>
        </w:rPr>
      </w:pPr>
    </w:p>
    <w:p w14:paraId="15A4A711" w14:textId="77777777" w:rsidR="004631AB" w:rsidRDefault="004631AB">
      <w:pPr>
        <w:jc w:val="both"/>
        <w:rPr>
          <w:rFonts w:eastAsia="Segoe UI"/>
          <w:spacing w:val="1"/>
          <w:sz w:val="20"/>
          <w:szCs w:val="20"/>
        </w:rPr>
      </w:pPr>
    </w:p>
    <w:p w14:paraId="68A9ED7F" w14:textId="77777777" w:rsidR="004631AB" w:rsidRDefault="004631AB">
      <w:pPr>
        <w:jc w:val="both"/>
        <w:rPr>
          <w:rFonts w:eastAsia="Segoe UI"/>
          <w:spacing w:val="1"/>
          <w:sz w:val="20"/>
          <w:szCs w:val="20"/>
        </w:rPr>
      </w:pPr>
    </w:p>
    <w:p w14:paraId="5A09156D" w14:textId="77777777" w:rsidR="004631AB" w:rsidRDefault="004631AB">
      <w:pPr>
        <w:jc w:val="both"/>
        <w:rPr>
          <w:rFonts w:eastAsia="Segoe UI"/>
          <w:spacing w:val="1"/>
          <w:sz w:val="20"/>
          <w:szCs w:val="20"/>
        </w:rPr>
      </w:pPr>
    </w:p>
    <w:p w14:paraId="2987CCD8" w14:textId="77777777" w:rsidR="004631AB" w:rsidRDefault="004631AB">
      <w:pPr>
        <w:jc w:val="both"/>
        <w:rPr>
          <w:rFonts w:eastAsia="Segoe UI"/>
          <w:spacing w:val="1"/>
          <w:sz w:val="20"/>
          <w:szCs w:val="20"/>
        </w:rPr>
      </w:pPr>
    </w:p>
    <w:p w14:paraId="59CA3091" w14:textId="77777777" w:rsidR="004631AB" w:rsidRDefault="004631AB">
      <w:pPr>
        <w:jc w:val="both"/>
        <w:rPr>
          <w:rFonts w:eastAsia="Segoe UI"/>
          <w:spacing w:val="1"/>
          <w:sz w:val="20"/>
          <w:szCs w:val="20"/>
        </w:rPr>
      </w:pPr>
    </w:p>
    <w:p w14:paraId="3CB60A0F" w14:textId="77777777" w:rsidR="004631AB" w:rsidRDefault="00000000">
      <w:pPr>
        <w:jc w:val="both"/>
        <w:rPr>
          <w:rFonts w:eastAsia="Segoe UI"/>
          <w:spacing w:val="1"/>
          <w:sz w:val="20"/>
          <w:szCs w:val="20"/>
          <w:lang w:val="en-US"/>
        </w:rPr>
      </w:pPr>
      <w:r>
        <w:rPr>
          <w:rFonts w:eastAsia="Segoe UI"/>
          <w:spacing w:val="1"/>
          <w:sz w:val="20"/>
          <w:szCs w:val="20"/>
        </w:rPr>
        <w:t xml:space="preserve"> </w:t>
      </w:r>
      <w:r>
        <w:rPr>
          <w:rFonts w:eastAsia="Segoe UI"/>
          <w:spacing w:val="1"/>
          <w:sz w:val="20"/>
          <w:szCs w:val="20"/>
          <w:lang w:val="en-US"/>
        </w:rPr>
        <w:t xml:space="preserve">                                                                             </w:t>
      </w:r>
    </w:p>
    <w:p w14:paraId="2EACC40E" w14:textId="77777777" w:rsidR="004631AB" w:rsidRDefault="00000000">
      <w:pPr>
        <w:jc w:val="both"/>
        <w:rPr>
          <w:rFonts w:eastAsia="Segoe UI"/>
          <w:spacing w:val="1"/>
          <w:sz w:val="20"/>
          <w:szCs w:val="20"/>
          <w:lang w:val="en-US"/>
        </w:rPr>
      </w:pPr>
      <w:r>
        <w:rPr>
          <w:rFonts w:eastAsia="Segoe UI"/>
          <w:spacing w:val="1"/>
          <w:sz w:val="20"/>
          <w:szCs w:val="20"/>
          <w:lang w:val="en-US"/>
        </w:rPr>
        <w:t xml:space="preserve">                     </w:t>
      </w:r>
      <w:r>
        <w:rPr>
          <w:rFonts w:eastAsia="Segoe UI"/>
          <w:spacing w:val="1"/>
          <w:sz w:val="20"/>
          <w:szCs w:val="20"/>
        </w:rPr>
        <w:t xml:space="preserve">(E) </w:t>
      </w:r>
      <w:r>
        <w:rPr>
          <w:rFonts w:eastAsia="Segoe UI"/>
          <w:spacing w:val="1"/>
          <w:sz w:val="20"/>
          <w:szCs w:val="20"/>
          <w:lang w:val="en-US"/>
        </w:rPr>
        <w:t xml:space="preserve">                                  </w:t>
      </w:r>
      <w:r>
        <w:rPr>
          <w:rFonts w:eastAsia="Segoe UI"/>
          <w:spacing w:val="1"/>
          <w:sz w:val="20"/>
          <w:szCs w:val="20"/>
        </w:rPr>
        <w:t>(F)</w:t>
      </w:r>
    </w:p>
    <w:p w14:paraId="34EA286D" w14:textId="77777777" w:rsidR="004631AB" w:rsidRDefault="004631AB">
      <w:pPr>
        <w:jc w:val="both"/>
        <w:rPr>
          <w:rFonts w:eastAsia="Segoe UI"/>
          <w:b/>
          <w:bCs/>
          <w:color w:val="5B9BD5" w:themeColor="accent5"/>
          <w:spacing w:val="1"/>
          <w:sz w:val="20"/>
          <w:szCs w:val="20"/>
          <w:lang w:val="en-US"/>
        </w:rPr>
      </w:pPr>
    </w:p>
    <w:p w14:paraId="09BD5BC6" w14:textId="11FE3570" w:rsidR="004631AB" w:rsidRDefault="00000000">
      <w:pPr>
        <w:jc w:val="both"/>
        <w:rPr>
          <w:rFonts w:eastAsia="Segoe UI"/>
          <w:spacing w:val="1"/>
          <w:sz w:val="20"/>
          <w:szCs w:val="20"/>
        </w:rPr>
      </w:pPr>
      <w:r>
        <w:rPr>
          <w:rFonts w:eastAsia="Segoe UI"/>
          <w:b/>
          <w:bCs/>
          <w:color w:val="0070C0"/>
          <w:spacing w:val="1"/>
          <w:sz w:val="20"/>
          <w:szCs w:val="20"/>
        </w:rPr>
        <w:t xml:space="preserve">Figure </w:t>
      </w:r>
      <w:r>
        <w:rPr>
          <w:rFonts w:eastAsia="Segoe UI"/>
          <w:b/>
          <w:bCs/>
          <w:color w:val="0070C0"/>
          <w:spacing w:val="1"/>
          <w:sz w:val="20"/>
          <w:szCs w:val="20"/>
          <w:lang w:val="en-US"/>
        </w:rPr>
        <w:t>1</w:t>
      </w:r>
      <w:r>
        <w:rPr>
          <w:rFonts w:eastAsia="Segoe UI"/>
          <w:color w:val="0070C0"/>
          <w:spacing w:val="1"/>
          <w:sz w:val="20"/>
          <w:szCs w:val="20"/>
        </w:rPr>
        <w:t>.</w:t>
      </w:r>
      <w:r>
        <w:rPr>
          <w:rFonts w:eastAsia="Segoe UI"/>
          <w:spacing w:val="1"/>
          <w:sz w:val="20"/>
          <w:szCs w:val="20"/>
        </w:rPr>
        <w:t xml:space="preserve"> </w:t>
      </w:r>
      <w:r w:rsidRPr="00883871">
        <w:rPr>
          <w:rFonts w:eastAsia="Segoe UI"/>
          <w:spacing w:val="1"/>
          <w:sz w:val="20"/>
          <w:szCs w:val="20"/>
          <w:highlight w:val="yellow"/>
        </w:rPr>
        <w:t xml:space="preserve">(A) Protein showing secondary structure elements and residue connectivity. (B) Cartoon </w:t>
      </w:r>
      <w:r w:rsidRPr="00883871">
        <w:rPr>
          <w:rFonts w:eastAsia="Segoe UI"/>
          <w:spacing w:val="1"/>
          <w:sz w:val="20"/>
          <w:szCs w:val="20"/>
          <w:highlight w:val="yellow"/>
        </w:rPr>
        <w:lastRenderedPageBreak/>
        <w:t xml:space="preserve">representation </w:t>
      </w:r>
      <w:r w:rsidR="00A13AB2" w:rsidRPr="00883871">
        <w:rPr>
          <w:rFonts w:eastAsia="Segoe UI"/>
          <w:spacing w:val="1"/>
          <w:sz w:val="20"/>
          <w:szCs w:val="20"/>
          <w:highlight w:val="yellow"/>
        </w:rPr>
        <w:t xml:space="preserve">of the protein and </w:t>
      </w:r>
      <w:r w:rsidRPr="00883871">
        <w:rPr>
          <w:rFonts w:eastAsia="Segoe UI"/>
          <w:spacing w:val="1"/>
          <w:sz w:val="20"/>
          <w:szCs w:val="20"/>
          <w:highlight w:val="yellow"/>
        </w:rPr>
        <w:t xml:space="preserve">colored by secondary structure type. (C) Overall model quality plot </w:t>
      </w:r>
      <w:r w:rsidR="00A13AB2" w:rsidRPr="00883871">
        <w:rPr>
          <w:rFonts w:eastAsia="Segoe UI"/>
          <w:spacing w:val="1"/>
          <w:sz w:val="20"/>
          <w:szCs w:val="20"/>
          <w:highlight w:val="yellow"/>
        </w:rPr>
        <w:t xml:space="preserve">in PROSA </w:t>
      </w:r>
      <w:r w:rsidRPr="00883871">
        <w:rPr>
          <w:rFonts w:eastAsia="Segoe UI"/>
          <w:spacing w:val="1"/>
          <w:sz w:val="20"/>
          <w:szCs w:val="20"/>
          <w:highlight w:val="yellow"/>
        </w:rPr>
        <w:t>indicating global</w:t>
      </w:r>
      <w:r w:rsidR="00A13AB2" w:rsidRPr="00883871">
        <w:rPr>
          <w:rFonts w:eastAsia="Segoe UI"/>
          <w:spacing w:val="1"/>
          <w:sz w:val="20"/>
          <w:szCs w:val="20"/>
          <w:highlight w:val="yellow"/>
        </w:rPr>
        <w:t xml:space="preserve"> </w:t>
      </w:r>
      <w:r w:rsidRPr="00883871">
        <w:rPr>
          <w:rFonts w:eastAsia="Segoe UI"/>
          <w:spacing w:val="1"/>
          <w:sz w:val="20"/>
          <w:szCs w:val="20"/>
          <w:highlight w:val="yellow"/>
        </w:rPr>
        <w:t>Z-scores</w:t>
      </w:r>
      <w:r w:rsidR="00A13AB2" w:rsidRPr="00883871">
        <w:rPr>
          <w:rFonts w:eastAsia="Segoe UI"/>
          <w:spacing w:val="1"/>
          <w:sz w:val="20"/>
          <w:szCs w:val="20"/>
          <w:highlight w:val="yellow"/>
        </w:rPr>
        <w:t xml:space="preserve"> </w:t>
      </w:r>
      <w:r w:rsidRPr="00883871">
        <w:rPr>
          <w:rFonts w:eastAsia="Segoe UI"/>
          <w:spacing w:val="1"/>
          <w:sz w:val="20"/>
          <w:szCs w:val="20"/>
          <w:highlight w:val="yellow"/>
        </w:rPr>
        <w:t>(D) Local quality assessment plot showing per-residue score fluctuations</w:t>
      </w:r>
      <w:r w:rsidR="00A13AB2" w:rsidRPr="00883871">
        <w:rPr>
          <w:rFonts w:eastAsia="Segoe UI"/>
          <w:spacing w:val="1"/>
          <w:sz w:val="20"/>
          <w:szCs w:val="20"/>
          <w:highlight w:val="yellow"/>
        </w:rPr>
        <w:t xml:space="preserve"> </w:t>
      </w:r>
      <w:r w:rsidRPr="00883871">
        <w:rPr>
          <w:rFonts w:eastAsia="Segoe UI"/>
          <w:spacing w:val="1"/>
          <w:sz w:val="20"/>
          <w:szCs w:val="20"/>
          <w:highlight w:val="yellow"/>
        </w:rPr>
        <w:t xml:space="preserve">(E) Ramachandran plot presenting backbone dihedral angle distributions, with most residues occupying favored regions. (F) Summary of model statistics </w:t>
      </w:r>
      <w:r w:rsidR="00883871" w:rsidRPr="00883871">
        <w:rPr>
          <w:rFonts w:eastAsia="Segoe UI"/>
          <w:spacing w:val="1"/>
          <w:sz w:val="20"/>
          <w:szCs w:val="20"/>
          <w:highlight w:val="yellow"/>
        </w:rPr>
        <w:t>obtained from Ramachandran Plot.</w:t>
      </w:r>
    </w:p>
    <w:p w14:paraId="3A6F6E7B" w14:textId="77777777" w:rsidR="00A13AB2" w:rsidRDefault="00A13AB2">
      <w:pPr>
        <w:jc w:val="both"/>
        <w:rPr>
          <w:rFonts w:eastAsia="Calibri"/>
          <w:b/>
          <w:color w:val="0070C0"/>
          <w:sz w:val="20"/>
          <w:szCs w:val="20"/>
          <w:lang w:val="en-US"/>
        </w:rPr>
      </w:pPr>
    </w:p>
    <w:p w14:paraId="40766A49" w14:textId="77777777" w:rsidR="004631AB" w:rsidRDefault="00000000">
      <w:pPr>
        <w:jc w:val="both"/>
        <w:rPr>
          <w:rFonts w:eastAsia="Calibri"/>
          <w:b/>
          <w:color w:val="0070C0"/>
          <w:sz w:val="20"/>
          <w:szCs w:val="20"/>
          <w:lang w:val="en-US"/>
        </w:rPr>
      </w:pPr>
      <w:r>
        <w:rPr>
          <w:rFonts w:eastAsia="Calibri"/>
          <w:b/>
          <w:color w:val="0070C0"/>
          <w:sz w:val="20"/>
          <w:szCs w:val="20"/>
          <w:lang w:val="en-US"/>
        </w:rPr>
        <w:t>3.2.</w:t>
      </w:r>
      <w:r>
        <w:t xml:space="preserve"> </w:t>
      </w:r>
      <w:r>
        <w:rPr>
          <w:rFonts w:eastAsia="Calibri"/>
          <w:b/>
          <w:color w:val="0070C0"/>
          <w:sz w:val="20"/>
          <w:szCs w:val="20"/>
          <w:lang w:val="en-US"/>
        </w:rPr>
        <w:t>Virtual screening and docking outcomes</w:t>
      </w:r>
    </w:p>
    <w:p w14:paraId="19D84492" w14:textId="77777777" w:rsidR="004631AB" w:rsidRDefault="004631AB">
      <w:pPr>
        <w:jc w:val="both"/>
        <w:rPr>
          <w:rFonts w:eastAsia="Calibri"/>
          <w:b/>
          <w:color w:val="0070C0"/>
          <w:sz w:val="20"/>
          <w:szCs w:val="20"/>
          <w:lang w:val="en-US"/>
        </w:rPr>
      </w:pPr>
    </w:p>
    <w:p w14:paraId="7268619E" w14:textId="75A88522" w:rsidR="00EC7DB5" w:rsidRPr="00EC7DB5" w:rsidRDefault="00EC7DB5" w:rsidP="00EC7DB5">
      <w:pPr>
        <w:jc w:val="both"/>
        <w:rPr>
          <w:rFonts w:eastAsia="Calibri"/>
          <w:bCs/>
          <w:sz w:val="20"/>
          <w:szCs w:val="20"/>
          <w:lang w:val="en-IN"/>
        </w:rPr>
      </w:pPr>
      <w:r w:rsidRPr="00EC7DB5">
        <w:rPr>
          <w:rFonts w:eastAsia="Calibri"/>
          <w:sz w:val="20"/>
          <w:szCs w:val="20"/>
          <w:highlight w:val="yellow"/>
          <w:lang w:val="en-IN"/>
        </w:rPr>
        <w:t>Structure</w:t>
      </w:r>
      <w:r w:rsidRPr="007202E6">
        <w:rPr>
          <w:rFonts w:eastAsia="Calibri"/>
          <w:sz w:val="20"/>
          <w:szCs w:val="20"/>
          <w:highlight w:val="yellow"/>
          <w:lang w:val="en-IN"/>
        </w:rPr>
        <w:t xml:space="preserve"> </w:t>
      </w:r>
      <w:r w:rsidRPr="00EC7DB5">
        <w:rPr>
          <w:rFonts w:eastAsia="Calibri"/>
          <w:sz w:val="20"/>
          <w:szCs w:val="20"/>
          <w:highlight w:val="yellow"/>
          <w:lang w:val="en-IN"/>
        </w:rPr>
        <w:t xml:space="preserve">based virtual screening is a widely accepted </w:t>
      </w:r>
      <w:proofErr w:type="gramStart"/>
      <w:r w:rsidRPr="00EC7DB5">
        <w:rPr>
          <w:rFonts w:eastAsia="Calibri"/>
          <w:sz w:val="20"/>
          <w:szCs w:val="20"/>
          <w:highlight w:val="yellow"/>
          <w:lang w:val="en-IN"/>
        </w:rPr>
        <w:t>early</w:t>
      </w:r>
      <w:r w:rsidRPr="007202E6">
        <w:rPr>
          <w:rFonts w:eastAsia="Calibri"/>
          <w:sz w:val="20"/>
          <w:szCs w:val="20"/>
          <w:highlight w:val="yellow"/>
          <w:lang w:val="en-IN"/>
        </w:rPr>
        <w:t xml:space="preserve"> </w:t>
      </w:r>
      <w:r w:rsidRPr="00EC7DB5">
        <w:rPr>
          <w:rFonts w:eastAsia="Calibri"/>
          <w:sz w:val="20"/>
          <w:szCs w:val="20"/>
          <w:highlight w:val="yellow"/>
          <w:lang w:val="en-IN"/>
        </w:rPr>
        <w:t>stage</w:t>
      </w:r>
      <w:proofErr w:type="gramEnd"/>
      <w:r w:rsidRPr="00EC7DB5">
        <w:rPr>
          <w:rFonts w:eastAsia="Calibri"/>
          <w:sz w:val="20"/>
          <w:szCs w:val="20"/>
          <w:highlight w:val="yellow"/>
          <w:lang w:val="en-IN"/>
        </w:rPr>
        <w:t xml:space="preserve"> drug discovery strategy for identifying lead candidates against challenging targets</w:t>
      </w:r>
      <w:r w:rsidR="007202E6">
        <w:rPr>
          <w:rFonts w:eastAsia="Calibri"/>
          <w:bCs/>
          <w:sz w:val="20"/>
          <w:szCs w:val="20"/>
          <w:highlight w:val="yellow"/>
          <w:lang w:val="en-IN"/>
        </w:rPr>
        <w:t xml:space="preserve"> </w:t>
      </w:r>
      <w:r w:rsidR="007202E6" w:rsidRPr="007202E6">
        <w:rPr>
          <w:rFonts w:eastAsia="Calibri"/>
          <w:color w:val="0070C0"/>
          <w:sz w:val="20"/>
          <w:szCs w:val="20"/>
          <w:highlight w:val="yellow"/>
        </w:rPr>
        <w:t xml:space="preserve">(Kitchen et al., 2004; Lionta et al., 2014). </w:t>
      </w:r>
      <w:proofErr w:type="gramStart"/>
      <w:r w:rsidRPr="007202E6">
        <w:rPr>
          <w:rFonts w:eastAsia="Calibri"/>
          <w:bCs/>
          <w:sz w:val="20"/>
          <w:szCs w:val="20"/>
          <w:highlight w:val="yellow"/>
          <w:lang w:val="en-US"/>
        </w:rPr>
        <w:t xml:space="preserve">We </w:t>
      </w:r>
      <w:r w:rsidR="00000000" w:rsidRPr="007202E6">
        <w:rPr>
          <w:rFonts w:eastAsia="Calibri"/>
          <w:bCs/>
          <w:sz w:val="20"/>
          <w:szCs w:val="20"/>
          <w:highlight w:val="yellow"/>
          <w:lang w:val="en-US"/>
        </w:rPr>
        <w:t xml:space="preserve"> conducted</w:t>
      </w:r>
      <w:proofErr w:type="gramEnd"/>
      <w:r w:rsidR="00000000" w:rsidRPr="007202E6">
        <w:rPr>
          <w:rFonts w:eastAsia="Calibri"/>
          <w:bCs/>
          <w:sz w:val="20"/>
          <w:szCs w:val="20"/>
          <w:highlight w:val="yellow"/>
          <w:lang w:val="en-US"/>
        </w:rPr>
        <w:t xml:space="preserve"> </w:t>
      </w:r>
      <w:r w:rsidRPr="007202E6">
        <w:rPr>
          <w:rFonts w:eastAsia="Calibri"/>
          <w:bCs/>
          <w:sz w:val="20"/>
          <w:szCs w:val="20"/>
          <w:highlight w:val="yellow"/>
          <w:lang w:val="en-US"/>
        </w:rPr>
        <w:t xml:space="preserve">a campaign of </w:t>
      </w:r>
      <w:r w:rsidR="00000000" w:rsidRPr="007202E6">
        <w:rPr>
          <w:rFonts w:eastAsia="Calibri"/>
          <w:bCs/>
          <w:sz w:val="20"/>
          <w:szCs w:val="20"/>
          <w:highlight w:val="yellow"/>
          <w:lang w:val="en-US"/>
        </w:rPr>
        <w:t>5,322 natural compounds from the ZINC database, filtered through FAFDrugs4 to exclude compounds violating Lipinski’s rules</w:t>
      </w:r>
      <w:r w:rsidR="00C35105" w:rsidRPr="007202E6">
        <w:rPr>
          <w:rFonts w:eastAsia="Calibri"/>
          <w:bCs/>
          <w:sz w:val="20"/>
          <w:szCs w:val="20"/>
          <w:highlight w:val="yellow"/>
          <w:lang w:val="en-US"/>
        </w:rPr>
        <w:t xml:space="preserve"> </w:t>
      </w:r>
      <w:r w:rsidR="00C35105" w:rsidRPr="007202E6">
        <w:rPr>
          <w:rFonts w:eastAsia="Calibri"/>
          <w:bCs/>
          <w:color w:val="0070C0"/>
          <w:sz w:val="20"/>
          <w:szCs w:val="20"/>
          <w:highlight w:val="yellow"/>
        </w:rPr>
        <w:t>(Lagorce et al., 2017)</w:t>
      </w:r>
      <w:r w:rsidR="00000000" w:rsidRPr="007202E6">
        <w:rPr>
          <w:rFonts w:eastAsia="Calibri"/>
          <w:bCs/>
          <w:color w:val="0070C0"/>
          <w:sz w:val="20"/>
          <w:szCs w:val="20"/>
          <w:highlight w:val="yellow"/>
          <w:lang w:val="en-US"/>
        </w:rPr>
        <w:t xml:space="preserve">. </w:t>
      </w:r>
      <w:r w:rsidR="00000000" w:rsidRPr="007202E6">
        <w:rPr>
          <w:rFonts w:eastAsia="Calibri"/>
          <w:bCs/>
          <w:sz w:val="20"/>
          <w:szCs w:val="20"/>
          <w:highlight w:val="yellow"/>
          <w:lang w:val="en-US"/>
        </w:rPr>
        <w:t xml:space="preserve">Docking was performed with </w:t>
      </w:r>
      <w:proofErr w:type="spellStart"/>
      <w:r w:rsidR="00000000" w:rsidRPr="007202E6">
        <w:rPr>
          <w:rFonts w:eastAsia="Calibri"/>
          <w:bCs/>
          <w:sz w:val="20"/>
          <w:szCs w:val="20"/>
          <w:highlight w:val="yellow"/>
          <w:lang w:val="en-US"/>
        </w:rPr>
        <w:t>AutoDock</w:t>
      </w:r>
      <w:proofErr w:type="spellEnd"/>
      <w:r w:rsidR="00000000" w:rsidRPr="007202E6">
        <w:rPr>
          <w:rFonts w:eastAsia="Calibri"/>
          <w:bCs/>
          <w:sz w:val="20"/>
          <w:szCs w:val="20"/>
          <w:highlight w:val="yellow"/>
          <w:lang w:val="en-US"/>
        </w:rPr>
        <w:t xml:space="preserve"> 4.2 implemented in </w:t>
      </w:r>
      <w:proofErr w:type="spellStart"/>
      <w:r w:rsidR="00000000" w:rsidRPr="007202E6">
        <w:rPr>
          <w:rFonts w:eastAsia="Calibri"/>
          <w:bCs/>
          <w:sz w:val="20"/>
          <w:szCs w:val="20"/>
          <w:highlight w:val="yellow"/>
          <w:lang w:val="en-US"/>
        </w:rPr>
        <w:t>PyRx</w:t>
      </w:r>
      <w:proofErr w:type="spellEnd"/>
      <w:r w:rsidR="00000000" w:rsidRPr="007202E6">
        <w:rPr>
          <w:rFonts w:eastAsia="Calibri"/>
          <w:bCs/>
          <w:sz w:val="20"/>
          <w:szCs w:val="20"/>
          <w:highlight w:val="yellow"/>
          <w:lang w:val="en-US"/>
        </w:rPr>
        <w:t xml:space="preserve">, focusing on the NRAS active site defined by </w:t>
      </w:r>
      <w:proofErr w:type="spellStart"/>
      <w:r w:rsidR="00000000" w:rsidRPr="007202E6">
        <w:rPr>
          <w:rFonts w:eastAsia="Calibri"/>
          <w:bCs/>
          <w:sz w:val="20"/>
          <w:szCs w:val="20"/>
          <w:highlight w:val="yellow"/>
          <w:lang w:val="en-US"/>
        </w:rPr>
        <w:t>AutoGrid</w:t>
      </w:r>
      <w:proofErr w:type="spellEnd"/>
      <w:r w:rsidR="00000000" w:rsidRPr="007202E6">
        <w:rPr>
          <w:rFonts w:eastAsia="Calibri"/>
          <w:bCs/>
          <w:sz w:val="20"/>
          <w:szCs w:val="20"/>
          <w:highlight w:val="yellow"/>
          <w:lang w:val="en-US"/>
        </w:rPr>
        <w:t>. Following screening, eleven top-ranked compounds were selected based on their binding free energy</w:t>
      </w:r>
      <w:r w:rsidRPr="007202E6">
        <w:rPr>
          <w:rFonts w:eastAsia="Calibri"/>
          <w:bCs/>
          <w:sz w:val="20"/>
          <w:szCs w:val="20"/>
          <w:highlight w:val="yellow"/>
          <w:lang w:val="en-US"/>
        </w:rPr>
        <w:t xml:space="preserve">, </w:t>
      </w:r>
      <w:r w:rsidR="00A675F7" w:rsidRPr="007202E6">
        <w:rPr>
          <w:rFonts w:eastAsia="Calibri"/>
          <w:bCs/>
          <w:sz w:val="20"/>
          <w:szCs w:val="20"/>
          <w:highlight w:val="yellow"/>
          <w:lang w:val="en-US"/>
        </w:rPr>
        <w:t xml:space="preserve">with docking scores ranging from –10.62 to –10.04 kcal/mol (Table 1). </w:t>
      </w:r>
      <w:r w:rsidRPr="007202E6">
        <w:rPr>
          <w:rFonts w:eastAsia="Calibri"/>
          <w:sz w:val="20"/>
          <w:szCs w:val="20"/>
          <w:highlight w:val="yellow"/>
          <w:lang w:val="en-IN"/>
        </w:rPr>
        <w:t xml:space="preserve">These values compare </w:t>
      </w:r>
      <w:proofErr w:type="spellStart"/>
      <w:r w:rsidRPr="007202E6">
        <w:rPr>
          <w:rFonts w:eastAsia="Calibri"/>
          <w:sz w:val="20"/>
          <w:szCs w:val="20"/>
          <w:highlight w:val="yellow"/>
          <w:lang w:val="en-IN"/>
        </w:rPr>
        <w:t>favorably</w:t>
      </w:r>
      <w:proofErr w:type="spellEnd"/>
      <w:r w:rsidRPr="007202E6">
        <w:rPr>
          <w:rFonts w:eastAsia="Calibri"/>
          <w:sz w:val="20"/>
          <w:szCs w:val="20"/>
          <w:highlight w:val="yellow"/>
          <w:lang w:val="en-IN"/>
        </w:rPr>
        <w:t xml:space="preserve"> with reported docking energies for small-molecule interactions targeting RAS proteins </w:t>
      </w:r>
      <w:r w:rsidR="007202E6" w:rsidRPr="007202E6">
        <w:rPr>
          <w:rFonts w:eastAsia="Calibri"/>
          <w:color w:val="0070C0"/>
          <w:sz w:val="20"/>
          <w:szCs w:val="20"/>
          <w:highlight w:val="yellow"/>
          <w:lang w:val="en-IN"/>
        </w:rPr>
        <w:t>(</w:t>
      </w:r>
      <w:r w:rsidRPr="007202E6">
        <w:rPr>
          <w:rFonts w:eastAsia="Calibri"/>
          <w:color w:val="0070C0"/>
          <w:sz w:val="20"/>
          <w:szCs w:val="20"/>
          <w:highlight w:val="yellow"/>
          <w:lang w:val="en-IN"/>
        </w:rPr>
        <w:t>Cox et al., 2014</w:t>
      </w:r>
      <w:r w:rsidR="007202E6" w:rsidRPr="007202E6">
        <w:rPr>
          <w:rFonts w:eastAsia="Calibri"/>
          <w:color w:val="0070C0"/>
          <w:sz w:val="20"/>
          <w:szCs w:val="20"/>
          <w:highlight w:val="yellow"/>
          <w:lang w:val="en-IN"/>
        </w:rPr>
        <w:t>)</w:t>
      </w:r>
      <w:r w:rsidR="007202E6">
        <w:rPr>
          <w:rFonts w:eastAsia="Calibri"/>
          <w:color w:val="0070C0"/>
          <w:sz w:val="20"/>
          <w:szCs w:val="20"/>
          <w:highlight w:val="yellow"/>
          <w:lang w:val="en-IN"/>
        </w:rPr>
        <w:t>,</w:t>
      </w:r>
      <w:r w:rsidRPr="007202E6">
        <w:rPr>
          <w:rFonts w:eastAsia="Calibri"/>
          <w:b/>
          <w:bCs/>
          <w:color w:val="0070C0"/>
          <w:sz w:val="20"/>
          <w:szCs w:val="20"/>
          <w:highlight w:val="yellow"/>
          <w:lang w:val="en-IN"/>
        </w:rPr>
        <w:t xml:space="preserve"> </w:t>
      </w:r>
      <w:r w:rsidR="00A675F7" w:rsidRPr="007202E6">
        <w:rPr>
          <w:rFonts w:eastAsia="Calibri"/>
          <w:bCs/>
          <w:sz w:val="20"/>
          <w:szCs w:val="20"/>
          <w:highlight w:val="yellow"/>
          <w:lang w:val="en-US"/>
        </w:rPr>
        <w:t xml:space="preserve">suggesting stable and energetically favorable complex formation. The narrow energy distribution among the top hits indicates convergence toward a structurally consistent binding mode within the NRAS active site. </w:t>
      </w:r>
      <w:r w:rsidR="007202E6" w:rsidRPr="007202E6">
        <w:rPr>
          <w:rFonts w:eastAsia="Calibri"/>
          <w:sz w:val="20"/>
          <w:szCs w:val="20"/>
          <w:highlight w:val="yellow"/>
        </w:rPr>
        <w:t>Importantly, the identification of multiple natural compounds with strong predicted affinity inclines to the therapeutic potential of natural products chemical space for targeting oncogenic NRAS variants</w:t>
      </w:r>
      <w:r w:rsidR="006813A3">
        <w:rPr>
          <w:rFonts w:eastAsia="Calibri"/>
          <w:sz w:val="20"/>
          <w:szCs w:val="20"/>
        </w:rPr>
        <w:t xml:space="preserve">. </w:t>
      </w:r>
    </w:p>
    <w:p w14:paraId="7D25D10B" w14:textId="77777777" w:rsidR="0026161A" w:rsidRDefault="0026161A">
      <w:pPr>
        <w:jc w:val="both"/>
        <w:rPr>
          <w:rFonts w:eastAsia="Calibri"/>
          <w:b/>
          <w:color w:val="0070C0"/>
          <w:sz w:val="20"/>
          <w:szCs w:val="20"/>
          <w:lang w:val="en-US"/>
        </w:rPr>
      </w:pPr>
    </w:p>
    <w:p w14:paraId="3BE2044F" w14:textId="05C8A31A" w:rsidR="004631AB" w:rsidRDefault="00000000">
      <w:pPr>
        <w:jc w:val="both"/>
        <w:rPr>
          <w:rFonts w:eastAsia="Calibri"/>
          <w:b/>
          <w:color w:val="0070C0"/>
          <w:sz w:val="20"/>
          <w:szCs w:val="20"/>
          <w:lang w:val="en-US"/>
        </w:rPr>
      </w:pPr>
      <w:r>
        <w:rPr>
          <w:rFonts w:eastAsia="Calibri"/>
          <w:b/>
          <w:color w:val="0070C0"/>
          <w:sz w:val="20"/>
          <w:szCs w:val="20"/>
          <w:lang w:val="en-US"/>
        </w:rPr>
        <w:t>3.3. Conserved residue interactions</w:t>
      </w:r>
    </w:p>
    <w:p w14:paraId="6575E85C" w14:textId="77777777" w:rsidR="0026161A" w:rsidRDefault="0026161A">
      <w:pPr>
        <w:jc w:val="both"/>
        <w:rPr>
          <w:rFonts w:eastAsia="Calibri"/>
          <w:b/>
          <w:color w:val="0070C0"/>
          <w:sz w:val="20"/>
          <w:szCs w:val="20"/>
          <w:lang w:val="en-US"/>
        </w:rPr>
      </w:pPr>
    </w:p>
    <w:p w14:paraId="23E09507" w14:textId="1AE46E4A" w:rsidR="004631AB" w:rsidRDefault="0026161A">
      <w:pPr>
        <w:rPr>
          <w:rFonts w:eastAsia="Calibri"/>
          <w:b/>
          <w:color w:val="0070C0"/>
          <w:sz w:val="20"/>
          <w:szCs w:val="20"/>
          <w:lang w:val="en-US"/>
        </w:rPr>
      </w:pPr>
      <w:r>
        <w:rPr>
          <w:rFonts w:eastAsia="Segoe UI"/>
          <w:spacing w:val="1"/>
          <w:sz w:val="20"/>
          <w:szCs w:val="20"/>
        </w:rPr>
        <w:t xml:space="preserve">Each panel in Figure 2 presents a detailed schematic of the non-covalent binding environment for a specific </w:t>
      </w:r>
      <w:r>
        <w:rPr>
          <w:rFonts w:eastAsia="Segoe UI"/>
          <w:spacing w:val="1"/>
          <w:sz w:val="20"/>
          <w:szCs w:val="20"/>
        </w:rPr>
        <w:t>ligand within its target protein structure, with both the ligand and surrounding residues depicted in ball-and-stick format for clarity at atomic resolution shown in. Hydrogen bonding interactions are marked by dashed green lines linking donor and acceptor atoms, while hydrophobic contacts are highlighted by spoked red arcs oriented toward the ligand, illustrating side-chain proximity and surface complementarity. This standardized visualization enables straightforward comparison of key contacts including hydrogen bonds and</w:t>
      </w:r>
      <w:r>
        <w:rPr>
          <w:rFonts w:eastAsia="Segoe UI"/>
          <w:spacing w:val="1"/>
          <w:sz w:val="20"/>
          <w:szCs w:val="20"/>
          <w:lang w:val="en-US"/>
        </w:rPr>
        <w:t xml:space="preserve"> </w:t>
      </w:r>
      <w:r>
        <w:rPr>
          <w:rFonts w:eastAsia="Segoe UI"/>
          <w:spacing w:val="1"/>
          <w:sz w:val="20"/>
          <w:szCs w:val="20"/>
        </w:rPr>
        <w:t xml:space="preserve">hydrophobic interactions among different ligand binding poses and mutant protein variants, providing insight into structural determinants of binding affinity. </w:t>
      </w:r>
      <w:r w:rsidRPr="0026161A">
        <w:rPr>
          <w:rFonts w:eastAsia="Segoe UI"/>
          <w:spacing w:val="1"/>
          <w:sz w:val="20"/>
          <w:szCs w:val="20"/>
          <w:highlight w:val="yellow"/>
        </w:rPr>
        <w:t xml:space="preserve">Interaction </w:t>
      </w:r>
      <w:r w:rsidRPr="0026161A">
        <w:rPr>
          <w:rFonts w:eastAsia="Calibri"/>
          <w:bCs/>
          <w:sz w:val="20"/>
          <w:szCs w:val="20"/>
          <w:highlight w:val="yellow"/>
        </w:rPr>
        <w:t>a</w:t>
      </w:r>
      <w:r w:rsidR="00A25553" w:rsidRPr="0026161A">
        <w:rPr>
          <w:rFonts w:eastAsia="Calibri"/>
          <w:bCs/>
          <w:sz w:val="20"/>
          <w:szCs w:val="20"/>
          <w:highlight w:val="yellow"/>
        </w:rPr>
        <w:t xml:space="preserve">nalysis </w:t>
      </w:r>
      <w:r w:rsidR="00A25553" w:rsidRPr="00A25553">
        <w:rPr>
          <w:rFonts w:eastAsia="Calibri"/>
          <w:bCs/>
          <w:sz w:val="20"/>
          <w:szCs w:val="20"/>
          <w:highlight w:val="yellow"/>
        </w:rPr>
        <w:t>of the docked complexes revealed frequently conserved functional residues that are significant to NRAS catalytic activity and conformational stability. Specific residues like Tyr-32, located within the Switch I region contributes hydrophobic stabilization in five complexes (compounds 1, 3, 7, 8, and 9). Switch I undergoes nucleotide-dependent conformational rearrangement and plays a critical role in effector identification and Mg²⁺ coordination while when we look at Thr-35, another Switch I residue, forms a stable hydrogen bond with compound 2 and engages itself in hydrophobic contacts in complexes 9 and 11. Phe-28, positioned adjacent to the P-loop and contributing to the structural integrity of the nucleotide-binding pocket, participated in hydrophobic interactions in seven complexes. This high frequency emphasizes its structural role in maintaining the architecture of the protein and suggests that ligand binding consistently overlaps with the nucleotide-binding site.  Similarly, Asp-119, a residue involved in nucleotide specificity and stabilization, shows consistent engagement in nine complexes, further indicating that the compounds target catalytically relevant regions.</w:t>
      </w:r>
    </w:p>
    <w:p w14:paraId="79C1EF40" w14:textId="77777777" w:rsidR="004631AB" w:rsidRDefault="004631AB">
      <w:pPr>
        <w:rPr>
          <w:rFonts w:eastAsia="Calibri"/>
          <w:b/>
          <w:color w:val="0D0D0D"/>
          <w:sz w:val="20"/>
          <w:szCs w:val="20"/>
          <w:lang w:val="en-US"/>
        </w:rPr>
      </w:pPr>
    </w:p>
    <w:p w14:paraId="662C8206" w14:textId="77777777" w:rsidR="004631AB" w:rsidRDefault="004631AB">
      <w:pPr>
        <w:rPr>
          <w:rFonts w:eastAsia="Calibri"/>
          <w:b/>
          <w:color w:val="0D0D0D"/>
          <w:sz w:val="20"/>
          <w:szCs w:val="20"/>
          <w:lang w:val="en-US"/>
        </w:rPr>
        <w:sectPr w:rsidR="004631AB">
          <w:type w:val="continuous"/>
          <w:pgSz w:w="11907" w:h="16839"/>
          <w:pgMar w:top="1701" w:right="1134" w:bottom="1418" w:left="1134" w:header="709" w:footer="709" w:gutter="0"/>
          <w:pgNumType w:start="207"/>
          <w:cols w:num="2" w:space="567"/>
          <w:docGrid w:linePitch="360"/>
        </w:sectPr>
      </w:pPr>
    </w:p>
    <w:p w14:paraId="13C849EC" w14:textId="77777777" w:rsidR="0026161A" w:rsidRDefault="0026161A">
      <w:pPr>
        <w:jc w:val="both"/>
        <w:rPr>
          <w:rFonts w:eastAsia="Calibri"/>
          <w:b/>
          <w:color w:val="0070C0"/>
          <w:sz w:val="20"/>
          <w:szCs w:val="20"/>
          <w:lang w:val="en-US"/>
        </w:rPr>
      </w:pPr>
    </w:p>
    <w:p w14:paraId="0FA5DEE4" w14:textId="71C0FD74" w:rsidR="004631AB" w:rsidRDefault="00000000">
      <w:pPr>
        <w:jc w:val="both"/>
        <w:rPr>
          <w:rFonts w:eastAsia="Calibri"/>
          <w:bCs/>
          <w:sz w:val="20"/>
          <w:szCs w:val="20"/>
          <w:lang w:val="en-US"/>
        </w:rPr>
      </w:pPr>
      <w:r>
        <w:rPr>
          <w:rFonts w:eastAsia="Calibri"/>
          <w:b/>
          <w:color w:val="0070C0"/>
          <w:sz w:val="20"/>
          <w:szCs w:val="20"/>
          <w:lang w:val="en-US"/>
        </w:rPr>
        <w:t>Table 1.</w:t>
      </w:r>
      <w:r>
        <w:rPr>
          <w:rFonts w:eastAsia="Calibri"/>
          <w:bCs/>
          <w:sz w:val="20"/>
          <w:szCs w:val="20"/>
          <w:lang w:val="en-US"/>
        </w:rPr>
        <w:t xml:space="preserve"> </w:t>
      </w:r>
      <w:r>
        <w:rPr>
          <w:rFonts w:eastAsia="Segoe UI"/>
          <w:bCs/>
          <w:spacing w:val="1"/>
          <w:sz w:val="20"/>
          <w:szCs w:val="20"/>
        </w:rPr>
        <w:t>"Docking results of top-ranking ZINC compounds (binding free energy ≤ –10 kcal/mol), highlighting predicted hydrogen bond donor–acceptor pairs and residues involved in hydrophobic or van der Waals interactions with the protein active site."</w:t>
      </w:r>
    </w:p>
    <w:p w14:paraId="69649ADB" w14:textId="77777777" w:rsidR="004631AB" w:rsidRDefault="004631AB">
      <w:pPr>
        <w:rPr>
          <w:rFonts w:eastAsia="Calibri"/>
          <w:bCs/>
          <w:sz w:val="20"/>
          <w:szCs w:val="20"/>
          <w:lang w:val="en-US"/>
        </w:rPr>
      </w:pPr>
    </w:p>
    <w:tbl>
      <w:tblPr>
        <w:tblStyle w:val="TableGrid"/>
        <w:tblW w:w="9634" w:type="dxa"/>
        <w:tblLook w:val="04A0" w:firstRow="1" w:lastRow="0" w:firstColumn="1" w:lastColumn="0" w:noHBand="0" w:noVBand="1"/>
      </w:tblPr>
      <w:tblGrid>
        <w:gridCol w:w="481"/>
        <w:gridCol w:w="1357"/>
        <w:gridCol w:w="1559"/>
        <w:gridCol w:w="2982"/>
        <w:gridCol w:w="3255"/>
      </w:tblGrid>
      <w:tr w:rsidR="004631AB" w14:paraId="6C2937DF" w14:textId="77777777">
        <w:tc>
          <w:tcPr>
            <w:tcW w:w="481" w:type="dxa"/>
          </w:tcPr>
          <w:p w14:paraId="5395AF14" w14:textId="77777777" w:rsidR="004631AB" w:rsidRDefault="00000000">
            <w:pPr>
              <w:jc w:val="center"/>
              <w:rPr>
                <w:sz w:val="18"/>
                <w:szCs w:val="18"/>
              </w:rPr>
            </w:pPr>
            <w:r>
              <w:rPr>
                <w:sz w:val="18"/>
                <w:szCs w:val="18"/>
              </w:rPr>
              <w:t>Sr. No.</w:t>
            </w:r>
          </w:p>
        </w:tc>
        <w:tc>
          <w:tcPr>
            <w:tcW w:w="1357" w:type="dxa"/>
          </w:tcPr>
          <w:p w14:paraId="306A8535" w14:textId="77777777" w:rsidR="004631AB" w:rsidRDefault="00000000">
            <w:pPr>
              <w:rPr>
                <w:sz w:val="18"/>
                <w:szCs w:val="18"/>
              </w:rPr>
            </w:pPr>
            <w:r>
              <w:rPr>
                <w:sz w:val="18"/>
                <w:szCs w:val="18"/>
              </w:rPr>
              <w:t>ZINC ID</w:t>
            </w:r>
          </w:p>
        </w:tc>
        <w:tc>
          <w:tcPr>
            <w:tcW w:w="1559" w:type="dxa"/>
          </w:tcPr>
          <w:p w14:paraId="01850E29" w14:textId="77777777" w:rsidR="004631AB" w:rsidRDefault="00000000">
            <w:pPr>
              <w:jc w:val="center"/>
              <w:rPr>
                <w:sz w:val="18"/>
                <w:szCs w:val="18"/>
              </w:rPr>
            </w:pPr>
            <w:r>
              <w:rPr>
                <w:sz w:val="18"/>
                <w:szCs w:val="18"/>
              </w:rPr>
              <w:t>Binding free</w:t>
            </w:r>
          </w:p>
          <w:p w14:paraId="687CEE71" w14:textId="77777777" w:rsidR="004631AB" w:rsidRDefault="00000000">
            <w:pPr>
              <w:jc w:val="center"/>
              <w:rPr>
                <w:sz w:val="18"/>
                <w:szCs w:val="18"/>
              </w:rPr>
            </w:pPr>
            <w:r>
              <w:rPr>
                <w:sz w:val="18"/>
                <w:szCs w:val="18"/>
              </w:rPr>
              <w:t>Energy (kcal/mol)</w:t>
            </w:r>
          </w:p>
        </w:tc>
        <w:tc>
          <w:tcPr>
            <w:tcW w:w="2982" w:type="dxa"/>
          </w:tcPr>
          <w:p w14:paraId="1BD4640F" w14:textId="77777777" w:rsidR="004631AB" w:rsidRDefault="00000000">
            <w:pPr>
              <w:rPr>
                <w:sz w:val="18"/>
                <w:szCs w:val="18"/>
              </w:rPr>
            </w:pPr>
            <w:r>
              <w:rPr>
                <w:sz w:val="18"/>
                <w:szCs w:val="18"/>
              </w:rPr>
              <w:t>Hydrogen bonding pairs HD::HA</w:t>
            </w:r>
          </w:p>
        </w:tc>
        <w:tc>
          <w:tcPr>
            <w:tcW w:w="3255" w:type="dxa"/>
          </w:tcPr>
          <w:p w14:paraId="3E0F4DD2" w14:textId="77777777" w:rsidR="004631AB" w:rsidRDefault="00000000">
            <w:pPr>
              <w:rPr>
                <w:sz w:val="18"/>
                <w:szCs w:val="18"/>
              </w:rPr>
            </w:pPr>
            <w:r>
              <w:rPr>
                <w:sz w:val="18"/>
                <w:szCs w:val="18"/>
              </w:rPr>
              <w:t>Residues in Hydrophobic Interactions or van der Waals contact</w:t>
            </w:r>
          </w:p>
        </w:tc>
      </w:tr>
      <w:tr w:rsidR="004631AB" w14:paraId="581209FF" w14:textId="77777777">
        <w:tc>
          <w:tcPr>
            <w:tcW w:w="481" w:type="dxa"/>
          </w:tcPr>
          <w:p w14:paraId="045143E7" w14:textId="77777777" w:rsidR="004631AB" w:rsidRDefault="00000000">
            <w:pPr>
              <w:jc w:val="center"/>
              <w:rPr>
                <w:sz w:val="18"/>
                <w:szCs w:val="18"/>
              </w:rPr>
            </w:pPr>
            <w:r>
              <w:rPr>
                <w:sz w:val="18"/>
                <w:szCs w:val="18"/>
              </w:rPr>
              <w:t>1</w:t>
            </w:r>
          </w:p>
        </w:tc>
        <w:tc>
          <w:tcPr>
            <w:tcW w:w="1357" w:type="dxa"/>
          </w:tcPr>
          <w:p w14:paraId="3CA698F6" w14:textId="77777777" w:rsidR="004631AB" w:rsidRDefault="00000000">
            <w:pPr>
              <w:rPr>
                <w:sz w:val="18"/>
                <w:szCs w:val="18"/>
              </w:rPr>
            </w:pPr>
            <w:r>
              <w:rPr>
                <w:sz w:val="18"/>
                <w:szCs w:val="18"/>
              </w:rPr>
              <w:t>ZINC02107288</w:t>
            </w:r>
          </w:p>
        </w:tc>
        <w:tc>
          <w:tcPr>
            <w:tcW w:w="1559" w:type="dxa"/>
          </w:tcPr>
          <w:p w14:paraId="5E46D701" w14:textId="77777777" w:rsidR="004631AB" w:rsidRDefault="00000000">
            <w:pPr>
              <w:jc w:val="center"/>
              <w:rPr>
                <w:sz w:val="18"/>
                <w:szCs w:val="18"/>
              </w:rPr>
            </w:pPr>
            <w:r>
              <w:rPr>
                <w:sz w:val="18"/>
                <w:szCs w:val="18"/>
              </w:rPr>
              <w:t>-10.62</w:t>
            </w:r>
          </w:p>
        </w:tc>
        <w:tc>
          <w:tcPr>
            <w:tcW w:w="2982" w:type="dxa"/>
          </w:tcPr>
          <w:p w14:paraId="5EB31FB2" w14:textId="77777777" w:rsidR="004631AB" w:rsidRDefault="00000000">
            <w:pPr>
              <w:rPr>
                <w:sz w:val="18"/>
                <w:szCs w:val="18"/>
              </w:rPr>
            </w:pPr>
            <w:r>
              <w:rPr>
                <w:sz w:val="18"/>
                <w:szCs w:val="18"/>
              </w:rPr>
              <w:t>Lys-16(N):: Unk0(C)OXT</w:t>
            </w:r>
          </w:p>
          <w:p w14:paraId="18D3E3CE" w14:textId="77777777" w:rsidR="004631AB" w:rsidRDefault="00000000">
            <w:pPr>
              <w:rPr>
                <w:sz w:val="18"/>
                <w:szCs w:val="18"/>
              </w:rPr>
            </w:pPr>
            <w:r>
              <w:rPr>
                <w:sz w:val="18"/>
                <w:szCs w:val="18"/>
              </w:rPr>
              <w:t>Lys-16(NZ):: Unk0(C)OXT</w:t>
            </w:r>
          </w:p>
          <w:p w14:paraId="13D71E25" w14:textId="77777777" w:rsidR="004631AB" w:rsidRDefault="00000000">
            <w:pPr>
              <w:rPr>
                <w:sz w:val="18"/>
                <w:szCs w:val="18"/>
                <w:lang w:val="pt-BR"/>
              </w:rPr>
            </w:pPr>
            <w:r>
              <w:rPr>
                <w:sz w:val="18"/>
                <w:szCs w:val="18"/>
                <w:lang w:val="pt-BR"/>
              </w:rPr>
              <w:t>Gly-15(N):: Unk0(C)OXT</w:t>
            </w:r>
          </w:p>
          <w:p w14:paraId="3EAC2FC8" w14:textId="77777777" w:rsidR="004631AB" w:rsidRDefault="00000000">
            <w:pPr>
              <w:rPr>
                <w:sz w:val="18"/>
                <w:szCs w:val="18"/>
                <w:lang w:val="pt-BR"/>
              </w:rPr>
            </w:pPr>
            <w:r>
              <w:rPr>
                <w:sz w:val="18"/>
                <w:szCs w:val="18"/>
                <w:lang w:val="pt-BR"/>
              </w:rPr>
              <w:t>Ser-17(N)::Unk0(C)O</w:t>
            </w:r>
          </w:p>
          <w:p w14:paraId="6EB1EA4A" w14:textId="77777777" w:rsidR="004631AB" w:rsidRDefault="00000000">
            <w:pPr>
              <w:rPr>
                <w:sz w:val="18"/>
                <w:szCs w:val="18"/>
              </w:rPr>
            </w:pPr>
            <w:r>
              <w:rPr>
                <w:sz w:val="18"/>
                <w:szCs w:val="18"/>
              </w:rPr>
              <w:t>Asp-33(N)::Unk0(C11)O</w:t>
            </w:r>
          </w:p>
          <w:p w14:paraId="3A760288" w14:textId="77777777" w:rsidR="004631AB" w:rsidRDefault="004631AB">
            <w:pPr>
              <w:rPr>
                <w:sz w:val="18"/>
                <w:szCs w:val="18"/>
              </w:rPr>
            </w:pPr>
          </w:p>
        </w:tc>
        <w:tc>
          <w:tcPr>
            <w:tcW w:w="3255" w:type="dxa"/>
          </w:tcPr>
          <w:p w14:paraId="5C4BF9BD" w14:textId="77777777" w:rsidR="004631AB" w:rsidRDefault="00000000">
            <w:pPr>
              <w:rPr>
                <w:sz w:val="18"/>
                <w:szCs w:val="18"/>
              </w:rPr>
            </w:pPr>
            <w:r>
              <w:rPr>
                <w:sz w:val="18"/>
                <w:szCs w:val="18"/>
              </w:rPr>
              <w:t>Val-14, Asp-13, Gly-60, Asp-12,</w:t>
            </w:r>
          </w:p>
          <w:p w14:paraId="69B8BBCC" w14:textId="77777777" w:rsidR="004631AB" w:rsidRDefault="00000000">
            <w:pPr>
              <w:rPr>
                <w:sz w:val="18"/>
                <w:szCs w:val="18"/>
              </w:rPr>
            </w:pPr>
            <w:r>
              <w:rPr>
                <w:sz w:val="18"/>
                <w:szCs w:val="18"/>
              </w:rPr>
              <w:t>Tyr-32, Glu-31, Ala-18, Asn-116, Lys-117, Asp-119, Lys-147,</w:t>
            </w:r>
          </w:p>
          <w:p w14:paraId="6F096FC7" w14:textId="77777777" w:rsidR="004631AB" w:rsidRDefault="00000000">
            <w:pPr>
              <w:rPr>
                <w:sz w:val="18"/>
                <w:szCs w:val="18"/>
              </w:rPr>
            </w:pPr>
            <w:r>
              <w:rPr>
                <w:sz w:val="18"/>
                <w:szCs w:val="18"/>
              </w:rPr>
              <w:t>Phe-28, Pro-34</w:t>
            </w:r>
          </w:p>
        </w:tc>
      </w:tr>
      <w:tr w:rsidR="004631AB" w14:paraId="7B356844" w14:textId="77777777">
        <w:tc>
          <w:tcPr>
            <w:tcW w:w="481" w:type="dxa"/>
          </w:tcPr>
          <w:p w14:paraId="47165A45" w14:textId="77777777" w:rsidR="004631AB" w:rsidRDefault="00000000">
            <w:pPr>
              <w:jc w:val="center"/>
              <w:rPr>
                <w:sz w:val="18"/>
                <w:szCs w:val="18"/>
              </w:rPr>
            </w:pPr>
            <w:r>
              <w:rPr>
                <w:sz w:val="18"/>
                <w:szCs w:val="18"/>
              </w:rPr>
              <w:t>2</w:t>
            </w:r>
          </w:p>
        </w:tc>
        <w:tc>
          <w:tcPr>
            <w:tcW w:w="1357" w:type="dxa"/>
          </w:tcPr>
          <w:p w14:paraId="3F91F2B7" w14:textId="77777777" w:rsidR="004631AB" w:rsidRDefault="00000000">
            <w:pPr>
              <w:rPr>
                <w:sz w:val="18"/>
                <w:szCs w:val="18"/>
              </w:rPr>
            </w:pPr>
            <w:r>
              <w:rPr>
                <w:sz w:val="18"/>
                <w:szCs w:val="18"/>
              </w:rPr>
              <w:t>ZINC02096813</w:t>
            </w:r>
          </w:p>
        </w:tc>
        <w:tc>
          <w:tcPr>
            <w:tcW w:w="1559" w:type="dxa"/>
          </w:tcPr>
          <w:p w14:paraId="5D1934AA" w14:textId="77777777" w:rsidR="004631AB" w:rsidRDefault="00000000">
            <w:pPr>
              <w:jc w:val="center"/>
              <w:rPr>
                <w:sz w:val="18"/>
                <w:szCs w:val="18"/>
              </w:rPr>
            </w:pPr>
            <w:r>
              <w:rPr>
                <w:sz w:val="18"/>
                <w:szCs w:val="18"/>
              </w:rPr>
              <w:t>-10.61</w:t>
            </w:r>
          </w:p>
        </w:tc>
        <w:tc>
          <w:tcPr>
            <w:tcW w:w="2982" w:type="dxa"/>
          </w:tcPr>
          <w:p w14:paraId="2B0643F6" w14:textId="77777777" w:rsidR="004631AB" w:rsidRDefault="00000000">
            <w:pPr>
              <w:rPr>
                <w:sz w:val="18"/>
                <w:szCs w:val="18"/>
                <w:lang w:val="pt-BR"/>
              </w:rPr>
            </w:pPr>
            <w:r>
              <w:rPr>
                <w:sz w:val="18"/>
                <w:szCs w:val="18"/>
                <w:lang w:val="pt-BR"/>
              </w:rPr>
              <w:t>Thr-35(N):: Unl1(C23) O5</w:t>
            </w:r>
          </w:p>
          <w:p w14:paraId="2A6A04EB" w14:textId="77777777" w:rsidR="004631AB" w:rsidRDefault="00000000">
            <w:pPr>
              <w:rPr>
                <w:sz w:val="18"/>
                <w:szCs w:val="18"/>
                <w:lang w:val="pt-BR"/>
              </w:rPr>
            </w:pPr>
            <w:r>
              <w:rPr>
                <w:sz w:val="18"/>
                <w:szCs w:val="18"/>
                <w:lang w:val="pt-BR"/>
              </w:rPr>
              <w:t>Asp-12(OD1):: Unl1(N)</w:t>
            </w:r>
          </w:p>
          <w:p w14:paraId="404B68F6" w14:textId="77777777" w:rsidR="004631AB" w:rsidRDefault="00000000">
            <w:pPr>
              <w:rPr>
                <w:sz w:val="18"/>
                <w:szCs w:val="18"/>
              </w:rPr>
            </w:pPr>
            <w:r>
              <w:rPr>
                <w:sz w:val="18"/>
                <w:szCs w:val="18"/>
              </w:rPr>
              <w:t>Gly-60(N):: Unl1(OXT)</w:t>
            </w:r>
          </w:p>
          <w:p w14:paraId="28068B0C" w14:textId="77777777" w:rsidR="004631AB" w:rsidRDefault="00000000">
            <w:pPr>
              <w:rPr>
                <w:sz w:val="18"/>
                <w:szCs w:val="18"/>
              </w:rPr>
            </w:pPr>
            <w:r>
              <w:rPr>
                <w:sz w:val="18"/>
                <w:szCs w:val="18"/>
              </w:rPr>
              <w:t>Lys-16(NZ):: Unl1(OXT)</w:t>
            </w:r>
          </w:p>
          <w:p w14:paraId="1E11117F" w14:textId="77777777" w:rsidR="004631AB" w:rsidRDefault="004631AB">
            <w:pPr>
              <w:rPr>
                <w:sz w:val="18"/>
                <w:szCs w:val="18"/>
              </w:rPr>
            </w:pPr>
          </w:p>
        </w:tc>
        <w:tc>
          <w:tcPr>
            <w:tcW w:w="3255" w:type="dxa"/>
          </w:tcPr>
          <w:p w14:paraId="0FD8E937" w14:textId="77777777" w:rsidR="004631AB" w:rsidRDefault="00000000">
            <w:pPr>
              <w:rPr>
                <w:sz w:val="18"/>
                <w:szCs w:val="18"/>
                <w:lang w:val="pt-BR"/>
              </w:rPr>
            </w:pPr>
            <w:r>
              <w:rPr>
                <w:sz w:val="18"/>
                <w:szCs w:val="18"/>
                <w:lang w:val="pt-BR"/>
              </w:rPr>
              <w:t>Ser-17, Gly-15, Asn-116, Lys-117, Phe-28, Lys-147, Ala-146, Asp-119, Ser-145, Ala-18, Tyr-32,</w:t>
            </w:r>
          </w:p>
          <w:p w14:paraId="0F779FAD" w14:textId="77777777" w:rsidR="004631AB" w:rsidRDefault="00000000">
            <w:pPr>
              <w:rPr>
                <w:sz w:val="18"/>
                <w:szCs w:val="18"/>
              </w:rPr>
            </w:pPr>
            <w:r>
              <w:rPr>
                <w:sz w:val="18"/>
                <w:szCs w:val="18"/>
              </w:rPr>
              <w:t>Asp-13</w:t>
            </w:r>
          </w:p>
        </w:tc>
      </w:tr>
      <w:tr w:rsidR="004631AB" w14:paraId="01319E4A" w14:textId="77777777">
        <w:tc>
          <w:tcPr>
            <w:tcW w:w="481" w:type="dxa"/>
          </w:tcPr>
          <w:p w14:paraId="4AEDF04A" w14:textId="77777777" w:rsidR="004631AB" w:rsidRDefault="00000000">
            <w:pPr>
              <w:jc w:val="center"/>
              <w:rPr>
                <w:sz w:val="18"/>
                <w:szCs w:val="18"/>
              </w:rPr>
            </w:pPr>
            <w:r>
              <w:rPr>
                <w:sz w:val="18"/>
                <w:szCs w:val="18"/>
              </w:rPr>
              <w:t>3</w:t>
            </w:r>
          </w:p>
        </w:tc>
        <w:tc>
          <w:tcPr>
            <w:tcW w:w="1357" w:type="dxa"/>
          </w:tcPr>
          <w:p w14:paraId="25281CD4" w14:textId="77777777" w:rsidR="004631AB" w:rsidRDefault="00000000">
            <w:pPr>
              <w:rPr>
                <w:sz w:val="18"/>
                <w:szCs w:val="18"/>
              </w:rPr>
            </w:pPr>
            <w:r>
              <w:rPr>
                <w:sz w:val="18"/>
                <w:szCs w:val="18"/>
              </w:rPr>
              <w:t>ZINC02096815</w:t>
            </w:r>
          </w:p>
        </w:tc>
        <w:tc>
          <w:tcPr>
            <w:tcW w:w="1559" w:type="dxa"/>
          </w:tcPr>
          <w:p w14:paraId="0EE6B19B" w14:textId="77777777" w:rsidR="004631AB" w:rsidRDefault="00000000">
            <w:pPr>
              <w:jc w:val="center"/>
              <w:rPr>
                <w:sz w:val="18"/>
                <w:szCs w:val="18"/>
              </w:rPr>
            </w:pPr>
            <w:r>
              <w:rPr>
                <w:sz w:val="18"/>
                <w:szCs w:val="18"/>
              </w:rPr>
              <w:t>-10.33</w:t>
            </w:r>
          </w:p>
        </w:tc>
        <w:tc>
          <w:tcPr>
            <w:tcW w:w="2982" w:type="dxa"/>
          </w:tcPr>
          <w:p w14:paraId="433850D0" w14:textId="77777777" w:rsidR="004631AB" w:rsidRDefault="00000000">
            <w:pPr>
              <w:rPr>
                <w:sz w:val="18"/>
                <w:szCs w:val="18"/>
                <w:lang w:val="pt-BR"/>
              </w:rPr>
            </w:pPr>
            <w:r>
              <w:rPr>
                <w:sz w:val="18"/>
                <w:szCs w:val="18"/>
                <w:lang w:val="pt-BR"/>
              </w:rPr>
              <w:t>Lys-16(N):: Unl1(C23)O5</w:t>
            </w:r>
          </w:p>
          <w:p w14:paraId="62811CAB" w14:textId="77777777" w:rsidR="004631AB" w:rsidRDefault="00000000">
            <w:pPr>
              <w:rPr>
                <w:sz w:val="18"/>
                <w:szCs w:val="18"/>
                <w:lang w:val="pt-BR"/>
              </w:rPr>
            </w:pPr>
            <w:r>
              <w:rPr>
                <w:sz w:val="18"/>
                <w:szCs w:val="18"/>
                <w:lang w:val="pt-BR"/>
              </w:rPr>
              <w:t>Lys-16(NZ):: Unl1(C23)OXT Gly15(N):: Unl1(C23)O5</w:t>
            </w:r>
          </w:p>
          <w:p w14:paraId="0E35B58C" w14:textId="77777777" w:rsidR="004631AB" w:rsidRDefault="00000000">
            <w:pPr>
              <w:rPr>
                <w:sz w:val="18"/>
                <w:szCs w:val="18"/>
              </w:rPr>
            </w:pPr>
            <w:r>
              <w:rPr>
                <w:sz w:val="18"/>
                <w:szCs w:val="18"/>
              </w:rPr>
              <w:lastRenderedPageBreak/>
              <w:t>Ser17(OG):: Unl1(C20)O4</w:t>
            </w:r>
          </w:p>
          <w:p w14:paraId="3D828524" w14:textId="77777777" w:rsidR="004631AB" w:rsidRDefault="004631AB">
            <w:pPr>
              <w:rPr>
                <w:sz w:val="18"/>
                <w:szCs w:val="18"/>
              </w:rPr>
            </w:pPr>
          </w:p>
        </w:tc>
        <w:tc>
          <w:tcPr>
            <w:tcW w:w="3255" w:type="dxa"/>
          </w:tcPr>
          <w:p w14:paraId="533A8248" w14:textId="77777777" w:rsidR="004631AB" w:rsidRDefault="00000000">
            <w:pPr>
              <w:rPr>
                <w:sz w:val="18"/>
                <w:szCs w:val="18"/>
              </w:rPr>
            </w:pPr>
            <w:r>
              <w:rPr>
                <w:sz w:val="18"/>
                <w:szCs w:val="18"/>
              </w:rPr>
              <w:lastRenderedPageBreak/>
              <w:t>Asp-12, Thr-58, Asp-13, Asp-33,</w:t>
            </w:r>
          </w:p>
          <w:p w14:paraId="06A4D396" w14:textId="77777777" w:rsidR="004631AB" w:rsidRDefault="00000000">
            <w:pPr>
              <w:rPr>
                <w:sz w:val="18"/>
                <w:szCs w:val="18"/>
              </w:rPr>
            </w:pPr>
            <w:r>
              <w:rPr>
                <w:sz w:val="18"/>
                <w:szCs w:val="18"/>
              </w:rPr>
              <w:t>Try-32, Glu-31, Phe-28, Lys-147, Asp-119, Ala-146,</w:t>
            </w:r>
          </w:p>
          <w:p w14:paraId="7C55C348" w14:textId="77777777" w:rsidR="004631AB" w:rsidRDefault="00000000">
            <w:pPr>
              <w:rPr>
                <w:sz w:val="18"/>
                <w:szCs w:val="18"/>
              </w:rPr>
            </w:pPr>
            <w:r>
              <w:rPr>
                <w:sz w:val="18"/>
                <w:szCs w:val="18"/>
              </w:rPr>
              <w:lastRenderedPageBreak/>
              <w:t>Lys-117, Asn-116, Thr-35</w:t>
            </w:r>
          </w:p>
        </w:tc>
      </w:tr>
      <w:tr w:rsidR="004631AB" w14:paraId="4D0116D8" w14:textId="77777777">
        <w:tc>
          <w:tcPr>
            <w:tcW w:w="481" w:type="dxa"/>
          </w:tcPr>
          <w:p w14:paraId="67923D8B" w14:textId="77777777" w:rsidR="004631AB" w:rsidRDefault="00000000">
            <w:pPr>
              <w:jc w:val="center"/>
              <w:rPr>
                <w:sz w:val="18"/>
                <w:szCs w:val="18"/>
              </w:rPr>
            </w:pPr>
            <w:r>
              <w:rPr>
                <w:sz w:val="18"/>
                <w:szCs w:val="18"/>
              </w:rPr>
              <w:lastRenderedPageBreak/>
              <w:t>4</w:t>
            </w:r>
          </w:p>
        </w:tc>
        <w:tc>
          <w:tcPr>
            <w:tcW w:w="1357" w:type="dxa"/>
          </w:tcPr>
          <w:p w14:paraId="704FF455" w14:textId="77777777" w:rsidR="004631AB" w:rsidRDefault="00000000">
            <w:pPr>
              <w:rPr>
                <w:sz w:val="18"/>
                <w:szCs w:val="18"/>
              </w:rPr>
            </w:pPr>
            <w:r>
              <w:rPr>
                <w:sz w:val="18"/>
                <w:szCs w:val="18"/>
              </w:rPr>
              <w:t>ZINC02114326</w:t>
            </w:r>
          </w:p>
        </w:tc>
        <w:tc>
          <w:tcPr>
            <w:tcW w:w="1559" w:type="dxa"/>
          </w:tcPr>
          <w:p w14:paraId="465D4954" w14:textId="77777777" w:rsidR="004631AB" w:rsidRDefault="00000000">
            <w:pPr>
              <w:jc w:val="center"/>
              <w:rPr>
                <w:sz w:val="18"/>
                <w:szCs w:val="18"/>
              </w:rPr>
            </w:pPr>
            <w:r>
              <w:rPr>
                <w:sz w:val="18"/>
                <w:szCs w:val="18"/>
              </w:rPr>
              <w:t>-10.23</w:t>
            </w:r>
          </w:p>
        </w:tc>
        <w:tc>
          <w:tcPr>
            <w:tcW w:w="2982" w:type="dxa"/>
          </w:tcPr>
          <w:p w14:paraId="03D2FD73" w14:textId="77777777" w:rsidR="004631AB" w:rsidRDefault="00000000">
            <w:pPr>
              <w:rPr>
                <w:sz w:val="18"/>
                <w:szCs w:val="18"/>
              </w:rPr>
            </w:pPr>
            <w:r>
              <w:rPr>
                <w:sz w:val="18"/>
                <w:szCs w:val="18"/>
              </w:rPr>
              <w:t>Asn-116(ND2):: Unl1(CL) Lys-147(NZ):: Unl1(OXT) Asp-33(N):: Unl1 (C12) O4</w:t>
            </w:r>
          </w:p>
          <w:p w14:paraId="5051E7C3" w14:textId="77777777" w:rsidR="004631AB" w:rsidRDefault="004631AB">
            <w:pPr>
              <w:rPr>
                <w:sz w:val="18"/>
                <w:szCs w:val="18"/>
              </w:rPr>
            </w:pPr>
          </w:p>
        </w:tc>
        <w:tc>
          <w:tcPr>
            <w:tcW w:w="3255" w:type="dxa"/>
          </w:tcPr>
          <w:p w14:paraId="71350C83" w14:textId="77777777" w:rsidR="004631AB" w:rsidRDefault="00000000">
            <w:pPr>
              <w:rPr>
                <w:sz w:val="18"/>
                <w:szCs w:val="18"/>
              </w:rPr>
            </w:pPr>
            <w:r>
              <w:rPr>
                <w:sz w:val="18"/>
                <w:szCs w:val="18"/>
              </w:rPr>
              <w:t>Phe-28, Asp-119, Leu-120, Gly-15, Lys-117, Asp-30, Lys-16, Ser-17, Ala-18, Tyr-32, Glu-31</w:t>
            </w:r>
          </w:p>
          <w:p w14:paraId="1B2DF447" w14:textId="77777777" w:rsidR="004631AB" w:rsidRDefault="004631AB">
            <w:pPr>
              <w:rPr>
                <w:sz w:val="18"/>
                <w:szCs w:val="18"/>
              </w:rPr>
            </w:pPr>
          </w:p>
        </w:tc>
      </w:tr>
      <w:tr w:rsidR="004631AB" w14:paraId="0E9D6883" w14:textId="77777777">
        <w:tc>
          <w:tcPr>
            <w:tcW w:w="481" w:type="dxa"/>
          </w:tcPr>
          <w:p w14:paraId="3DD62826" w14:textId="77777777" w:rsidR="004631AB" w:rsidRDefault="00000000">
            <w:pPr>
              <w:jc w:val="center"/>
              <w:rPr>
                <w:sz w:val="18"/>
                <w:szCs w:val="18"/>
              </w:rPr>
            </w:pPr>
            <w:r>
              <w:rPr>
                <w:sz w:val="18"/>
                <w:szCs w:val="18"/>
              </w:rPr>
              <w:t>5</w:t>
            </w:r>
          </w:p>
        </w:tc>
        <w:tc>
          <w:tcPr>
            <w:tcW w:w="1357" w:type="dxa"/>
          </w:tcPr>
          <w:p w14:paraId="5BCEFED0" w14:textId="77777777" w:rsidR="004631AB" w:rsidRDefault="00000000">
            <w:pPr>
              <w:rPr>
                <w:sz w:val="18"/>
                <w:szCs w:val="18"/>
              </w:rPr>
            </w:pPr>
            <w:r>
              <w:rPr>
                <w:sz w:val="18"/>
                <w:szCs w:val="18"/>
              </w:rPr>
              <w:t>ZINC01020381</w:t>
            </w:r>
          </w:p>
        </w:tc>
        <w:tc>
          <w:tcPr>
            <w:tcW w:w="1559" w:type="dxa"/>
          </w:tcPr>
          <w:p w14:paraId="2F125691" w14:textId="77777777" w:rsidR="004631AB" w:rsidRDefault="00000000">
            <w:pPr>
              <w:jc w:val="center"/>
              <w:rPr>
                <w:sz w:val="18"/>
                <w:szCs w:val="18"/>
              </w:rPr>
            </w:pPr>
            <w:r>
              <w:rPr>
                <w:sz w:val="18"/>
                <w:szCs w:val="18"/>
              </w:rPr>
              <w:t>-10.16</w:t>
            </w:r>
          </w:p>
        </w:tc>
        <w:tc>
          <w:tcPr>
            <w:tcW w:w="2982" w:type="dxa"/>
          </w:tcPr>
          <w:p w14:paraId="6D8FCCD1" w14:textId="77777777" w:rsidR="004631AB" w:rsidRDefault="00000000">
            <w:pPr>
              <w:rPr>
                <w:sz w:val="18"/>
                <w:szCs w:val="18"/>
                <w:lang w:val="pt-BR"/>
              </w:rPr>
            </w:pPr>
            <w:r>
              <w:rPr>
                <w:sz w:val="18"/>
                <w:szCs w:val="18"/>
                <w:lang w:val="pt-BR"/>
              </w:rPr>
              <w:t>Gly-15(N):: Unl1(C24) O2 Lys-16(N):: Unl1(C24) O2 Lys-16(NZ):: Unl1(C24) O2</w:t>
            </w:r>
          </w:p>
        </w:tc>
        <w:tc>
          <w:tcPr>
            <w:tcW w:w="3255" w:type="dxa"/>
          </w:tcPr>
          <w:p w14:paraId="40B16D74" w14:textId="77777777" w:rsidR="004631AB" w:rsidRDefault="00000000">
            <w:pPr>
              <w:rPr>
                <w:sz w:val="18"/>
                <w:szCs w:val="18"/>
              </w:rPr>
            </w:pPr>
            <w:r>
              <w:rPr>
                <w:sz w:val="18"/>
                <w:szCs w:val="18"/>
              </w:rPr>
              <w:t>Asp-119, Lys-147, Asn-116, Ala-146, Ser-145, Glu-31, Phe-28, Asp-30, Asp-13, Thr-58, Asp-33</w:t>
            </w:r>
          </w:p>
          <w:p w14:paraId="71C0DAF9" w14:textId="77777777" w:rsidR="004631AB" w:rsidRDefault="004631AB">
            <w:pPr>
              <w:rPr>
                <w:sz w:val="18"/>
                <w:szCs w:val="18"/>
              </w:rPr>
            </w:pPr>
          </w:p>
        </w:tc>
      </w:tr>
      <w:tr w:rsidR="004631AB" w14:paraId="64FED313" w14:textId="77777777">
        <w:tc>
          <w:tcPr>
            <w:tcW w:w="481" w:type="dxa"/>
          </w:tcPr>
          <w:p w14:paraId="47BF2C5A" w14:textId="77777777" w:rsidR="004631AB" w:rsidRDefault="00000000">
            <w:pPr>
              <w:jc w:val="center"/>
              <w:rPr>
                <w:sz w:val="18"/>
                <w:szCs w:val="18"/>
              </w:rPr>
            </w:pPr>
            <w:r>
              <w:rPr>
                <w:sz w:val="18"/>
                <w:szCs w:val="18"/>
              </w:rPr>
              <w:t>6</w:t>
            </w:r>
          </w:p>
        </w:tc>
        <w:tc>
          <w:tcPr>
            <w:tcW w:w="1357" w:type="dxa"/>
          </w:tcPr>
          <w:p w14:paraId="0C154C78" w14:textId="77777777" w:rsidR="004631AB" w:rsidRDefault="00000000">
            <w:pPr>
              <w:rPr>
                <w:sz w:val="18"/>
                <w:szCs w:val="18"/>
              </w:rPr>
            </w:pPr>
            <w:r>
              <w:rPr>
                <w:sz w:val="18"/>
                <w:szCs w:val="18"/>
              </w:rPr>
              <w:t>ZINC06167356</w:t>
            </w:r>
          </w:p>
        </w:tc>
        <w:tc>
          <w:tcPr>
            <w:tcW w:w="1559" w:type="dxa"/>
          </w:tcPr>
          <w:p w14:paraId="28234DEB" w14:textId="77777777" w:rsidR="004631AB" w:rsidRDefault="00000000">
            <w:pPr>
              <w:jc w:val="center"/>
              <w:rPr>
                <w:sz w:val="18"/>
                <w:szCs w:val="18"/>
              </w:rPr>
            </w:pPr>
            <w:r>
              <w:rPr>
                <w:sz w:val="18"/>
                <w:szCs w:val="18"/>
              </w:rPr>
              <w:t>-10.16</w:t>
            </w:r>
          </w:p>
        </w:tc>
        <w:tc>
          <w:tcPr>
            <w:tcW w:w="2982" w:type="dxa"/>
          </w:tcPr>
          <w:p w14:paraId="6D70FE4B" w14:textId="77777777" w:rsidR="004631AB" w:rsidRDefault="00000000">
            <w:pPr>
              <w:rPr>
                <w:sz w:val="18"/>
                <w:szCs w:val="18"/>
                <w:lang w:val="pt-BR"/>
              </w:rPr>
            </w:pPr>
            <w:r>
              <w:rPr>
                <w:sz w:val="18"/>
                <w:szCs w:val="18"/>
                <w:lang w:val="pt-BR"/>
              </w:rPr>
              <w:t>Thr-58(O)::Unl1(C6) O6 Gly-60(N):: Unl1(C6) O6 Lys-117(NZ):: Unl1(C18) O5 Asp-30(N):: Unl1(C16) O4 Glu-31(N):: Unl1(C16) O 4 Ala-18(N):: Unl1(C9) O 2 Ser-17(N):: Unl1(O1)</w:t>
            </w:r>
          </w:p>
          <w:p w14:paraId="22D87FDB" w14:textId="77777777" w:rsidR="004631AB" w:rsidRDefault="004631AB">
            <w:pPr>
              <w:rPr>
                <w:sz w:val="18"/>
                <w:szCs w:val="18"/>
                <w:lang w:val="pt-BR"/>
              </w:rPr>
            </w:pPr>
          </w:p>
        </w:tc>
        <w:tc>
          <w:tcPr>
            <w:tcW w:w="3255" w:type="dxa"/>
          </w:tcPr>
          <w:p w14:paraId="66ADAABB" w14:textId="77777777" w:rsidR="004631AB" w:rsidRDefault="00000000">
            <w:pPr>
              <w:rPr>
                <w:sz w:val="18"/>
                <w:szCs w:val="18"/>
              </w:rPr>
            </w:pPr>
            <w:r>
              <w:rPr>
                <w:sz w:val="18"/>
                <w:szCs w:val="18"/>
              </w:rPr>
              <w:t>Asp-33, Asp-12, Lys-16, Thr-35, Gly-15, Pro-34, Ala-59, Asp-13, Val-29</w:t>
            </w:r>
          </w:p>
          <w:p w14:paraId="2F7BAE49" w14:textId="77777777" w:rsidR="004631AB" w:rsidRDefault="004631AB">
            <w:pPr>
              <w:rPr>
                <w:sz w:val="18"/>
                <w:szCs w:val="18"/>
              </w:rPr>
            </w:pPr>
          </w:p>
          <w:p w14:paraId="36DA0501" w14:textId="77777777" w:rsidR="004631AB" w:rsidRDefault="004631AB">
            <w:pPr>
              <w:rPr>
                <w:sz w:val="18"/>
                <w:szCs w:val="18"/>
              </w:rPr>
            </w:pPr>
          </w:p>
        </w:tc>
      </w:tr>
      <w:tr w:rsidR="004631AB" w14:paraId="07EE45E7" w14:textId="77777777">
        <w:tc>
          <w:tcPr>
            <w:tcW w:w="481" w:type="dxa"/>
          </w:tcPr>
          <w:p w14:paraId="1EF46655" w14:textId="77777777" w:rsidR="004631AB" w:rsidRDefault="00000000">
            <w:pPr>
              <w:jc w:val="center"/>
              <w:rPr>
                <w:sz w:val="18"/>
                <w:szCs w:val="18"/>
              </w:rPr>
            </w:pPr>
            <w:r>
              <w:rPr>
                <w:sz w:val="18"/>
                <w:szCs w:val="18"/>
              </w:rPr>
              <w:t>7</w:t>
            </w:r>
          </w:p>
        </w:tc>
        <w:tc>
          <w:tcPr>
            <w:tcW w:w="1357" w:type="dxa"/>
          </w:tcPr>
          <w:p w14:paraId="210689F9" w14:textId="77777777" w:rsidR="004631AB" w:rsidRDefault="00000000">
            <w:pPr>
              <w:rPr>
                <w:sz w:val="18"/>
                <w:szCs w:val="18"/>
              </w:rPr>
            </w:pPr>
            <w:r>
              <w:rPr>
                <w:sz w:val="18"/>
                <w:szCs w:val="18"/>
              </w:rPr>
              <w:t>ZINC02120343</w:t>
            </w:r>
          </w:p>
        </w:tc>
        <w:tc>
          <w:tcPr>
            <w:tcW w:w="1559" w:type="dxa"/>
          </w:tcPr>
          <w:p w14:paraId="12E7C6B0" w14:textId="77777777" w:rsidR="004631AB" w:rsidRDefault="00000000">
            <w:pPr>
              <w:jc w:val="center"/>
              <w:rPr>
                <w:sz w:val="18"/>
                <w:szCs w:val="18"/>
              </w:rPr>
            </w:pPr>
            <w:r>
              <w:rPr>
                <w:sz w:val="18"/>
                <w:szCs w:val="18"/>
              </w:rPr>
              <w:t>-10.14</w:t>
            </w:r>
          </w:p>
        </w:tc>
        <w:tc>
          <w:tcPr>
            <w:tcW w:w="2982" w:type="dxa"/>
          </w:tcPr>
          <w:p w14:paraId="60BE0E60" w14:textId="77777777" w:rsidR="004631AB" w:rsidRDefault="00000000">
            <w:pPr>
              <w:rPr>
                <w:sz w:val="18"/>
                <w:szCs w:val="18"/>
                <w:lang w:val="pt-BR"/>
              </w:rPr>
            </w:pPr>
            <w:r>
              <w:rPr>
                <w:sz w:val="18"/>
                <w:szCs w:val="18"/>
                <w:lang w:val="pt-BR"/>
              </w:rPr>
              <w:t>Asp-33(N):: Unl1(C9) O2 Ser-17(N):: Unl1(C22) O5 Lys-16(N):: Unl1(C22) O4 Lys-16(NZ):: Unl1(C22) O 4 Asp-13(N):: Unl1(C22) O4 Gly-15(N):: Unl1(C22) O4</w:t>
            </w:r>
          </w:p>
          <w:p w14:paraId="763A5ACE" w14:textId="77777777" w:rsidR="004631AB" w:rsidRDefault="004631AB">
            <w:pPr>
              <w:rPr>
                <w:sz w:val="18"/>
                <w:szCs w:val="18"/>
                <w:lang w:val="pt-BR"/>
              </w:rPr>
            </w:pPr>
          </w:p>
        </w:tc>
        <w:tc>
          <w:tcPr>
            <w:tcW w:w="3255" w:type="dxa"/>
          </w:tcPr>
          <w:p w14:paraId="37BA7A30" w14:textId="77777777" w:rsidR="004631AB" w:rsidRDefault="00000000">
            <w:pPr>
              <w:rPr>
                <w:sz w:val="18"/>
                <w:szCs w:val="18"/>
              </w:rPr>
            </w:pPr>
            <w:r>
              <w:rPr>
                <w:sz w:val="18"/>
                <w:szCs w:val="18"/>
              </w:rPr>
              <w:t>Asp-119,Ser-145, Lys-147,Ala-146, Phe-28,Ala-18,Asn-116, Lys-117,Glu-31,Tyr-32, Pro-34,Asp-12,Val-14</w:t>
            </w:r>
          </w:p>
        </w:tc>
      </w:tr>
      <w:tr w:rsidR="004631AB" w14:paraId="16ABFD4D" w14:textId="77777777">
        <w:tc>
          <w:tcPr>
            <w:tcW w:w="481" w:type="dxa"/>
          </w:tcPr>
          <w:p w14:paraId="5AFC66D0" w14:textId="77777777" w:rsidR="004631AB" w:rsidRDefault="00000000">
            <w:pPr>
              <w:jc w:val="center"/>
              <w:rPr>
                <w:sz w:val="18"/>
                <w:szCs w:val="18"/>
              </w:rPr>
            </w:pPr>
            <w:r>
              <w:rPr>
                <w:sz w:val="18"/>
                <w:szCs w:val="18"/>
              </w:rPr>
              <w:t>8</w:t>
            </w:r>
          </w:p>
        </w:tc>
        <w:tc>
          <w:tcPr>
            <w:tcW w:w="1357" w:type="dxa"/>
          </w:tcPr>
          <w:p w14:paraId="200126BC" w14:textId="77777777" w:rsidR="004631AB" w:rsidRDefault="00000000">
            <w:pPr>
              <w:rPr>
                <w:sz w:val="18"/>
                <w:szCs w:val="18"/>
              </w:rPr>
            </w:pPr>
            <w:r>
              <w:rPr>
                <w:sz w:val="18"/>
                <w:szCs w:val="18"/>
              </w:rPr>
              <w:t>ZINC02102162</w:t>
            </w:r>
          </w:p>
        </w:tc>
        <w:tc>
          <w:tcPr>
            <w:tcW w:w="1559" w:type="dxa"/>
          </w:tcPr>
          <w:p w14:paraId="6737C6B9" w14:textId="77777777" w:rsidR="004631AB" w:rsidRDefault="00000000">
            <w:pPr>
              <w:jc w:val="center"/>
              <w:rPr>
                <w:sz w:val="18"/>
                <w:szCs w:val="18"/>
              </w:rPr>
            </w:pPr>
            <w:r>
              <w:rPr>
                <w:sz w:val="18"/>
                <w:szCs w:val="18"/>
              </w:rPr>
              <w:t>-10.14</w:t>
            </w:r>
          </w:p>
        </w:tc>
        <w:tc>
          <w:tcPr>
            <w:tcW w:w="2982" w:type="dxa"/>
          </w:tcPr>
          <w:p w14:paraId="61CF8B89" w14:textId="77777777" w:rsidR="004631AB" w:rsidRDefault="00000000">
            <w:pPr>
              <w:rPr>
                <w:sz w:val="18"/>
                <w:szCs w:val="18"/>
                <w:lang w:val="pt-BR"/>
              </w:rPr>
            </w:pPr>
            <w:r>
              <w:rPr>
                <w:sz w:val="18"/>
                <w:szCs w:val="18"/>
                <w:lang w:val="pt-BR"/>
              </w:rPr>
              <w:t>Lys-16(N):: Unl1(C22) O6 Lys-16(N)::Unl1(C22) O5 Val-14(N):: Unl1(C22) O5 Gly-15(N):: Unl1(C22) O5 Ser-17(N):: Unl1(C22) O6</w:t>
            </w:r>
          </w:p>
          <w:p w14:paraId="7228E8EC" w14:textId="77777777" w:rsidR="004631AB" w:rsidRDefault="004631AB">
            <w:pPr>
              <w:rPr>
                <w:sz w:val="18"/>
                <w:szCs w:val="18"/>
                <w:lang w:val="pt-BR"/>
              </w:rPr>
            </w:pPr>
          </w:p>
        </w:tc>
        <w:tc>
          <w:tcPr>
            <w:tcW w:w="3255" w:type="dxa"/>
          </w:tcPr>
          <w:p w14:paraId="267CA3FE" w14:textId="77777777" w:rsidR="004631AB" w:rsidRDefault="00000000">
            <w:pPr>
              <w:rPr>
                <w:sz w:val="18"/>
                <w:szCs w:val="18"/>
              </w:rPr>
            </w:pPr>
            <w:r>
              <w:rPr>
                <w:sz w:val="18"/>
                <w:szCs w:val="18"/>
              </w:rPr>
              <w:t>Pro-34,Asp-12, Asp-13,Asp-33, Glu-31,Tyr-32, Phe-28,Lys-117, Asn-116,Ala-18, Ala-146,Lys-147, Asp-119</w:t>
            </w:r>
          </w:p>
        </w:tc>
      </w:tr>
      <w:tr w:rsidR="004631AB" w14:paraId="6081F69D" w14:textId="77777777">
        <w:tc>
          <w:tcPr>
            <w:tcW w:w="481" w:type="dxa"/>
          </w:tcPr>
          <w:p w14:paraId="5F212506" w14:textId="77777777" w:rsidR="004631AB" w:rsidRDefault="00000000">
            <w:pPr>
              <w:jc w:val="center"/>
              <w:rPr>
                <w:sz w:val="18"/>
                <w:szCs w:val="18"/>
              </w:rPr>
            </w:pPr>
            <w:r>
              <w:rPr>
                <w:sz w:val="18"/>
                <w:szCs w:val="18"/>
              </w:rPr>
              <w:t>9</w:t>
            </w:r>
          </w:p>
        </w:tc>
        <w:tc>
          <w:tcPr>
            <w:tcW w:w="1357" w:type="dxa"/>
          </w:tcPr>
          <w:p w14:paraId="15963DE9" w14:textId="77777777" w:rsidR="004631AB" w:rsidRDefault="00000000">
            <w:pPr>
              <w:rPr>
                <w:sz w:val="18"/>
                <w:szCs w:val="18"/>
              </w:rPr>
            </w:pPr>
            <w:r>
              <w:rPr>
                <w:sz w:val="18"/>
                <w:szCs w:val="18"/>
              </w:rPr>
              <w:t>ZINC02114643</w:t>
            </w:r>
          </w:p>
        </w:tc>
        <w:tc>
          <w:tcPr>
            <w:tcW w:w="1559" w:type="dxa"/>
          </w:tcPr>
          <w:p w14:paraId="3FD1C83F" w14:textId="77777777" w:rsidR="004631AB" w:rsidRDefault="00000000">
            <w:pPr>
              <w:jc w:val="center"/>
              <w:rPr>
                <w:sz w:val="18"/>
                <w:szCs w:val="18"/>
              </w:rPr>
            </w:pPr>
            <w:r>
              <w:rPr>
                <w:sz w:val="18"/>
                <w:szCs w:val="18"/>
              </w:rPr>
              <w:t>-10.1</w:t>
            </w:r>
          </w:p>
        </w:tc>
        <w:tc>
          <w:tcPr>
            <w:tcW w:w="2982" w:type="dxa"/>
          </w:tcPr>
          <w:p w14:paraId="6DFBDFFE" w14:textId="77777777" w:rsidR="004631AB" w:rsidRDefault="00000000">
            <w:pPr>
              <w:rPr>
                <w:sz w:val="18"/>
                <w:szCs w:val="18"/>
                <w:lang w:val="pt-BR"/>
              </w:rPr>
            </w:pPr>
            <w:r>
              <w:rPr>
                <w:sz w:val="18"/>
                <w:szCs w:val="18"/>
                <w:lang w:val="pt-BR"/>
              </w:rPr>
              <w:t>Asp-33(N)::Unl1(C16) O4 Lys-16(N)::Unl1(C24) O5 Lys-16(NZ)::Unl1(C24) O6 Gly-15(N)::Unl1(C24) O5</w:t>
            </w:r>
          </w:p>
          <w:p w14:paraId="72CCFB92" w14:textId="77777777" w:rsidR="004631AB" w:rsidRDefault="004631AB">
            <w:pPr>
              <w:rPr>
                <w:sz w:val="18"/>
                <w:szCs w:val="18"/>
                <w:lang w:val="pt-BR"/>
              </w:rPr>
            </w:pPr>
          </w:p>
        </w:tc>
        <w:tc>
          <w:tcPr>
            <w:tcW w:w="3255" w:type="dxa"/>
          </w:tcPr>
          <w:p w14:paraId="3CDC0A3F" w14:textId="77777777" w:rsidR="004631AB" w:rsidRDefault="00000000">
            <w:pPr>
              <w:rPr>
                <w:sz w:val="18"/>
                <w:szCs w:val="18"/>
                <w:lang w:val="pt-BR"/>
              </w:rPr>
            </w:pPr>
            <w:r>
              <w:rPr>
                <w:sz w:val="18"/>
                <w:szCs w:val="18"/>
                <w:lang w:val="pt-BR"/>
              </w:rPr>
              <w:t>Asp-19,Phe-28, Lys-147,Lys-147, Leu-120,Tyr-32, Ala-18,Ala-146, Lys-117,Thr-35, Glu-31,Pro-34,Asp-13</w:t>
            </w:r>
          </w:p>
        </w:tc>
      </w:tr>
      <w:tr w:rsidR="004631AB" w14:paraId="3E5EDFC1" w14:textId="77777777">
        <w:tc>
          <w:tcPr>
            <w:tcW w:w="481" w:type="dxa"/>
          </w:tcPr>
          <w:p w14:paraId="74DEDC2B" w14:textId="77777777" w:rsidR="004631AB" w:rsidRDefault="00000000">
            <w:pPr>
              <w:jc w:val="center"/>
              <w:rPr>
                <w:sz w:val="18"/>
                <w:szCs w:val="18"/>
              </w:rPr>
            </w:pPr>
            <w:r>
              <w:rPr>
                <w:sz w:val="18"/>
                <w:szCs w:val="18"/>
              </w:rPr>
              <w:t>10</w:t>
            </w:r>
          </w:p>
        </w:tc>
        <w:tc>
          <w:tcPr>
            <w:tcW w:w="1357" w:type="dxa"/>
          </w:tcPr>
          <w:p w14:paraId="24B1567C" w14:textId="77777777" w:rsidR="004631AB" w:rsidRDefault="00000000">
            <w:pPr>
              <w:rPr>
                <w:sz w:val="18"/>
                <w:szCs w:val="18"/>
              </w:rPr>
            </w:pPr>
            <w:r>
              <w:rPr>
                <w:sz w:val="18"/>
                <w:szCs w:val="18"/>
              </w:rPr>
              <w:t>ZINC00518885</w:t>
            </w:r>
          </w:p>
        </w:tc>
        <w:tc>
          <w:tcPr>
            <w:tcW w:w="1559" w:type="dxa"/>
          </w:tcPr>
          <w:p w14:paraId="424F8613" w14:textId="77777777" w:rsidR="004631AB" w:rsidRDefault="00000000">
            <w:pPr>
              <w:jc w:val="center"/>
              <w:rPr>
                <w:sz w:val="18"/>
                <w:szCs w:val="18"/>
              </w:rPr>
            </w:pPr>
            <w:r>
              <w:rPr>
                <w:sz w:val="18"/>
                <w:szCs w:val="18"/>
              </w:rPr>
              <w:t>-10.06</w:t>
            </w:r>
          </w:p>
        </w:tc>
        <w:tc>
          <w:tcPr>
            <w:tcW w:w="2982" w:type="dxa"/>
          </w:tcPr>
          <w:p w14:paraId="7FD75520" w14:textId="77777777" w:rsidR="004631AB" w:rsidRDefault="00000000">
            <w:pPr>
              <w:rPr>
                <w:sz w:val="18"/>
                <w:szCs w:val="18"/>
                <w:lang w:val="pt-BR"/>
              </w:rPr>
            </w:pPr>
            <w:r>
              <w:rPr>
                <w:sz w:val="18"/>
                <w:szCs w:val="18"/>
                <w:lang w:val="pt-BR"/>
              </w:rPr>
              <w:t>Lys-117(N):: Unk0(C9) O2 Ala-146(N):: Unk0(C9) O2 Asn-116(ND2)::Unk0(O3) Asp-13(N):: Unk0(OXT) Lys-16(N)::Unk0(O) Lys-16(NZ)::Unk0(O) Gly-15(N)::Unk0(O) Val-14(N)::Unk0(O)</w:t>
            </w:r>
          </w:p>
          <w:p w14:paraId="02E99EBF" w14:textId="77777777" w:rsidR="004631AB" w:rsidRDefault="004631AB">
            <w:pPr>
              <w:rPr>
                <w:sz w:val="18"/>
                <w:szCs w:val="18"/>
                <w:lang w:val="pt-BR"/>
              </w:rPr>
            </w:pPr>
          </w:p>
        </w:tc>
        <w:tc>
          <w:tcPr>
            <w:tcW w:w="3255" w:type="dxa"/>
          </w:tcPr>
          <w:p w14:paraId="577BAB13" w14:textId="77777777" w:rsidR="004631AB" w:rsidRDefault="00000000">
            <w:pPr>
              <w:rPr>
                <w:sz w:val="18"/>
                <w:szCs w:val="18"/>
                <w:lang w:val="pt-BR"/>
              </w:rPr>
            </w:pPr>
            <w:r>
              <w:rPr>
                <w:sz w:val="18"/>
                <w:szCs w:val="18"/>
                <w:lang w:val="pt-BR"/>
              </w:rPr>
              <w:t>Asp-119,Phe-28, Asp-33,Pro-34,Asp-12, Ala-18,Ser-17,Lys-147, Ser-145</w:t>
            </w:r>
          </w:p>
        </w:tc>
      </w:tr>
      <w:tr w:rsidR="004631AB" w14:paraId="68007CF5" w14:textId="77777777">
        <w:trPr>
          <w:trHeight w:val="52"/>
        </w:trPr>
        <w:tc>
          <w:tcPr>
            <w:tcW w:w="481" w:type="dxa"/>
          </w:tcPr>
          <w:p w14:paraId="58BAD683" w14:textId="77777777" w:rsidR="004631AB" w:rsidRDefault="00000000">
            <w:pPr>
              <w:jc w:val="center"/>
              <w:rPr>
                <w:sz w:val="18"/>
                <w:szCs w:val="18"/>
              </w:rPr>
            </w:pPr>
            <w:r>
              <w:rPr>
                <w:sz w:val="18"/>
                <w:szCs w:val="18"/>
              </w:rPr>
              <w:t>11</w:t>
            </w:r>
          </w:p>
        </w:tc>
        <w:tc>
          <w:tcPr>
            <w:tcW w:w="1357" w:type="dxa"/>
          </w:tcPr>
          <w:p w14:paraId="12C452E8" w14:textId="77777777" w:rsidR="004631AB" w:rsidRDefault="00000000">
            <w:pPr>
              <w:rPr>
                <w:sz w:val="18"/>
                <w:szCs w:val="18"/>
              </w:rPr>
            </w:pPr>
            <w:r>
              <w:rPr>
                <w:sz w:val="18"/>
                <w:szCs w:val="18"/>
              </w:rPr>
              <w:t>ZINC03882094</w:t>
            </w:r>
          </w:p>
        </w:tc>
        <w:tc>
          <w:tcPr>
            <w:tcW w:w="1559" w:type="dxa"/>
          </w:tcPr>
          <w:p w14:paraId="10AD56AA" w14:textId="77777777" w:rsidR="004631AB" w:rsidRDefault="00000000">
            <w:pPr>
              <w:jc w:val="center"/>
              <w:rPr>
                <w:sz w:val="18"/>
                <w:szCs w:val="18"/>
              </w:rPr>
            </w:pPr>
            <w:r>
              <w:rPr>
                <w:sz w:val="18"/>
                <w:szCs w:val="18"/>
              </w:rPr>
              <w:t>-10.04</w:t>
            </w:r>
          </w:p>
        </w:tc>
        <w:tc>
          <w:tcPr>
            <w:tcW w:w="2982" w:type="dxa"/>
          </w:tcPr>
          <w:p w14:paraId="64E27D11" w14:textId="77777777" w:rsidR="004631AB" w:rsidRDefault="00000000">
            <w:pPr>
              <w:rPr>
                <w:sz w:val="18"/>
                <w:szCs w:val="18"/>
                <w:lang w:val="pt-BR"/>
              </w:rPr>
            </w:pPr>
            <w:r>
              <w:rPr>
                <w:sz w:val="18"/>
                <w:szCs w:val="18"/>
                <w:lang w:val="pt-BR"/>
              </w:rPr>
              <w:t>Lys-16(NZ)::Unl1(C21) O3 Gly-15(N):: Unl1(C21) O3 Ser-17(N)::Unl1(C22) O4</w:t>
            </w:r>
          </w:p>
        </w:tc>
        <w:tc>
          <w:tcPr>
            <w:tcW w:w="3255" w:type="dxa"/>
          </w:tcPr>
          <w:p w14:paraId="5FE4CFB0" w14:textId="77777777" w:rsidR="004631AB" w:rsidRDefault="00000000">
            <w:pPr>
              <w:rPr>
                <w:sz w:val="18"/>
                <w:szCs w:val="18"/>
              </w:rPr>
            </w:pPr>
            <w:r>
              <w:rPr>
                <w:sz w:val="18"/>
                <w:szCs w:val="18"/>
              </w:rPr>
              <w:t>Thr-35,Asp-13, Val-14,Asp-12, Asp-30,Glu-13, Asp-119,Lys-117, Phe-28,Asp-57, Ala-18,Thr-58</w:t>
            </w:r>
          </w:p>
        </w:tc>
      </w:tr>
    </w:tbl>
    <w:p w14:paraId="655B3880" w14:textId="77777777" w:rsidR="004631AB" w:rsidRPr="002802E5" w:rsidRDefault="004631AB">
      <w:pPr>
        <w:jc w:val="both"/>
        <w:rPr>
          <w:rFonts w:eastAsia="Calibri"/>
          <w:bCs/>
          <w:color w:val="0070C0"/>
          <w:sz w:val="20"/>
          <w:szCs w:val="20"/>
        </w:rPr>
        <w:sectPr w:rsidR="004631AB" w:rsidRPr="002802E5">
          <w:type w:val="continuous"/>
          <w:pgSz w:w="11907" w:h="16839"/>
          <w:pgMar w:top="1701" w:right="1134" w:bottom="1701" w:left="1134" w:header="706" w:footer="706" w:gutter="0"/>
          <w:pgNumType w:start="125"/>
          <w:cols w:space="567"/>
          <w:docGrid w:linePitch="360"/>
        </w:sectPr>
      </w:pPr>
    </w:p>
    <w:p w14:paraId="74185586" w14:textId="0A3CCE8A" w:rsidR="002802E5" w:rsidRPr="002802E5" w:rsidRDefault="002802E5" w:rsidP="002802E5">
      <w:pPr>
        <w:jc w:val="both"/>
        <w:rPr>
          <w:rFonts w:eastAsia="Calibri"/>
          <w:b/>
          <w:bCs/>
          <w:color w:val="0070C0"/>
          <w:sz w:val="20"/>
          <w:szCs w:val="20"/>
          <w:lang w:val="en-IN"/>
        </w:rPr>
      </w:pPr>
      <w:r>
        <w:rPr>
          <w:rFonts w:eastAsia="Calibri"/>
          <w:b/>
          <w:bCs/>
          <w:color w:val="0070C0"/>
          <w:sz w:val="20"/>
          <w:szCs w:val="20"/>
          <w:lang w:val="en-IN"/>
        </w:rPr>
        <w:t xml:space="preserve">3.3.1 </w:t>
      </w:r>
      <w:r w:rsidRPr="002802E5">
        <w:rPr>
          <w:rFonts w:eastAsia="Calibri"/>
          <w:b/>
          <w:bCs/>
          <w:color w:val="0070C0"/>
          <w:sz w:val="20"/>
          <w:szCs w:val="20"/>
          <w:lang w:val="en-IN"/>
        </w:rPr>
        <w:t>Mutant Residue Contributions</w:t>
      </w:r>
    </w:p>
    <w:p w14:paraId="5D49FC01" w14:textId="77777777" w:rsidR="002802E5" w:rsidRPr="002802E5" w:rsidRDefault="002802E5" w:rsidP="002802E5">
      <w:pPr>
        <w:jc w:val="both"/>
        <w:rPr>
          <w:rFonts w:eastAsia="Calibri"/>
          <w:b/>
          <w:bCs/>
          <w:sz w:val="20"/>
          <w:szCs w:val="20"/>
          <w:lang w:val="en-IN"/>
        </w:rPr>
      </w:pPr>
    </w:p>
    <w:p w14:paraId="6CB070BD" w14:textId="77777777" w:rsidR="002802E5" w:rsidRDefault="00000000">
      <w:pPr>
        <w:jc w:val="both"/>
        <w:rPr>
          <w:rFonts w:eastAsia="Calibri"/>
          <w:bCs/>
          <w:sz w:val="20"/>
          <w:szCs w:val="20"/>
          <w:highlight w:val="yellow"/>
        </w:rPr>
      </w:pPr>
      <w:r>
        <w:rPr>
          <w:rFonts w:eastAsia="Calibri"/>
          <w:bCs/>
          <w:sz w:val="20"/>
          <w:szCs w:val="20"/>
        </w:rPr>
        <w:t xml:space="preserve">Beyond conserved sites, mutant residues also established direct ligand interactions. </w:t>
      </w:r>
      <w:r w:rsidR="00A25553" w:rsidRPr="00A25553">
        <w:rPr>
          <w:rFonts w:eastAsia="Calibri"/>
          <w:bCs/>
          <w:sz w:val="20"/>
          <w:szCs w:val="20"/>
          <w:highlight w:val="yellow"/>
        </w:rPr>
        <w:t xml:space="preserve">The variants, Asp-12 (G12D) formed a hydrogen bond in compound 2 (2.88 Å) and engaged in additional stabilizing contacts across multiple complexes.  Asp-13 (G13D) formed hydrogen bonds in compounds 7 (3.05 Å) and 10 (2.84 Å), while Arg-61 (Q61R), located in Switch II region, not that common,  participated in electrostatic and hydrogen-bond interactions depending on ligand orientation. </w:t>
      </w:r>
    </w:p>
    <w:p w14:paraId="554E74AF" w14:textId="77777777" w:rsidR="002802E5" w:rsidRDefault="002802E5">
      <w:pPr>
        <w:jc w:val="both"/>
        <w:rPr>
          <w:rFonts w:eastAsia="Calibri"/>
          <w:bCs/>
          <w:sz w:val="20"/>
          <w:szCs w:val="20"/>
          <w:highlight w:val="yellow"/>
        </w:rPr>
      </w:pPr>
    </w:p>
    <w:p w14:paraId="611935B8" w14:textId="77777777" w:rsidR="002802E5" w:rsidRDefault="002802E5">
      <w:pPr>
        <w:jc w:val="both"/>
        <w:rPr>
          <w:rFonts w:eastAsia="Calibri"/>
          <w:b/>
          <w:color w:val="0070C0"/>
          <w:sz w:val="20"/>
          <w:szCs w:val="20"/>
        </w:rPr>
      </w:pPr>
    </w:p>
    <w:p w14:paraId="602DFD30" w14:textId="77777777" w:rsidR="002802E5" w:rsidRDefault="002802E5">
      <w:pPr>
        <w:jc w:val="both"/>
        <w:rPr>
          <w:rFonts w:eastAsia="Calibri"/>
          <w:b/>
          <w:color w:val="0070C0"/>
          <w:sz w:val="20"/>
          <w:szCs w:val="20"/>
        </w:rPr>
      </w:pPr>
    </w:p>
    <w:p w14:paraId="290AF541" w14:textId="77777777" w:rsidR="002802E5" w:rsidRDefault="002802E5">
      <w:pPr>
        <w:jc w:val="both"/>
        <w:rPr>
          <w:rFonts w:eastAsia="Calibri"/>
          <w:b/>
          <w:color w:val="0070C0"/>
          <w:sz w:val="20"/>
          <w:szCs w:val="20"/>
        </w:rPr>
      </w:pPr>
    </w:p>
    <w:p w14:paraId="44134FED" w14:textId="5F570941" w:rsidR="002802E5" w:rsidRDefault="002802E5">
      <w:pPr>
        <w:jc w:val="both"/>
        <w:rPr>
          <w:rFonts w:eastAsia="Calibri"/>
          <w:b/>
          <w:color w:val="0070C0"/>
          <w:sz w:val="20"/>
          <w:szCs w:val="20"/>
        </w:rPr>
      </w:pPr>
      <w:r w:rsidRPr="002802E5">
        <w:rPr>
          <w:rFonts w:eastAsia="Calibri"/>
          <w:b/>
          <w:color w:val="0070C0"/>
          <w:sz w:val="20"/>
          <w:szCs w:val="20"/>
        </w:rPr>
        <w:t>3.3.2 Lead Compound Identification</w:t>
      </w:r>
    </w:p>
    <w:p w14:paraId="36C2762A" w14:textId="77777777" w:rsidR="002802E5" w:rsidRPr="002802E5" w:rsidRDefault="002802E5">
      <w:pPr>
        <w:jc w:val="both"/>
        <w:rPr>
          <w:rFonts w:eastAsia="Calibri"/>
          <w:b/>
          <w:color w:val="0070C0"/>
          <w:sz w:val="20"/>
          <w:szCs w:val="20"/>
        </w:rPr>
      </w:pPr>
    </w:p>
    <w:p w14:paraId="7089C5BC" w14:textId="123AAE10" w:rsidR="004631AB" w:rsidRPr="003C3DB7" w:rsidRDefault="00A25553">
      <w:pPr>
        <w:jc w:val="both"/>
        <w:rPr>
          <w:rFonts w:eastAsia="Calibri"/>
          <w:bCs/>
          <w:sz w:val="20"/>
          <w:szCs w:val="20"/>
          <w:lang w:val="en-US"/>
        </w:rPr>
        <w:sectPr w:rsidR="004631AB" w:rsidRPr="003C3DB7">
          <w:type w:val="continuous"/>
          <w:pgSz w:w="11907" w:h="16839"/>
          <w:pgMar w:top="1701" w:right="1134" w:bottom="1701" w:left="1134" w:header="706" w:footer="706" w:gutter="0"/>
          <w:pgNumType w:start="125"/>
          <w:cols w:num="2" w:space="567"/>
          <w:docGrid w:linePitch="360"/>
        </w:sectPr>
      </w:pPr>
      <w:r w:rsidRPr="00A25553">
        <w:rPr>
          <w:rFonts w:eastAsia="Calibri"/>
          <w:bCs/>
          <w:sz w:val="20"/>
          <w:szCs w:val="20"/>
          <w:highlight w:val="yellow"/>
        </w:rPr>
        <w:t>Among the eleven shortlisted compounds,  ZINC02096813, ZINC02120343, and ZINC00518885 consistently demonstrate</w:t>
      </w:r>
      <w:r w:rsidR="00E156B7">
        <w:rPr>
          <w:rFonts w:eastAsia="Calibri"/>
          <w:bCs/>
          <w:sz w:val="20"/>
          <w:szCs w:val="20"/>
          <w:highlight w:val="yellow"/>
        </w:rPr>
        <w:t>d</w:t>
      </w:r>
      <w:r w:rsidRPr="00A25553">
        <w:rPr>
          <w:rFonts w:eastAsia="Calibri"/>
          <w:bCs/>
          <w:sz w:val="20"/>
          <w:szCs w:val="20"/>
          <w:highlight w:val="yellow"/>
        </w:rPr>
        <w:t xml:space="preserve"> strong binding affinities. These compounds simultaneously interact with catalytic stabilisers (Tyr-32, Phe-28, Asp-119)  and mutant residues (Asp-12, Asp-13, or Arg-61), forming complementary networks of hydrogen bonds and hydrophobic contacts</w:t>
      </w:r>
      <w:r w:rsidR="00C85900">
        <w:rPr>
          <w:rFonts w:eastAsia="Calibri"/>
          <w:bCs/>
          <w:sz w:val="20"/>
          <w:szCs w:val="20"/>
          <w:highlight w:val="yellow"/>
        </w:rPr>
        <w:t>, this</w:t>
      </w:r>
      <w:r w:rsidRPr="00A25553">
        <w:rPr>
          <w:rFonts w:eastAsia="Calibri"/>
          <w:bCs/>
          <w:sz w:val="20"/>
          <w:szCs w:val="20"/>
          <w:highlight w:val="yellow"/>
        </w:rPr>
        <w:t xml:space="preserve"> anchoring likely enhances binding stability</w:t>
      </w:r>
      <w:r w:rsidRPr="00A25553">
        <w:rPr>
          <w:rFonts w:eastAsia="Calibri"/>
          <w:bCs/>
          <w:sz w:val="20"/>
          <w:szCs w:val="20"/>
        </w:rPr>
        <w:t>.</w:t>
      </w:r>
      <w:r>
        <w:rPr>
          <w:rFonts w:eastAsia="Calibri"/>
          <w:bCs/>
          <w:sz w:val="20"/>
          <w:szCs w:val="20"/>
        </w:rPr>
        <w:t xml:space="preserve"> </w:t>
      </w:r>
      <w:r w:rsidR="00000000">
        <w:rPr>
          <w:rFonts w:eastAsia="Calibri"/>
          <w:bCs/>
          <w:sz w:val="20"/>
          <w:szCs w:val="20"/>
        </w:rPr>
        <w:t xml:space="preserve">This dual engagement of hydrogen bonds with mutant residues alongside hydrophobic contacts with conserved structural </w:t>
      </w:r>
      <w:r w:rsidR="002802E5">
        <w:rPr>
          <w:rFonts w:eastAsia="Calibri"/>
          <w:bCs/>
          <w:sz w:val="20"/>
          <w:szCs w:val="20"/>
        </w:rPr>
        <w:t>stabilisers</w:t>
      </w:r>
      <w:r w:rsidR="00000000">
        <w:rPr>
          <w:rFonts w:eastAsia="Calibri"/>
          <w:bCs/>
          <w:sz w:val="20"/>
          <w:szCs w:val="20"/>
        </w:rPr>
        <w:t xml:space="preserve"> suggests enhanced stability and specificity of binding. These compounds therefore represent the most promising leads </w:t>
      </w:r>
      <w:r w:rsidR="00000000">
        <w:rPr>
          <w:rFonts w:eastAsia="Calibri"/>
          <w:bCs/>
          <w:sz w:val="20"/>
          <w:szCs w:val="20"/>
        </w:rPr>
        <w:lastRenderedPageBreak/>
        <w:t>for further optimization and in vitro testing against NRAS-driven melanoma.</w:t>
      </w:r>
      <w:r w:rsidR="00D05080">
        <w:rPr>
          <w:rFonts w:eastAsia="Calibri"/>
          <w:bCs/>
          <w:sz w:val="20"/>
          <w:szCs w:val="20"/>
          <w:lang w:val="en-US"/>
        </w:rPr>
        <w:t xml:space="preserve"> </w:t>
      </w:r>
      <w:r w:rsidR="00000000">
        <w:rPr>
          <w:rFonts w:eastAsia="Calibri"/>
          <w:bCs/>
          <w:sz w:val="20"/>
          <w:szCs w:val="20"/>
        </w:rPr>
        <w:t>Collectively, these observations suggest that gain-of-function mutations in NRAS do more than alter intrinsic catalytic properties</w:t>
      </w:r>
      <w:r w:rsidR="00C85900">
        <w:rPr>
          <w:rFonts w:eastAsia="Calibri"/>
          <w:bCs/>
          <w:sz w:val="20"/>
          <w:szCs w:val="20"/>
        </w:rPr>
        <w:t>,</w:t>
      </w:r>
      <w:r w:rsidR="00000000">
        <w:rPr>
          <w:rFonts w:eastAsia="Calibri"/>
          <w:bCs/>
          <w:sz w:val="20"/>
          <w:szCs w:val="20"/>
        </w:rPr>
        <w:t xml:space="preserve"> they actively reshape the protein’s binding pocket, creating new </w:t>
      </w:r>
      <w:r w:rsidR="00C85900">
        <w:rPr>
          <w:rFonts w:eastAsia="Calibri"/>
          <w:bCs/>
          <w:sz w:val="20"/>
          <w:szCs w:val="20"/>
        </w:rPr>
        <w:t>places</w:t>
      </w:r>
      <w:r w:rsidR="00000000">
        <w:rPr>
          <w:rFonts w:eastAsia="Calibri"/>
          <w:bCs/>
          <w:sz w:val="20"/>
          <w:szCs w:val="20"/>
        </w:rPr>
        <w:t xml:space="preserve"> for ligand engagement that are absent in the wild-type context. </w:t>
      </w:r>
      <w:r w:rsidR="00000000" w:rsidRPr="00690114">
        <w:rPr>
          <w:rFonts w:eastAsia="Calibri"/>
          <w:bCs/>
          <w:sz w:val="20"/>
          <w:szCs w:val="20"/>
          <w:highlight w:val="yellow"/>
        </w:rPr>
        <w:t xml:space="preserve">This synergy of interactions </w:t>
      </w:r>
      <w:r w:rsidR="00000000" w:rsidRPr="00690114">
        <w:rPr>
          <w:rFonts w:eastAsia="Calibri"/>
          <w:bCs/>
          <w:sz w:val="20"/>
          <w:szCs w:val="20"/>
          <w:highlight w:val="yellow"/>
        </w:rPr>
        <w:t xml:space="preserve">enhances both the stability and specificity of binding, </w:t>
      </w:r>
      <w:r w:rsidR="00690114" w:rsidRPr="00690114">
        <w:rPr>
          <w:rFonts w:eastAsia="Calibri"/>
          <w:bCs/>
          <w:sz w:val="20"/>
          <w:szCs w:val="20"/>
          <w:highlight w:val="yellow"/>
        </w:rPr>
        <w:t>suggesting potential for mutation-biased binding that warrants further experimental validation</w:t>
      </w:r>
      <w:r w:rsidR="00690114">
        <w:rPr>
          <w:rFonts w:eastAsia="Calibri"/>
          <w:bCs/>
          <w:sz w:val="20"/>
          <w:szCs w:val="20"/>
        </w:rPr>
        <w:t xml:space="preserve">. </w:t>
      </w:r>
      <w:r w:rsidR="00000000">
        <w:rPr>
          <w:rFonts w:eastAsia="Calibri"/>
          <w:bCs/>
          <w:sz w:val="20"/>
          <w:szCs w:val="20"/>
        </w:rPr>
        <w:t>Taken together, these results underscore the value of targeting both conserved and mutant-specific interactions for inhibitor design. Their unique binding profiles suggest they may exploit structural features distinctive to mutant NRAS</w:t>
      </w:r>
      <w:r w:rsidR="00690114">
        <w:rPr>
          <w:rFonts w:eastAsia="Calibri"/>
          <w:bCs/>
          <w:sz w:val="20"/>
          <w:szCs w:val="20"/>
        </w:rPr>
        <w:t>.</w:t>
      </w:r>
    </w:p>
    <w:p w14:paraId="7073AAEA" w14:textId="4694654E" w:rsidR="004631AB" w:rsidRDefault="004631AB">
      <w:pPr>
        <w:jc w:val="both"/>
        <w:rPr>
          <w:rFonts w:eastAsia="Calibri"/>
          <w:bCs/>
          <w:sz w:val="20"/>
          <w:szCs w:val="20"/>
        </w:rPr>
      </w:pPr>
    </w:p>
    <w:p w14:paraId="2070C952" w14:textId="77777777" w:rsidR="004631AB" w:rsidRDefault="00000000">
      <w:pPr>
        <w:jc w:val="center"/>
      </w:pPr>
      <w:r>
        <w:rPr>
          <w:noProof/>
        </w:rPr>
        <w:drawing>
          <wp:inline distT="0" distB="0" distL="114300" distR="114300" wp14:anchorId="2EF880C9" wp14:editId="0E716682">
            <wp:extent cx="1306195" cy="1619885"/>
            <wp:effectExtent l="19050" t="19050" r="27305" b="18415"/>
            <wp:docPr id="7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jpe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t xml:space="preserve">  </w:t>
      </w:r>
      <w:r>
        <w:rPr>
          <w:noProof/>
        </w:rPr>
        <w:drawing>
          <wp:inline distT="0" distB="0" distL="114300" distR="114300" wp14:anchorId="2F763848" wp14:editId="6559FEB1">
            <wp:extent cx="1266825" cy="1619885"/>
            <wp:effectExtent l="19050" t="19050" r="28575" b="18415"/>
            <wp:docPr id="7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jpe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7200" cy="1620000"/>
                    </a:xfrm>
                    <a:prstGeom prst="rect">
                      <a:avLst/>
                    </a:prstGeom>
                    <a:ln>
                      <a:solidFill>
                        <a:schemeClr val="bg1">
                          <a:lumMod val="65000"/>
                        </a:schemeClr>
                      </a:solidFill>
                    </a:ln>
                  </pic:spPr>
                </pic:pic>
              </a:graphicData>
            </a:graphic>
          </wp:inline>
        </w:drawing>
      </w:r>
      <w:r>
        <w:t xml:space="preserve">  </w:t>
      </w:r>
      <w:r>
        <w:rPr>
          <w:noProof/>
        </w:rPr>
        <w:drawing>
          <wp:inline distT="0" distB="0" distL="114300" distR="114300" wp14:anchorId="488CB2A7" wp14:editId="58AE8F27">
            <wp:extent cx="1310005" cy="1619885"/>
            <wp:effectExtent l="19050" t="19050" r="23495" b="18415"/>
            <wp:docPr id="7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jpe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t xml:space="preserve">  </w:t>
      </w:r>
      <w:r>
        <w:rPr>
          <w:noProof/>
        </w:rPr>
        <w:drawing>
          <wp:inline distT="0" distB="0" distL="114300" distR="114300" wp14:anchorId="3BB6A6E1" wp14:editId="692CEC2A">
            <wp:extent cx="1292225" cy="1619885"/>
            <wp:effectExtent l="19050" t="19050" r="22225" b="18415"/>
            <wp:docPr id="8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jpeg"/>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2400" cy="1620000"/>
                    </a:xfrm>
                    <a:prstGeom prst="rect">
                      <a:avLst/>
                    </a:prstGeom>
                    <a:ln>
                      <a:solidFill>
                        <a:schemeClr val="bg1">
                          <a:lumMod val="65000"/>
                        </a:schemeClr>
                      </a:solidFill>
                    </a:ln>
                  </pic:spPr>
                </pic:pic>
              </a:graphicData>
            </a:graphic>
          </wp:inline>
        </w:drawing>
      </w:r>
    </w:p>
    <w:p w14:paraId="21E82170" w14:textId="77777777" w:rsidR="004631AB" w:rsidRDefault="00000000">
      <w:pPr>
        <w:jc w:val="center"/>
        <w:rPr>
          <w:rFonts w:eastAsia="Segoe UI"/>
          <w:spacing w:val="1"/>
          <w:sz w:val="20"/>
          <w:szCs w:val="20"/>
        </w:rPr>
      </w:pPr>
      <w:r>
        <w:rPr>
          <w:rFonts w:eastAsia="Segoe UI"/>
          <w:spacing w:val="1"/>
          <w:sz w:val="20"/>
          <w:szCs w:val="20"/>
        </w:rPr>
        <w:t>(</w:t>
      </w:r>
      <w:r>
        <w:rPr>
          <w:sz w:val="20"/>
          <w:szCs w:val="20"/>
        </w:rPr>
        <w:t>ZINC02107288</w:t>
      </w:r>
      <w:r>
        <w:rPr>
          <w:rFonts w:eastAsia="Segoe UI"/>
          <w:spacing w:val="1"/>
          <w:sz w:val="20"/>
          <w:szCs w:val="20"/>
        </w:rPr>
        <w:t>)                  (</w:t>
      </w:r>
      <w:r>
        <w:rPr>
          <w:sz w:val="20"/>
          <w:szCs w:val="20"/>
        </w:rPr>
        <w:t>ZINC02096813</w:t>
      </w:r>
      <w:r>
        <w:rPr>
          <w:rFonts w:eastAsia="Segoe UI"/>
          <w:spacing w:val="1"/>
          <w:sz w:val="20"/>
          <w:szCs w:val="20"/>
        </w:rPr>
        <w:t>)                 (</w:t>
      </w:r>
      <w:r>
        <w:rPr>
          <w:sz w:val="20"/>
          <w:szCs w:val="20"/>
        </w:rPr>
        <w:t>ZINC02096815</w:t>
      </w:r>
      <w:r>
        <w:rPr>
          <w:rFonts w:eastAsia="Segoe UI"/>
          <w:spacing w:val="1"/>
          <w:sz w:val="20"/>
          <w:szCs w:val="20"/>
        </w:rPr>
        <w:t>)              (</w:t>
      </w:r>
      <w:r>
        <w:rPr>
          <w:sz w:val="20"/>
          <w:szCs w:val="20"/>
        </w:rPr>
        <w:t>ZINC02114326</w:t>
      </w:r>
      <w:r>
        <w:rPr>
          <w:rFonts w:eastAsia="Segoe UI"/>
          <w:spacing w:val="1"/>
          <w:sz w:val="20"/>
          <w:szCs w:val="20"/>
        </w:rPr>
        <w:t>)</w:t>
      </w:r>
    </w:p>
    <w:p w14:paraId="61578693" w14:textId="77777777" w:rsidR="004631AB" w:rsidRDefault="004631AB">
      <w:pPr>
        <w:jc w:val="center"/>
      </w:pPr>
    </w:p>
    <w:p w14:paraId="75D29AC7" w14:textId="77777777" w:rsidR="004631AB" w:rsidRDefault="00000000">
      <w:pPr>
        <w:jc w:val="center"/>
      </w:pPr>
      <w:r>
        <w:rPr>
          <w:noProof/>
        </w:rPr>
        <w:drawing>
          <wp:inline distT="0" distB="0" distL="114300" distR="114300" wp14:anchorId="7B6CECB5" wp14:editId="1CC1D9B6">
            <wp:extent cx="1310005" cy="1619885"/>
            <wp:effectExtent l="19050" t="19050" r="23495" b="18415"/>
            <wp:docPr id="8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jpeg"/>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t xml:space="preserve">  </w:t>
      </w:r>
      <w:r>
        <w:rPr>
          <w:noProof/>
        </w:rPr>
        <w:drawing>
          <wp:inline distT="0" distB="0" distL="114300" distR="114300" wp14:anchorId="53C9DBA1" wp14:editId="01FB9864">
            <wp:extent cx="1324610" cy="1619885"/>
            <wp:effectExtent l="19050" t="19050" r="27940" b="18415"/>
            <wp:docPr id="8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jpeg"/>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324800" cy="1620000"/>
                    </a:xfrm>
                    <a:prstGeom prst="rect">
                      <a:avLst/>
                    </a:prstGeom>
                    <a:ln>
                      <a:solidFill>
                        <a:schemeClr val="bg1">
                          <a:lumMod val="65000"/>
                        </a:schemeClr>
                      </a:solidFill>
                    </a:ln>
                  </pic:spPr>
                </pic:pic>
              </a:graphicData>
            </a:graphic>
          </wp:inline>
        </w:drawing>
      </w:r>
      <w:r>
        <w:t xml:space="preserve">  </w:t>
      </w:r>
      <w:r>
        <w:rPr>
          <w:noProof/>
        </w:rPr>
        <w:drawing>
          <wp:inline distT="0" distB="0" distL="114300" distR="114300" wp14:anchorId="2C11F332" wp14:editId="47AB87DA">
            <wp:extent cx="1306195" cy="1619885"/>
            <wp:effectExtent l="19050" t="19050" r="27305" b="18415"/>
            <wp:docPr id="8"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jpeg"/>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r>
        <w:t xml:space="preserve">  </w:t>
      </w:r>
      <w:r>
        <w:rPr>
          <w:noProof/>
        </w:rPr>
        <w:drawing>
          <wp:inline distT="0" distB="0" distL="114300" distR="114300" wp14:anchorId="1A879A01" wp14:editId="5F2BC9BD">
            <wp:extent cx="1241425" cy="1619885"/>
            <wp:effectExtent l="19050" t="19050" r="15875" b="18415"/>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42000" cy="1620000"/>
                    </a:xfrm>
                    <a:prstGeom prst="rect">
                      <a:avLst/>
                    </a:prstGeom>
                    <a:ln>
                      <a:solidFill>
                        <a:schemeClr val="bg1">
                          <a:lumMod val="65000"/>
                        </a:schemeClr>
                      </a:solidFill>
                    </a:ln>
                  </pic:spPr>
                </pic:pic>
              </a:graphicData>
            </a:graphic>
          </wp:inline>
        </w:drawing>
      </w:r>
    </w:p>
    <w:p w14:paraId="2B88BB48" w14:textId="77777777" w:rsidR="004631AB" w:rsidRDefault="00000000">
      <w:pPr>
        <w:jc w:val="center"/>
      </w:pPr>
      <w:r>
        <w:rPr>
          <w:rFonts w:eastAsia="Segoe UI"/>
          <w:spacing w:val="1"/>
          <w:sz w:val="20"/>
          <w:szCs w:val="20"/>
        </w:rPr>
        <w:t>(</w:t>
      </w:r>
      <w:r>
        <w:rPr>
          <w:sz w:val="20"/>
          <w:szCs w:val="20"/>
        </w:rPr>
        <w:t>ZINC01020381</w:t>
      </w:r>
      <w:r>
        <w:rPr>
          <w:rFonts w:eastAsia="Segoe UI"/>
          <w:spacing w:val="1"/>
          <w:sz w:val="20"/>
          <w:szCs w:val="20"/>
        </w:rPr>
        <w:t>)                (</w:t>
      </w:r>
      <w:r>
        <w:rPr>
          <w:sz w:val="20"/>
          <w:szCs w:val="20"/>
        </w:rPr>
        <w:t>ZINC06167356</w:t>
      </w:r>
      <w:r>
        <w:rPr>
          <w:rFonts w:eastAsia="Segoe UI"/>
          <w:spacing w:val="1"/>
          <w:sz w:val="20"/>
          <w:szCs w:val="20"/>
        </w:rPr>
        <w:t>)                  (</w:t>
      </w:r>
      <w:r>
        <w:rPr>
          <w:sz w:val="20"/>
          <w:szCs w:val="20"/>
        </w:rPr>
        <w:t>ZINC02120343</w:t>
      </w:r>
      <w:r>
        <w:rPr>
          <w:rFonts w:eastAsia="Segoe UI"/>
          <w:spacing w:val="1"/>
          <w:sz w:val="20"/>
          <w:szCs w:val="20"/>
        </w:rPr>
        <w:t>)               (</w:t>
      </w:r>
      <w:r>
        <w:rPr>
          <w:sz w:val="20"/>
          <w:szCs w:val="20"/>
        </w:rPr>
        <w:t>ZINC02102162</w:t>
      </w:r>
      <w:r>
        <w:rPr>
          <w:rFonts w:eastAsia="Segoe UI"/>
          <w:spacing w:val="1"/>
          <w:sz w:val="20"/>
          <w:szCs w:val="20"/>
        </w:rPr>
        <w:t>)</w:t>
      </w:r>
    </w:p>
    <w:p w14:paraId="37857DB7" w14:textId="77777777" w:rsidR="004631AB" w:rsidRDefault="004631AB">
      <w:pPr>
        <w:jc w:val="center"/>
      </w:pPr>
    </w:p>
    <w:p w14:paraId="1734B70A" w14:textId="77777777" w:rsidR="004631AB" w:rsidRDefault="00000000">
      <w:pPr>
        <w:jc w:val="center"/>
      </w:pPr>
      <w:r>
        <w:rPr>
          <w:noProof/>
        </w:rPr>
        <w:drawing>
          <wp:inline distT="0" distB="0" distL="114300" distR="114300" wp14:anchorId="2DE74C66" wp14:editId="1D6ABEBF">
            <wp:extent cx="1288415" cy="1619885"/>
            <wp:effectExtent l="19050" t="19050" r="26035" b="18415"/>
            <wp:docPr id="10"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jpeg"/>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88800" cy="1620000"/>
                    </a:xfrm>
                    <a:prstGeom prst="rect">
                      <a:avLst/>
                    </a:prstGeom>
                    <a:ln>
                      <a:solidFill>
                        <a:schemeClr val="bg1">
                          <a:lumMod val="65000"/>
                        </a:schemeClr>
                      </a:solidFill>
                    </a:ln>
                  </pic:spPr>
                </pic:pic>
              </a:graphicData>
            </a:graphic>
          </wp:inline>
        </w:drawing>
      </w:r>
      <w:r>
        <w:t xml:space="preserve">  </w:t>
      </w:r>
      <w:r>
        <w:rPr>
          <w:noProof/>
        </w:rPr>
        <w:drawing>
          <wp:inline distT="0" distB="0" distL="114300" distR="114300" wp14:anchorId="23246920" wp14:editId="46E1ABE5">
            <wp:extent cx="1310005" cy="1619885"/>
            <wp:effectExtent l="19050" t="19050" r="23495" b="18415"/>
            <wp:docPr id="12"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10400" cy="1620000"/>
                    </a:xfrm>
                    <a:prstGeom prst="rect">
                      <a:avLst/>
                    </a:prstGeom>
                    <a:ln>
                      <a:solidFill>
                        <a:schemeClr val="bg1">
                          <a:lumMod val="65000"/>
                        </a:schemeClr>
                      </a:solidFill>
                    </a:ln>
                  </pic:spPr>
                </pic:pic>
              </a:graphicData>
            </a:graphic>
          </wp:inline>
        </w:drawing>
      </w:r>
      <w:r>
        <w:t xml:space="preserve">  </w:t>
      </w:r>
      <w:r>
        <w:rPr>
          <w:noProof/>
        </w:rPr>
        <w:drawing>
          <wp:inline distT="0" distB="0" distL="114300" distR="114300" wp14:anchorId="5A8C3DAA" wp14:editId="51269BEB">
            <wp:extent cx="1306195" cy="1619885"/>
            <wp:effectExtent l="19050" t="19050" r="27305" b="18415"/>
            <wp:docPr id="1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jpeg"/>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06800" cy="1620000"/>
                    </a:xfrm>
                    <a:prstGeom prst="rect">
                      <a:avLst/>
                    </a:prstGeom>
                    <a:ln>
                      <a:solidFill>
                        <a:schemeClr val="bg1">
                          <a:lumMod val="65000"/>
                        </a:schemeClr>
                      </a:solidFill>
                    </a:ln>
                  </pic:spPr>
                </pic:pic>
              </a:graphicData>
            </a:graphic>
          </wp:inline>
        </w:drawing>
      </w:r>
    </w:p>
    <w:p w14:paraId="5C5EC124" w14:textId="77777777" w:rsidR="004631AB" w:rsidRDefault="00000000">
      <w:pPr>
        <w:jc w:val="center"/>
        <w:sectPr w:rsidR="004631AB">
          <w:type w:val="continuous"/>
          <w:pgSz w:w="11907" w:h="16839"/>
          <w:pgMar w:top="1701" w:right="1134" w:bottom="1701" w:left="1134" w:header="706" w:footer="706" w:gutter="0"/>
          <w:pgNumType w:start="125"/>
          <w:cols w:space="567"/>
          <w:docGrid w:linePitch="360"/>
        </w:sectPr>
      </w:pPr>
      <w:r>
        <w:rPr>
          <w:rFonts w:eastAsia="Segoe UI"/>
          <w:spacing w:val="1"/>
          <w:sz w:val="20"/>
          <w:szCs w:val="20"/>
        </w:rPr>
        <w:t>(</w:t>
      </w:r>
      <w:r>
        <w:rPr>
          <w:sz w:val="20"/>
          <w:szCs w:val="20"/>
        </w:rPr>
        <w:t>ZINC02114643</w:t>
      </w:r>
      <w:r>
        <w:rPr>
          <w:rFonts w:eastAsia="Segoe UI"/>
          <w:spacing w:val="1"/>
          <w:sz w:val="20"/>
          <w:szCs w:val="20"/>
        </w:rPr>
        <w:t>)                 (</w:t>
      </w:r>
      <w:r>
        <w:rPr>
          <w:sz w:val="20"/>
          <w:szCs w:val="20"/>
        </w:rPr>
        <w:t>ZINC00518885</w:t>
      </w:r>
      <w:r>
        <w:rPr>
          <w:rFonts w:eastAsia="Segoe UI"/>
          <w:spacing w:val="1"/>
          <w:sz w:val="20"/>
          <w:szCs w:val="20"/>
        </w:rPr>
        <w:t>)                 (</w:t>
      </w:r>
      <w:r>
        <w:rPr>
          <w:sz w:val="20"/>
          <w:szCs w:val="20"/>
        </w:rPr>
        <w:t>ZINC03882094</w:t>
      </w:r>
      <w:r>
        <w:rPr>
          <w:rFonts w:eastAsia="Segoe UI"/>
          <w:spacing w:val="1"/>
          <w:sz w:val="20"/>
          <w:szCs w:val="20"/>
        </w:rPr>
        <w:t>)</w:t>
      </w:r>
    </w:p>
    <w:p w14:paraId="3A2458FF" w14:textId="77777777" w:rsidR="004631AB" w:rsidRDefault="004631AB">
      <w:pPr>
        <w:jc w:val="both"/>
        <w:rPr>
          <w:b/>
          <w:bCs/>
          <w:color w:val="5B9BD5" w:themeColor="accent5"/>
          <w:sz w:val="20"/>
          <w:szCs w:val="20"/>
        </w:rPr>
      </w:pPr>
    </w:p>
    <w:p w14:paraId="32D815A7" w14:textId="62F27354" w:rsidR="004631AB" w:rsidRDefault="00000000">
      <w:pPr>
        <w:jc w:val="both"/>
        <w:rPr>
          <w:sz w:val="20"/>
          <w:szCs w:val="20"/>
        </w:rPr>
      </w:pPr>
      <w:r>
        <w:rPr>
          <w:b/>
          <w:bCs/>
          <w:color w:val="0070C0"/>
          <w:sz w:val="20"/>
          <w:szCs w:val="20"/>
        </w:rPr>
        <w:t>Figure 2</w:t>
      </w:r>
      <w:r>
        <w:rPr>
          <w:color w:val="0070C0"/>
          <w:sz w:val="20"/>
          <w:szCs w:val="20"/>
        </w:rPr>
        <w:t>.</w:t>
      </w:r>
      <w:r>
        <w:rPr>
          <w:sz w:val="20"/>
          <w:szCs w:val="20"/>
        </w:rPr>
        <w:t xml:space="preserve"> </w:t>
      </w:r>
      <w:r w:rsidR="00D500E0">
        <w:rPr>
          <w:sz w:val="20"/>
          <w:szCs w:val="20"/>
        </w:rPr>
        <w:t>T</w:t>
      </w:r>
      <w:r w:rsidR="00D500E0" w:rsidRPr="00D500E0">
        <w:rPr>
          <w:sz w:val="20"/>
          <w:szCs w:val="20"/>
        </w:rPr>
        <w:t>wo-dimensional interaction diagrams of the top eleven NRAS</w:t>
      </w:r>
      <w:r w:rsidR="00D500E0">
        <w:rPr>
          <w:sz w:val="20"/>
          <w:szCs w:val="20"/>
        </w:rPr>
        <w:t xml:space="preserve"> </w:t>
      </w:r>
      <w:r w:rsidR="00D500E0" w:rsidRPr="00D500E0">
        <w:rPr>
          <w:sz w:val="20"/>
          <w:szCs w:val="20"/>
        </w:rPr>
        <w:t>ligand complexes generated using LigPlot+. Hydrogen bonds are represented as dashed green lines, while hydrophobic contacts are illustrated as red semicircular arcs. The diagrams highlight conserved and mutant residue interactions within the nucleotide-binding pocket, demonstrating consistent engagement of P-loop and switch-region residues across the highest-ranked ZINC compounds.</w:t>
      </w:r>
    </w:p>
    <w:p w14:paraId="7FFDCAAC" w14:textId="77777777" w:rsidR="004631AB" w:rsidRDefault="004631AB">
      <w:pPr>
        <w:jc w:val="both"/>
        <w:rPr>
          <w:sz w:val="20"/>
          <w:szCs w:val="20"/>
        </w:rPr>
      </w:pPr>
    </w:p>
    <w:p w14:paraId="26C36749" w14:textId="77777777" w:rsidR="0026161A" w:rsidRDefault="0026161A">
      <w:pPr>
        <w:jc w:val="both"/>
        <w:rPr>
          <w:sz w:val="20"/>
          <w:szCs w:val="20"/>
        </w:rPr>
        <w:sectPr w:rsidR="0026161A">
          <w:type w:val="continuous"/>
          <w:pgSz w:w="11907" w:h="16839"/>
          <w:pgMar w:top="1701" w:right="1134" w:bottom="1418" w:left="1134" w:header="709" w:footer="709" w:gutter="0"/>
          <w:pgNumType w:start="211"/>
          <w:cols w:space="567"/>
          <w:docGrid w:linePitch="360"/>
        </w:sectPr>
      </w:pPr>
    </w:p>
    <w:p w14:paraId="315E172A" w14:textId="10FDFD0E" w:rsidR="004631AB" w:rsidRPr="00C326A2" w:rsidRDefault="00C326A2" w:rsidP="0026161A">
      <w:pPr>
        <w:jc w:val="both"/>
        <w:rPr>
          <w:rFonts w:eastAsia="Segoe UI"/>
          <w:spacing w:val="1"/>
          <w:sz w:val="20"/>
          <w:szCs w:val="20"/>
          <w:lang w:val="en-IN"/>
        </w:rPr>
      </w:pPr>
      <w:r w:rsidRPr="00C326A2">
        <w:rPr>
          <w:rFonts w:eastAsia="Segoe UI"/>
          <w:spacing w:val="1"/>
          <w:sz w:val="20"/>
          <w:szCs w:val="20"/>
        </w:rPr>
        <w:t>Such mutation-dependent contacts suggest local remodeling of the binding pocket, potentially generating novel interaction opportunities.</w:t>
      </w:r>
      <w:r w:rsidR="0026161A">
        <w:rPr>
          <w:rFonts w:eastAsia="Segoe UI"/>
          <w:spacing w:val="1"/>
          <w:sz w:val="20"/>
          <w:szCs w:val="20"/>
        </w:rPr>
        <w:t xml:space="preserve"> </w:t>
      </w:r>
      <w:r w:rsidRPr="00C326A2">
        <w:rPr>
          <w:rFonts w:eastAsia="Segoe UI"/>
          <w:spacing w:val="1"/>
          <w:sz w:val="20"/>
          <w:szCs w:val="20"/>
        </w:rPr>
        <w:t xml:space="preserve">This phenomenon parallels findings in KRAS G12C targeting, where </w:t>
      </w:r>
      <w:r w:rsidRPr="00C326A2">
        <w:rPr>
          <w:rFonts w:eastAsia="Segoe UI"/>
          <w:spacing w:val="1"/>
          <w:sz w:val="20"/>
          <w:szCs w:val="20"/>
        </w:rPr>
        <w:t>mutation</w:t>
      </w:r>
      <w:r w:rsidR="00A648F9">
        <w:rPr>
          <w:rFonts w:eastAsia="Segoe UI"/>
          <w:spacing w:val="1"/>
          <w:sz w:val="20"/>
          <w:szCs w:val="20"/>
        </w:rPr>
        <w:t xml:space="preserve"> </w:t>
      </w:r>
      <w:r w:rsidRPr="00C326A2">
        <w:rPr>
          <w:rFonts w:eastAsia="Segoe UI"/>
          <w:spacing w:val="1"/>
          <w:sz w:val="20"/>
          <w:szCs w:val="20"/>
        </w:rPr>
        <w:t xml:space="preserve">specific pockets enabled selective inhibitor development [Ostrem et al., 2013]. The dual engagement of conserved catalytic stabilizers and mutation-specific </w:t>
      </w:r>
      <w:r w:rsidRPr="00C326A2">
        <w:rPr>
          <w:rFonts w:eastAsia="Segoe UI"/>
          <w:spacing w:val="1"/>
          <w:sz w:val="20"/>
          <w:szCs w:val="20"/>
        </w:rPr>
        <w:lastRenderedPageBreak/>
        <w:t>residues suggests a rational framework for designing selective NRAS inhibitors.</w:t>
      </w:r>
    </w:p>
    <w:p w14:paraId="23F569EC" w14:textId="77777777" w:rsidR="002802E5" w:rsidRDefault="002802E5">
      <w:pPr>
        <w:jc w:val="both"/>
        <w:rPr>
          <w:rFonts w:eastAsia="Calibri"/>
          <w:b/>
          <w:bCs/>
          <w:color w:val="0070C0"/>
          <w:sz w:val="20"/>
          <w:szCs w:val="20"/>
          <w:lang w:val="en-US"/>
        </w:rPr>
      </w:pPr>
    </w:p>
    <w:p w14:paraId="28FCAC2C" w14:textId="22048F2D" w:rsidR="004631AB" w:rsidRDefault="00000000">
      <w:pPr>
        <w:jc w:val="both"/>
        <w:rPr>
          <w:rFonts w:eastAsia="Calibri"/>
          <w:b/>
          <w:bCs/>
          <w:color w:val="0070C0"/>
          <w:sz w:val="20"/>
          <w:szCs w:val="20"/>
          <w:lang w:val="en-US"/>
        </w:rPr>
      </w:pPr>
      <w:r>
        <w:rPr>
          <w:rFonts w:eastAsia="Calibri"/>
          <w:b/>
          <w:bCs/>
          <w:color w:val="0070C0"/>
          <w:sz w:val="20"/>
          <w:szCs w:val="20"/>
          <w:lang w:val="en-US"/>
        </w:rPr>
        <w:t>4. DISCUSSION</w:t>
      </w:r>
    </w:p>
    <w:p w14:paraId="0065E4B0" w14:textId="77777777" w:rsidR="004631AB" w:rsidRDefault="004631AB">
      <w:pPr>
        <w:jc w:val="both"/>
        <w:rPr>
          <w:rFonts w:eastAsia="Calibri"/>
          <w:b/>
          <w:bCs/>
          <w:color w:val="0070C0"/>
          <w:sz w:val="20"/>
          <w:szCs w:val="20"/>
          <w:lang w:val="en-US"/>
        </w:rPr>
      </w:pPr>
    </w:p>
    <w:p w14:paraId="6BC2102D" w14:textId="584B24F5" w:rsidR="004631AB" w:rsidRPr="0021067D" w:rsidRDefault="00E156B7">
      <w:pPr>
        <w:jc w:val="both"/>
        <w:rPr>
          <w:rFonts w:eastAsia="Calibri"/>
          <w:sz w:val="20"/>
          <w:szCs w:val="20"/>
          <w:lang w:val="en-US"/>
        </w:rPr>
      </w:pPr>
      <w:r w:rsidRPr="00E156B7">
        <w:rPr>
          <w:rFonts w:eastAsia="Calibri"/>
          <w:sz w:val="20"/>
          <w:szCs w:val="20"/>
          <w:highlight w:val="yellow"/>
          <w:lang w:val="en-US"/>
        </w:rPr>
        <w:t xml:space="preserve">NRAS being involved in one of the most important signaling pathway called MAPK [Wellbrock &amp; </w:t>
      </w:r>
      <w:proofErr w:type="spellStart"/>
      <w:r w:rsidRPr="00E156B7">
        <w:rPr>
          <w:rFonts w:eastAsia="Calibri"/>
          <w:sz w:val="20"/>
          <w:szCs w:val="20"/>
          <w:highlight w:val="yellow"/>
          <w:lang w:val="en-US"/>
        </w:rPr>
        <w:t>Arozarena</w:t>
      </w:r>
      <w:proofErr w:type="spellEnd"/>
      <w:r w:rsidRPr="00E156B7">
        <w:rPr>
          <w:rFonts w:eastAsia="Calibri"/>
          <w:sz w:val="20"/>
          <w:szCs w:val="20"/>
          <w:highlight w:val="yellow"/>
          <w:lang w:val="en-US"/>
        </w:rPr>
        <w:t xml:space="preserve">, 2016] and despite </w:t>
      </w:r>
      <w:proofErr w:type="spellStart"/>
      <w:proofErr w:type="gramStart"/>
      <w:r w:rsidRPr="00E156B7">
        <w:rPr>
          <w:rFonts w:eastAsia="Calibri"/>
          <w:sz w:val="20"/>
          <w:szCs w:val="20"/>
          <w:highlight w:val="yellow"/>
          <w:lang w:val="en-US"/>
        </w:rPr>
        <w:t>it’s</w:t>
      </w:r>
      <w:proofErr w:type="spellEnd"/>
      <w:proofErr w:type="gramEnd"/>
      <w:r w:rsidRPr="00E156B7">
        <w:rPr>
          <w:rFonts w:eastAsia="Calibri"/>
          <w:sz w:val="20"/>
          <w:szCs w:val="20"/>
          <w:highlight w:val="yellow"/>
          <w:lang w:val="en-US"/>
        </w:rPr>
        <w:t xml:space="preserve"> clinical importance, direct pharmacological inhibition remains limited and have a lot of doors open that are yet to be explored. Current therapeutic strategies for NRAS mutant melanoma primarily rely on downstream MEK inhibition [Johnson &amp; Puzanov, 2015]. However, clinical responses to MEK inhibitors such as </w:t>
      </w:r>
      <w:proofErr w:type="spellStart"/>
      <w:r w:rsidRPr="00E156B7">
        <w:rPr>
          <w:rFonts w:eastAsia="Calibri"/>
          <w:sz w:val="20"/>
          <w:szCs w:val="20"/>
          <w:highlight w:val="yellow"/>
          <w:lang w:val="en-US"/>
        </w:rPr>
        <w:t>binimetinib</w:t>
      </w:r>
      <w:proofErr w:type="spellEnd"/>
      <w:r w:rsidRPr="00E156B7">
        <w:rPr>
          <w:rFonts w:eastAsia="Calibri"/>
          <w:sz w:val="20"/>
          <w:szCs w:val="20"/>
          <w:highlight w:val="yellow"/>
          <w:lang w:val="en-US"/>
        </w:rPr>
        <w:t xml:space="preserve"> have demonstrated modest improvements in progression free survival [</w:t>
      </w:r>
      <w:proofErr w:type="spellStart"/>
      <w:r w:rsidRPr="00E156B7">
        <w:rPr>
          <w:rFonts w:eastAsia="Calibri"/>
          <w:sz w:val="20"/>
          <w:szCs w:val="20"/>
          <w:highlight w:val="yellow"/>
          <w:lang w:val="en-US"/>
        </w:rPr>
        <w:t>Ascierto</w:t>
      </w:r>
      <w:proofErr w:type="spellEnd"/>
      <w:r w:rsidRPr="00E156B7">
        <w:rPr>
          <w:rFonts w:eastAsia="Calibri"/>
          <w:sz w:val="20"/>
          <w:szCs w:val="20"/>
          <w:highlight w:val="yellow"/>
          <w:lang w:val="en-US"/>
        </w:rPr>
        <w:t xml:space="preserve"> et al., 2013]. The structural challenges seen in RAS family proteins have historically been considered “undruggable” due to their high affinity for GTP/GDP and the absence of deep hydrophobic pockets [Cox et al., 2014; McCormick, 2015]. Direct NRAS targeting, as explored in this study, may therefore complement or enhance these approaches by addressing the root cause. Natural products account for a substantial proportion of approved anticancer drugs [Newman &amp; Cragg, 2020]. Their structural diversity and evolutionary optimization enable interactions with challenging protein surfaces [Harvey et al., 2015].</w:t>
      </w:r>
      <w:r>
        <w:rPr>
          <w:rFonts w:eastAsia="Calibri"/>
          <w:sz w:val="20"/>
          <w:szCs w:val="20"/>
          <w:lang w:val="en-US"/>
        </w:rPr>
        <w:t xml:space="preserve"> Hence, in this present work we opted a virtual screening approach of natural products. </w:t>
      </w:r>
      <w:r>
        <w:rPr>
          <w:rFonts w:eastAsia="Calibri"/>
          <w:sz w:val="20"/>
          <w:szCs w:val="20"/>
          <w:lang w:val="en-US"/>
        </w:rPr>
        <w:t xml:space="preserve">Our results suggest that natural compounds, with diverse scaffolds and biocompatibility, may offer new chemical starting points to </w:t>
      </w:r>
      <w:r w:rsidR="0021067D">
        <w:rPr>
          <w:rFonts w:eastAsia="Calibri"/>
          <w:sz w:val="20"/>
          <w:szCs w:val="20"/>
          <w:lang w:val="en-US"/>
        </w:rPr>
        <w:t xml:space="preserve">a </w:t>
      </w:r>
      <w:proofErr w:type="spellStart"/>
      <w:r w:rsidR="0021067D">
        <w:rPr>
          <w:rFonts w:eastAsia="Calibri"/>
          <w:sz w:val="20"/>
          <w:szCs w:val="20"/>
          <w:lang w:val="en-US"/>
        </w:rPr>
        <w:t>stragetic</w:t>
      </w:r>
      <w:proofErr w:type="spellEnd"/>
      <w:r w:rsidR="0021067D">
        <w:rPr>
          <w:rFonts w:eastAsia="Calibri"/>
          <w:sz w:val="20"/>
          <w:szCs w:val="20"/>
          <w:lang w:val="en-US"/>
        </w:rPr>
        <w:t xml:space="preserve"> target in finding novel inhibitors for mutant NRAS. </w:t>
      </w:r>
      <w:r w:rsidR="0021067D">
        <w:rPr>
          <w:rFonts w:eastAsia="Calibri"/>
          <w:sz w:val="20"/>
          <w:szCs w:val="20"/>
          <w:lang w:val="en-US"/>
        </w:rPr>
        <w:t>Our analysis highlights the importance of conserved residues, which are known to stabilize switch I/II regions and coordinate nucleotide binding. The observation that these residues consistently contributed to ligand stabilization agrees with prior crystal and biochemical studies on RAS proteins. Importantly, the results also suggest that mutant residues introduced at positions 12 and 13 can directly establish novel ligand interactions, particularly through hydrogen bonding, thereby providing unique opportunities for inhibitor design</w:t>
      </w:r>
      <w:r w:rsidR="0021067D">
        <w:rPr>
          <w:rFonts w:eastAsia="Calibri"/>
          <w:sz w:val="20"/>
          <w:szCs w:val="20"/>
          <w:lang w:val="en-US"/>
        </w:rPr>
        <w:t xml:space="preserve">. </w:t>
      </w:r>
      <w:r w:rsidR="0021067D">
        <w:rPr>
          <w:rFonts w:eastAsia="Calibri"/>
          <w:sz w:val="20"/>
          <w:szCs w:val="20"/>
          <w:lang w:val="en-US"/>
        </w:rPr>
        <w:t xml:space="preserve">This dual engagement of conserved stabilizers and mutation-induced pockets may form a rational design principle for NRAS inhibition. </w:t>
      </w:r>
      <w:r w:rsidRPr="00E156B7">
        <w:rPr>
          <w:rFonts w:eastAsia="Calibri"/>
          <w:sz w:val="20"/>
          <w:szCs w:val="20"/>
          <w:highlight w:val="yellow"/>
        </w:rPr>
        <w:t>Nonetheless, the findings presented here are limited by their computational nature. Docking captures a static snapshot of protein–ligand interactions and does not fully address conformational flexibility. [Kitchen et al., 2004]. Future studies incorporating molecular dynamics simulations, free energy calculations  would strengthen our understanding of the structural details and energetics of the system that can further enhance the binding predictions [Ferreira et al., 2015]. Later Experimental validation through biochemical assays and melanoma cell models will be necessary to validate our predictions</w:t>
      </w:r>
      <w:r w:rsidRPr="00E156B7">
        <w:rPr>
          <w:rFonts w:eastAsia="Calibri"/>
          <w:sz w:val="20"/>
          <w:szCs w:val="20"/>
        </w:rPr>
        <w:t>.</w:t>
      </w:r>
    </w:p>
    <w:p w14:paraId="3A5478F8" w14:textId="77777777" w:rsidR="00E156B7" w:rsidRPr="00E156B7" w:rsidRDefault="00E156B7">
      <w:pPr>
        <w:jc w:val="both"/>
        <w:rPr>
          <w:rFonts w:eastAsia="Calibri"/>
          <w:sz w:val="20"/>
          <w:szCs w:val="20"/>
        </w:rPr>
      </w:pPr>
    </w:p>
    <w:p w14:paraId="04AB0FE6" w14:textId="77777777" w:rsidR="0021067D" w:rsidRDefault="0021067D">
      <w:pPr>
        <w:jc w:val="both"/>
        <w:rPr>
          <w:rFonts w:eastAsia="Calibri"/>
          <w:b/>
          <w:bCs/>
          <w:color w:val="0070C0"/>
          <w:sz w:val="20"/>
          <w:szCs w:val="20"/>
          <w:lang w:val="en-US"/>
        </w:rPr>
      </w:pPr>
    </w:p>
    <w:p w14:paraId="0EF38ACF" w14:textId="55D5C31D" w:rsidR="004631AB" w:rsidRDefault="00000000">
      <w:pPr>
        <w:jc w:val="both"/>
        <w:rPr>
          <w:rFonts w:eastAsia="Calibri"/>
          <w:color w:val="0070C0"/>
          <w:sz w:val="20"/>
          <w:szCs w:val="20"/>
          <w:lang w:val="en-US"/>
        </w:rPr>
      </w:pPr>
      <w:r>
        <w:rPr>
          <w:rFonts w:eastAsia="Calibri"/>
          <w:b/>
          <w:bCs/>
          <w:color w:val="0070C0"/>
          <w:sz w:val="20"/>
          <w:szCs w:val="20"/>
          <w:lang w:val="en-US"/>
        </w:rPr>
        <w:t>4</w:t>
      </w:r>
      <w:r>
        <w:rPr>
          <w:rFonts w:eastAsia="Calibri"/>
          <w:bCs/>
          <w:color w:val="0070C0"/>
          <w:sz w:val="20"/>
          <w:szCs w:val="20"/>
          <w:lang w:val="en-US"/>
        </w:rPr>
        <w:t>.</w:t>
      </w:r>
      <w:r>
        <w:rPr>
          <w:rFonts w:eastAsia="Calibri"/>
          <w:b/>
          <w:color w:val="0070C0"/>
          <w:sz w:val="20"/>
          <w:szCs w:val="20"/>
          <w:lang w:val="en-US"/>
        </w:rPr>
        <w:t>CONCLUSION</w:t>
      </w:r>
    </w:p>
    <w:p w14:paraId="3020CF70" w14:textId="77777777" w:rsidR="004631AB" w:rsidRDefault="004631AB">
      <w:pPr>
        <w:tabs>
          <w:tab w:val="left" w:pos="709"/>
        </w:tabs>
        <w:jc w:val="both"/>
        <w:rPr>
          <w:color w:val="000000"/>
          <w:sz w:val="20"/>
          <w:szCs w:val="20"/>
        </w:rPr>
      </w:pPr>
    </w:p>
    <w:p w14:paraId="6436D242" w14:textId="118D9B62" w:rsidR="00876E34" w:rsidRPr="00876E34" w:rsidRDefault="00876E34" w:rsidP="00876E34">
      <w:pPr>
        <w:jc w:val="both"/>
        <w:rPr>
          <w:rFonts w:eastAsia="Calibri"/>
          <w:sz w:val="20"/>
          <w:szCs w:val="20"/>
          <w:lang w:val="en-IN"/>
        </w:rPr>
      </w:pPr>
      <w:r w:rsidRPr="00876E34">
        <w:rPr>
          <w:rFonts w:eastAsia="Calibri"/>
          <w:sz w:val="20"/>
          <w:szCs w:val="20"/>
          <w:lang w:val="en-IN"/>
        </w:rPr>
        <w:t xml:space="preserve">This study integrates structural </w:t>
      </w:r>
      <w:r w:rsidR="00AD56BE">
        <w:rPr>
          <w:rFonts w:eastAsia="Calibri"/>
          <w:sz w:val="20"/>
          <w:szCs w:val="20"/>
          <w:lang w:val="en-IN"/>
        </w:rPr>
        <w:t xml:space="preserve">modelling, </w:t>
      </w:r>
      <w:r w:rsidRPr="00876E34">
        <w:rPr>
          <w:rFonts w:eastAsia="Calibri"/>
          <w:sz w:val="20"/>
          <w:szCs w:val="20"/>
          <w:lang w:val="en-IN"/>
        </w:rPr>
        <w:t>virtual screening</w:t>
      </w:r>
      <w:r w:rsidR="00AD56BE">
        <w:rPr>
          <w:rFonts w:eastAsia="Calibri"/>
          <w:sz w:val="20"/>
          <w:szCs w:val="20"/>
          <w:lang w:val="en-IN"/>
        </w:rPr>
        <w:t xml:space="preserve"> and docking</w:t>
      </w:r>
      <w:r w:rsidRPr="00876E34">
        <w:rPr>
          <w:rFonts w:eastAsia="Calibri"/>
          <w:sz w:val="20"/>
          <w:szCs w:val="20"/>
          <w:lang w:val="en-IN"/>
        </w:rPr>
        <w:t xml:space="preserve"> to identify potential inhibitors of oncogenic NRAS variants.</w:t>
      </w:r>
      <w:r w:rsidR="00DB6657">
        <w:rPr>
          <w:rFonts w:eastAsia="Calibri"/>
          <w:sz w:val="20"/>
          <w:szCs w:val="20"/>
          <w:lang w:val="en-IN"/>
        </w:rPr>
        <w:t xml:space="preserve"> </w:t>
      </w:r>
      <w:r w:rsidR="00AD56BE" w:rsidRPr="00AD56BE">
        <w:rPr>
          <w:rFonts w:eastAsia="Calibri"/>
          <w:sz w:val="20"/>
          <w:szCs w:val="20"/>
          <w:lang w:val="en-IN"/>
        </w:rPr>
        <w:t>The mutant models</w:t>
      </w:r>
      <w:r w:rsidR="00AD56BE">
        <w:rPr>
          <w:rFonts w:eastAsia="Calibri"/>
          <w:sz w:val="20"/>
          <w:szCs w:val="20"/>
          <w:lang w:val="en-IN"/>
        </w:rPr>
        <w:t xml:space="preserve"> built</w:t>
      </w:r>
      <w:r w:rsidR="00AD56BE" w:rsidRPr="00AD56BE">
        <w:rPr>
          <w:rFonts w:eastAsia="Calibri"/>
          <w:sz w:val="20"/>
          <w:szCs w:val="20"/>
          <w:lang w:val="en-IN"/>
        </w:rPr>
        <w:t xml:space="preserve"> </w:t>
      </w:r>
      <w:r w:rsidR="00AD56BE">
        <w:rPr>
          <w:rFonts w:eastAsia="Calibri"/>
          <w:sz w:val="20"/>
          <w:szCs w:val="20"/>
          <w:lang w:val="en-IN"/>
        </w:rPr>
        <w:t xml:space="preserve">exhibited </w:t>
      </w:r>
      <w:r w:rsidR="00AD56BE" w:rsidRPr="00AD56BE">
        <w:rPr>
          <w:rFonts w:eastAsia="Calibri"/>
          <w:sz w:val="20"/>
          <w:szCs w:val="20"/>
          <w:lang w:val="en-IN"/>
        </w:rPr>
        <w:t>high stereochemical quality, enabling reliable</w:t>
      </w:r>
      <w:r w:rsidR="00AD56BE">
        <w:rPr>
          <w:rFonts w:eastAsia="Calibri"/>
          <w:sz w:val="20"/>
          <w:szCs w:val="20"/>
          <w:lang w:val="en-IN"/>
        </w:rPr>
        <w:t xml:space="preserve"> </w:t>
      </w:r>
      <w:r w:rsidR="00AD56BE" w:rsidRPr="00AD56BE">
        <w:rPr>
          <w:rFonts w:eastAsia="Calibri"/>
          <w:sz w:val="20"/>
          <w:szCs w:val="20"/>
          <w:lang w:val="en-IN"/>
        </w:rPr>
        <w:t>analyses.</w:t>
      </w:r>
      <w:r w:rsidR="00AD56BE">
        <w:rPr>
          <w:rFonts w:eastAsia="Calibri"/>
          <w:sz w:val="20"/>
          <w:szCs w:val="20"/>
          <w:lang w:val="en-IN"/>
        </w:rPr>
        <w:t xml:space="preserve"> </w:t>
      </w:r>
      <w:r w:rsidR="00DB6657" w:rsidRPr="00DB6657">
        <w:rPr>
          <w:rFonts w:eastAsia="Calibri"/>
          <w:sz w:val="20"/>
          <w:szCs w:val="20"/>
          <w:lang w:val="en-IN"/>
        </w:rPr>
        <w:t xml:space="preserve">Screening 5,322 natural compounds yielded three </w:t>
      </w:r>
      <w:r w:rsidR="00AD56BE">
        <w:rPr>
          <w:rFonts w:eastAsia="Calibri"/>
          <w:sz w:val="20"/>
          <w:szCs w:val="20"/>
          <w:lang w:val="en-IN"/>
        </w:rPr>
        <w:t>guided</w:t>
      </w:r>
      <w:r w:rsidR="00DB6657" w:rsidRPr="00DB6657">
        <w:rPr>
          <w:rFonts w:eastAsia="Calibri"/>
          <w:sz w:val="20"/>
          <w:szCs w:val="20"/>
          <w:lang w:val="en-IN"/>
        </w:rPr>
        <w:t xml:space="preserve"> </w:t>
      </w:r>
      <w:r w:rsidR="00A648F9">
        <w:rPr>
          <w:rFonts w:eastAsia="Calibri"/>
          <w:sz w:val="20"/>
          <w:szCs w:val="20"/>
          <w:lang w:val="en-IN"/>
        </w:rPr>
        <w:t>candidates</w:t>
      </w:r>
      <w:r w:rsidR="00AD56BE">
        <w:rPr>
          <w:rFonts w:eastAsia="Calibri"/>
          <w:sz w:val="20"/>
          <w:szCs w:val="20"/>
          <w:lang w:val="en-IN"/>
        </w:rPr>
        <w:t xml:space="preserve"> namely </w:t>
      </w:r>
      <w:r w:rsidR="00DB6657" w:rsidRPr="00DB6657">
        <w:rPr>
          <w:rFonts w:eastAsia="Calibri"/>
          <w:sz w:val="20"/>
          <w:szCs w:val="20"/>
          <w:lang w:val="en-IN"/>
        </w:rPr>
        <w:t>(ZINC02096813, ZINC02120343, and ZINC00518885)</w:t>
      </w:r>
      <w:r w:rsidR="00AD56BE">
        <w:rPr>
          <w:rFonts w:eastAsia="Calibri"/>
          <w:sz w:val="20"/>
          <w:szCs w:val="20"/>
          <w:lang w:val="en-IN"/>
        </w:rPr>
        <w:t xml:space="preserve">. They followed </w:t>
      </w:r>
      <w:r w:rsidR="00A648F9">
        <w:rPr>
          <w:rFonts w:eastAsia="Calibri"/>
          <w:sz w:val="20"/>
          <w:szCs w:val="20"/>
          <w:lang w:val="en-IN"/>
        </w:rPr>
        <w:t>strong</w:t>
      </w:r>
      <w:r w:rsidR="00DB6657" w:rsidRPr="00DB6657">
        <w:rPr>
          <w:rFonts w:eastAsia="Calibri"/>
          <w:sz w:val="20"/>
          <w:szCs w:val="20"/>
          <w:lang w:val="en-IN"/>
        </w:rPr>
        <w:t xml:space="preserve"> binding affinities and</w:t>
      </w:r>
      <w:r w:rsidR="00A648F9">
        <w:rPr>
          <w:rFonts w:eastAsia="Calibri"/>
          <w:sz w:val="20"/>
          <w:szCs w:val="20"/>
          <w:lang w:val="en-IN"/>
        </w:rPr>
        <w:t xml:space="preserve"> </w:t>
      </w:r>
      <w:r w:rsidR="00AD56BE">
        <w:rPr>
          <w:rFonts w:eastAsia="Calibri"/>
          <w:sz w:val="20"/>
          <w:szCs w:val="20"/>
          <w:lang w:val="en-IN"/>
        </w:rPr>
        <w:t xml:space="preserve">dual </w:t>
      </w:r>
      <w:r w:rsidR="00A648F9">
        <w:rPr>
          <w:rFonts w:eastAsia="Calibri"/>
          <w:sz w:val="20"/>
          <w:szCs w:val="20"/>
          <w:lang w:val="en-IN"/>
        </w:rPr>
        <w:t xml:space="preserve">involvement </w:t>
      </w:r>
      <w:r w:rsidR="00DB6657" w:rsidRPr="00DB6657">
        <w:rPr>
          <w:rFonts w:eastAsia="Calibri"/>
          <w:sz w:val="20"/>
          <w:szCs w:val="20"/>
          <w:lang w:val="en-IN"/>
        </w:rPr>
        <w:t xml:space="preserve">of conserved catalytic residues (Tyr-32, Phe-28, Asp-119) </w:t>
      </w:r>
      <w:r w:rsidR="00AD56BE" w:rsidRPr="00DB6657">
        <w:rPr>
          <w:rFonts w:eastAsia="Calibri"/>
          <w:sz w:val="20"/>
          <w:szCs w:val="20"/>
          <w:lang w:val="en-IN"/>
        </w:rPr>
        <w:t>along</w:t>
      </w:r>
      <w:r w:rsidR="00AD56BE">
        <w:rPr>
          <w:rFonts w:eastAsia="Calibri"/>
          <w:sz w:val="20"/>
          <w:szCs w:val="20"/>
          <w:lang w:val="en-IN"/>
        </w:rPr>
        <w:t xml:space="preserve"> with</w:t>
      </w:r>
      <w:r w:rsidR="00DB6657" w:rsidRPr="00DB6657">
        <w:rPr>
          <w:rFonts w:eastAsia="Calibri"/>
          <w:sz w:val="20"/>
          <w:szCs w:val="20"/>
          <w:lang w:val="en-IN"/>
        </w:rPr>
        <w:t xml:space="preserve"> muta</w:t>
      </w:r>
      <w:r w:rsidR="00AD56BE">
        <w:rPr>
          <w:rFonts w:eastAsia="Calibri"/>
          <w:sz w:val="20"/>
          <w:szCs w:val="20"/>
          <w:lang w:val="en-IN"/>
        </w:rPr>
        <w:t>nt sites</w:t>
      </w:r>
      <w:r w:rsidR="00DB6657" w:rsidRPr="00DB6657">
        <w:rPr>
          <w:rFonts w:eastAsia="Calibri"/>
          <w:sz w:val="20"/>
          <w:szCs w:val="20"/>
          <w:lang w:val="en-IN"/>
        </w:rPr>
        <w:t xml:space="preserve"> (Asp-2, Asp-13, Arg-61).</w:t>
      </w:r>
      <w:r w:rsidR="00DB6657">
        <w:rPr>
          <w:rFonts w:eastAsia="Calibri"/>
          <w:sz w:val="20"/>
          <w:szCs w:val="20"/>
          <w:lang w:val="en-IN"/>
        </w:rPr>
        <w:t xml:space="preserve"> </w:t>
      </w:r>
      <w:r w:rsidRPr="00876E34">
        <w:rPr>
          <w:rFonts w:eastAsia="Calibri"/>
          <w:sz w:val="20"/>
          <w:szCs w:val="20"/>
          <w:lang w:val="en-IN"/>
        </w:rPr>
        <w:t xml:space="preserve">These findings suggest that mutation-induced structural plasticity within NRAS can be strategically exploited for inhibitor development. </w:t>
      </w:r>
      <w:r w:rsidR="00DB6657">
        <w:rPr>
          <w:rFonts w:eastAsia="Calibri"/>
          <w:sz w:val="20"/>
          <w:szCs w:val="20"/>
          <w:lang w:val="en-IN"/>
        </w:rPr>
        <w:t>These</w:t>
      </w:r>
      <w:r w:rsidR="00A648F9">
        <w:rPr>
          <w:rFonts w:eastAsia="Calibri"/>
          <w:sz w:val="20"/>
          <w:szCs w:val="20"/>
          <w:lang w:val="en-IN"/>
        </w:rPr>
        <w:t xml:space="preserve"> results being the initial steps towards finding novel inhibitor,</w:t>
      </w:r>
      <w:r w:rsidR="00DB6657">
        <w:rPr>
          <w:rFonts w:eastAsia="Calibri"/>
          <w:sz w:val="20"/>
          <w:szCs w:val="20"/>
          <w:lang w:val="en-IN"/>
        </w:rPr>
        <w:t xml:space="preserve"> </w:t>
      </w:r>
      <w:r w:rsidR="00A648F9">
        <w:rPr>
          <w:rFonts w:eastAsia="Calibri"/>
          <w:sz w:val="20"/>
          <w:szCs w:val="20"/>
          <w:lang w:val="en-IN"/>
        </w:rPr>
        <w:t xml:space="preserve">they </w:t>
      </w:r>
      <w:r w:rsidRPr="00876E34">
        <w:rPr>
          <w:rFonts w:eastAsia="Calibri"/>
          <w:sz w:val="20"/>
          <w:szCs w:val="20"/>
          <w:lang w:val="en-IN"/>
        </w:rPr>
        <w:t xml:space="preserve">provide a foundation for further </w:t>
      </w:r>
      <w:r w:rsidR="00A648F9">
        <w:rPr>
          <w:rFonts w:eastAsia="Calibri"/>
          <w:sz w:val="20"/>
          <w:szCs w:val="20"/>
          <w:lang w:val="en-IN"/>
        </w:rPr>
        <w:t>molecular dynamics</w:t>
      </w:r>
      <w:r w:rsidRPr="00876E34">
        <w:rPr>
          <w:rFonts w:eastAsia="Calibri"/>
          <w:sz w:val="20"/>
          <w:szCs w:val="20"/>
          <w:lang w:val="en-IN"/>
        </w:rPr>
        <w:t xml:space="preserve"> simulations and experimental validation toward</w:t>
      </w:r>
      <w:r w:rsidR="00A648F9">
        <w:rPr>
          <w:rFonts w:eastAsia="Calibri"/>
          <w:sz w:val="20"/>
          <w:szCs w:val="20"/>
          <w:lang w:val="en-IN"/>
        </w:rPr>
        <w:t>s</w:t>
      </w:r>
      <w:r w:rsidRPr="00876E34">
        <w:rPr>
          <w:rFonts w:eastAsia="Calibri"/>
          <w:sz w:val="20"/>
          <w:szCs w:val="20"/>
          <w:lang w:val="en-IN"/>
        </w:rPr>
        <w:t xml:space="preserve"> therapies for NRAS</w:t>
      </w:r>
      <w:r w:rsidR="00A648F9">
        <w:rPr>
          <w:rFonts w:eastAsia="Calibri"/>
          <w:sz w:val="20"/>
          <w:szCs w:val="20"/>
          <w:lang w:val="en-IN"/>
        </w:rPr>
        <w:t xml:space="preserve"> </w:t>
      </w:r>
      <w:r w:rsidRPr="00876E34">
        <w:rPr>
          <w:rFonts w:eastAsia="Calibri"/>
          <w:sz w:val="20"/>
          <w:szCs w:val="20"/>
          <w:lang w:val="en-IN"/>
        </w:rPr>
        <w:t>driven melanoma.</w:t>
      </w:r>
    </w:p>
    <w:p w14:paraId="77596CB4" w14:textId="3402C71B" w:rsidR="004168FE" w:rsidRPr="00876E34" w:rsidRDefault="00876E34">
      <w:pPr>
        <w:jc w:val="both"/>
        <w:rPr>
          <w:rFonts w:eastAsia="Calibri"/>
          <w:b/>
          <w:bCs/>
          <w:color w:val="0070C0"/>
          <w:sz w:val="20"/>
          <w:szCs w:val="20"/>
          <w:lang w:val="en-IN"/>
        </w:rPr>
      </w:pPr>
      <w:r w:rsidRPr="00876E34">
        <w:rPr>
          <w:rFonts w:eastAsia="Calibri"/>
          <w:b/>
          <w:bCs/>
          <w:color w:val="0070C0"/>
          <w:sz w:val="20"/>
          <w:szCs w:val="20"/>
          <w:lang w:val="en-IN"/>
        </w:rPr>
        <w:t xml:space="preserve"> </w:t>
      </w:r>
    </w:p>
    <w:p w14:paraId="5B88AAA3" w14:textId="3E770722" w:rsidR="004631AB" w:rsidRDefault="00000000">
      <w:pPr>
        <w:jc w:val="both"/>
        <w:rPr>
          <w:rFonts w:eastAsia="Calibri"/>
          <w:b/>
          <w:bCs/>
          <w:color w:val="0070C0"/>
          <w:sz w:val="20"/>
          <w:szCs w:val="20"/>
          <w:lang w:val="en-US"/>
        </w:rPr>
      </w:pPr>
      <w:r>
        <w:rPr>
          <w:rFonts w:eastAsia="Calibri"/>
          <w:b/>
          <w:bCs/>
          <w:color w:val="0070C0"/>
          <w:sz w:val="20"/>
          <w:szCs w:val="20"/>
          <w:lang w:val="en-US"/>
        </w:rPr>
        <w:t>Acknowledgements</w:t>
      </w:r>
    </w:p>
    <w:p w14:paraId="25071F76" w14:textId="77777777" w:rsidR="004631AB" w:rsidRDefault="004631AB">
      <w:pPr>
        <w:jc w:val="both"/>
        <w:rPr>
          <w:rFonts w:eastAsia="Calibri"/>
          <w:b/>
          <w:bCs/>
          <w:color w:val="0070C0"/>
          <w:sz w:val="20"/>
          <w:szCs w:val="20"/>
          <w:lang w:val="en-US"/>
        </w:rPr>
      </w:pPr>
    </w:p>
    <w:p w14:paraId="1D4EA917" w14:textId="77777777" w:rsidR="004631AB" w:rsidRDefault="00000000">
      <w:pPr>
        <w:jc w:val="both"/>
        <w:rPr>
          <w:rFonts w:eastAsia="Calibri"/>
          <w:bCs/>
          <w:color w:val="000000" w:themeColor="text1"/>
          <w:sz w:val="20"/>
          <w:szCs w:val="20"/>
          <w:lang w:val="en-US"/>
        </w:rPr>
      </w:pPr>
      <w:r>
        <w:rPr>
          <w:rFonts w:eastAsia="Calibri"/>
          <w:bCs/>
          <w:color w:val="000000" w:themeColor="text1"/>
          <w:sz w:val="20"/>
          <w:szCs w:val="20"/>
          <w:lang w:val="en-US"/>
        </w:rPr>
        <w:t>The authors gratefully acknowledge Dr. Rohan Meshram from Savitribai Phule Pune University for his invaluable guidance and support throughout the study.</w:t>
      </w:r>
    </w:p>
    <w:p w14:paraId="6DB9AC2C" w14:textId="77777777" w:rsidR="004631AB" w:rsidRDefault="004631AB">
      <w:pPr>
        <w:jc w:val="both"/>
        <w:rPr>
          <w:rFonts w:eastAsia="Calibri"/>
          <w:b/>
          <w:bCs/>
          <w:color w:val="0070C0"/>
          <w:sz w:val="20"/>
          <w:szCs w:val="20"/>
        </w:rPr>
      </w:pPr>
    </w:p>
    <w:p w14:paraId="070F0581" w14:textId="77777777" w:rsidR="004631AB" w:rsidRDefault="00000000">
      <w:pPr>
        <w:jc w:val="both"/>
        <w:rPr>
          <w:rFonts w:eastAsia="Calibri"/>
          <w:b/>
          <w:bCs/>
          <w:color w:val="0070C0"/>
          <w:sz w:val="20"/>
          <w:szCs w:val="20"/>
          <w:lang w:val="en-US"/>
        </w:rPr>
      </w:pPr>
      <w:r>
        <w:rPr>
          <w:rFonts w:eastAsia="Calibri"/>
          <w:b/>
          <w:bCs/>
          <w:color w:val="0070C0"/>
          <w:sz w:val="20"/>
          <w:szCs w:val="20"/>
          <w:lang w:val="en-US"/>
        </w:rPr>
        <w:t>Conflict of Interest</w:t>
      </w:r>
    </w:p>
    <w:p w14:paraId="6652E088" w14:textId="77777777" w:rsidR="004631AB" w:rsidRDefault="004631AB">
      <w:pPr>
        <w:jc w:val="both"/>
        <w:rPr>
          <w:rFonts w:eastAsia="Calibri"/>
          <w:b/>
          <w:bCs/>
          <w:color w:val="0070C0"/>
          <w:sz w:val="20"/>
          <w:szCs w:val="20"/>
          <w:lang w:val="en-US"/>
        </w:rPr>
      </w:pPr>
    </w:p>
    <w:p w14:paraId="147CA3DD" w14:textId="77777777" w:rsidR="004631AB" w:rsidRDefault="00000000">
      <w:pPr>
        <w:jc w:val="both"/>
        <w:rPr>
          <w:rFonts w:eastAsia="Calibri"/>
          <w:sz w:val="20"/>
          <w:szCs w:val="20"/>
          <w:lang w:val="en-US"/>
        </w:rPr>
      </w:pPr>
      <w:r>
        <w:rPr>
          <w:rFonts w:eastAsia="Calibri"/>
          <w:sz w:val="20"/>
          <w:szCs w:val="20"/>
          <w:lang w:val="en-US"/>
        </w:rPr>
        <w:t>The authors declare that they have no conflicts of interest.</w:t>
      </w:r>
    </w:p>
    <w:p w14:paraId="0CA722B1" w14:textId="77777777" w:rsidR="004631AB" w:rsidRDefault="004631AB">
      <w:pPr>
        <w:jc w:val="both"/>
        <w:rPr>
          <w:rFonts w:eastAsia="Calibri"/>
          <w:b/>
          <w:color w:val="5B9BD5" w:themeColor="accent5"/>
          <w:sz w:val="20"/>
          <w:szCs w:val="20"/>
          <w:lang w:val="en-US"/>
        </w:rPr>
      </w:pPr>
    </w:p>
    <w:p w14:paraId="02EA85C5" w14:textId="77777777" w:rsidR="004631AB" w:rsidRDefault="00000000">
      <w:pPr>
        <w:jc w:val="both"/>
        <w:rPr>
          <w:rFonts w:eastAsia="Calibri"/>
          <w:bCs/>
          <w:sz w:val="20"/>
          <w:szCs w:val="20"/>
          <w:lang w:val="en-US"/>
        </w:rPr>
      </w:pPr>
      <w:r>
        <w:rPr>
          <w:rFonts w:eastAsia="Calibri"/>
          <w:b/>
          <w:color w:val="0070C0"/>
          <w:sz w:val="20"/>
          <w:szCs w:val="20"/>
          <w:lang w:val="en-US"/>
        </w:rPr>
        <w:t>Table 1.</w:t>
      </w:r>
      <w:r>
        <w:rPr>
          <w:rFonts w:eastAsia="Calibri"/>
          <w:bCs/>
          <w:sz w:val="20"/>
          <w:szCs w:val="20"/>
          <w:lang w:val="en-US"/>
        </w:rPr>
        <w:t xml:space="preserve"> </w:t>
      </w:r>
      <w:r>
        <w:rPr>
          <w:rFonts w:eastAsia="Segoe UI"/>
          <w:bCs/>
          <w:spacing w:val="1"/>
          <w:sz w:val="20"/>
          <w:szCs w:val="20"/>
        </w:rPr>
        <w:t>"Docking results of top-ranking ZINC compounds (binding free energy ≤ –10 kcal/mol), highlighting predicted hydrogen bond donor–acceptor pairs and residues involved in hydrophobic or van der Waals interactions with the protein active site."</w:t>
      </w:r>
    </w:p>
    <w:p w14:paraId="7A1A8325" w14:textId="77777777" w:rsidR="004631AB" w:rsidRDefault="004631AB">
      <w:pPr>
        <w:jc w:val="both"/>
        <w:rPr>
          <w:rFonts w:eastAsia="Calibri"/>
          <w:sz w:val="20"/>
          <w:szCs w:val="20"/>
          <w:lang w:val="en-US"/>
        </w:rPr>
      </w:pPr>
    </w:p>
    <w:p w14:paraId="084A7358" w14:textId="77777777" w:rsidR="001447D3" w:rsidRDefault="00000000" w:rsidP="001447D3">
      <w:pPr>
        <w:jc w:val="both"/>
        <w:rPr>
          <w:rFonts w:eastAsia="Segoe UI"/>
          <w:spacing w:val="1"/>
          <w:sz w:val="20"/>
          <w:szCs w:val="20"/>
        </w:rPr>
      </w:pPr>
      <w:r>
        <w:rPr>
          <w:rFonts w:eastAsia="Segoe UI"/>
          <w:b/>
          <w:bCs/>
          <w:color w:val="0070C0"/>
          <w:spacing w:val="1"/>
          <w:sz w:val="20"/>
          <w:szCs w:val="20"/>
        </w:rPr>
        <w:t xml:space="preserve">Figure </w:t>
      </w:r>
      <w:r>
        <w:rPr>
          <w:rFonts w:eastAsia="Segoe UI"/>
          <w:b/>
          <w:bCs/>
          <w:color w:val="0070C0"/>
          <w:spacing w:val="1"/>
          <w:sz w:val="20"/>
          <w:szCs w:val="20"/>
          <w:lang w:val="en-US"/>
        </w:rPr>
        <w:t>1</w:t>
      </w:r>
      <w:r>
        <w:rPr>
          <w:rFonts w:eastAsia="Segoe UI"/>
          <w:color w:val="0070C0"/>
          <w:spacing w:val="1"/>
          <w:sz w:val="20"/>
          <w:szCs w:val="20"/>
        </w:rPr>
        <w:t>.</w:t>
      </w:r>
      <w:r>
        <w:rPr>
          <w:rFonts w:eastAsia="Segoe UI"/>
          <w:spacing w:val="1"/>
          <w:sz w:val="20"/>
          <w:szCs w:val="20"/>
        </w:rPr>
        <w:t xml:space="preserve"> </w:t>
      </w:r>
      <w:r w:rsidR="001447D3" w:rsidRPr="00883871">
        <w:rPr>
          <w:rFonts w:eastAsia="Segoe UI"/>
          <w:spacing w:val="1"/>
          <w:sz w:val="20"/>
          <w:szCs w:val="20"/>
          <w:highlight w:val="yellow"/>
        </w:rPr>
        <w:t>(A) Protein showing secondary structure elements and residue connectivity. (B) Cartoon representation of the protein and colored by secondary structure type. (C) Overall model quality plot in PROSA indicating global Z-scores (D) Local quality assessment plot showing per-residue score fluctuations (E) Ramachandran plot presenting backbone dihedral angle distributions, with most residues occupying favored regions. (F) Summary of model statistics obtained from Ramachandran Plot.</w:t>
      </w:r>
    </w:p>
    <w:p w14:paraId="607C17A5" w14:textId="77777777" w:rsidR="004631AB" w:rsidRDefault="004631AB">
      <w:pPr>
        <w:jc w:val="both"/>
        <w:rPr>
          <w:rFonts w:eastAsia="Calibri"/>
          <w:sz w:val="20"/>
          <w:szCs w:val="20"/>
          <w:lang w:val="en-US"/>
        </w:rPr>
      </w:pPr>
    </w:p>
    <w:p w14:paraId="625882C2" w14:textId="36335843" w:rsidR="004631AB" w:rsidRDefault="00000000">
      <w:pPr>
        <w:jc w:val="both"/>
        <w:rPr>
          <w:rFonts w:eastAsia="Calibri"/>
          <w:b/>
          <w:color w:val="0070C0"/>
          <w:sz w:val="20"/>
          <w:szCs w:val="20"/>
          <w:lang w:val="en-US"/>
        </w:rPr>
      </w:pPr>
      <w:r>
        <w:rPr>
          <w:b/>
          <w:bCs/>
          <w:color w:val="0070C0"/>
          <w:sz w:val="20"/>
          <w:szCs w:val="20"/>
        </w:rPr>
        <w:t>Figure 2</w:t>
      </w:r>
      <w:r>
        <w:rPr>
          <w:color w:val="0070C0"/>
          <w:sz w:val="20"/>
          <w:szCs w:val="20"/>
        </w:rPr>
        <w:t>.</w:t>
      </w:r>
      <w:r>
        <w:rPr>
          <w:sz w:val="20"/>
          <w:szCs w:val="20"/>
        </w:rPr>
        <w:t xml:space="preserve"> </w:t>
      </w:r>
      <w:r w:rsidR="001447D3" w:rsidRPr="001447D3">
        <w:rPr>
          <w:sz w:val="20"/>
          <w:szCs w:val="20"/>
          <w:highlight w:val="yellow"/>
        </w:rPr>
        <w:t>Two-dimensional interaction diagrams of the top eleven NRAS ligand complexes generated using LigPlot+. Hydrogen bonds are represented as dashed green lines, while hydrophobic contacts are illustrated as red semicircular arcs. The diagrams highlight conserved and mutant residue interactions within the nucleotide-binding pocket, demonstrating consistent engagement of P-loop and switch-region residues across the highest-ranked ZINC compounds.</w:t>
      </w:r>
    </w:p>
    <w:p w14:paraId="789D3FA3" w14:textId="77777777" w:rsidR="004631AB" w:rsidRDefault="004631AB">
      <w:pPr>
        <w:jc w:val="both"/>
        <w:rPr>
          <w:rFonts w:eastAsia="Calibri"/>
          <w:b/>
          <w:color w:val="0070C0"/>
          <w:sz w:val="20"/>
          <w:szCs w:val="20"/>
          <w:lang w:val="en-US"/>
        </w:rPr>
      </w:pPr>
    </w:p>
    <w:p w14:paraId="439F5763" w14:textId="77777777" w:rsidR="004631AB" w:rsidRDefault="00000000">
      <w:pPr>
        <w:jc w:val="both"/>
        <w:rPr>
          <w:rFonts w:eastAsia="Calibri"/>
          <w:b/>
          <w:color w:val="0070C0"/>
          <w:sz w:val="20"/>
          <w:szCs w:val="20"/>
          <w:lang w:val="en-US"/>
        </w:rPr>
      </w:pPr>
      <w:r>
        <w:rPr>
          <w:rFonts w:eastAsia="Calibri"/>
          <w:b/>
          <w:color w:val="0070C0"/>
          <w:sz w:val="20"/>
          <w:szCs w:val="20"/>
          <w:lang w:val="en-US"/>
        </w:rPr>
        <w:t xml:space="preserve">REFERENCES </w:t>
      </w:r>
    </w:p>
    <w:p w14:paraId="1E07888D" w14:textId="77777777" w:rsidR="004631AB" w:rsidRDefault="004631AB">
      <w:pPr>
        <w:rPr>
          <w:sz w:val="20"/>
          <w:lang w:val="en-US"/>
        </w:rPr>
      </w:pPr>
    </w:p>
    <w:p w14:paraId="350AF284" w14:textId="77777777" w:rsidR="005D735A" w:rsidRPr="005D735A" w:rsidRDefault="005D735A" w:rsidP="005D735A">
      <w:pPr>
        <w:rPr>
          <w:sz w:val="20"/>
          <w:lang w:val="en-IN"/>
        </w:rPr>
      </w:pPr>
      <w:r w:rsidRPr="00A8521B">
        <w:rPr>
          <w:sz w:val="20"/>
          <w:lang w:val="en-IN"/>
        </w:rPr>
        <w:t xml:space="preserve">Al Mahi, A., &amp; </w:t>
      </w:r>
      <w:proofErr w:type="spellStart"/>
      <w:r w:rsidRPr="00A8521B">
        <w:rPr>
          <w:sz w:val="20"/>
          <w:lang w:val="en-IN"/>
        </w:rPr>
        <w:t>Ablain</w:t>
      </w:r>
      <w:proofErr w:type="spellEnd"/>
      <w:r w:rsidRPr="00A8521B">
        <w:rPr>
          <w:sz w:val="20"/>
          <w:lang w:val="en-IN"/>
        </w:rPr>
        <w:t xml:space="preserve">, J. (2022). </w:t>
      </w:r>
      <w:r w:rsidRPr="005D735A">
        <w:rPr>
          <w:sz w:val="20"/>
          <w:lang w:val="en-IN"/>
        </w:rPr>
        <w:t>RAS pathway regulation in melanoma. Disease Models &amp; Mechanisms, 15(2), dmm049229. https://doi.org/10.1242/dmm.049229</w:t>
      </w:r>
    </w:p>
    <w:p w14:paraId="00068C79" w14:textId="77777777" w:rsidR="005D735A" w:rsidRPr="005D735A" w:rsidRDefault="005D735A" w:rsidP="005D735A">
      <w:pPr>
        <w:rPr>
          <w:sz w:val="20"/>
          <w:lang w:val="en-IN"/>
        </w:rPr>
      </w:pPr>
    </w:p>
    <w:p w14:paraId="16479B42" w14:textId="77777777" w:rsidR="005D735A" w:rsidRPr="005D735A" w:rsidRDefault="005D735A" w:rsidP="005D735A">
      <w:pPr>
        <w:rPr>
          <w:sz w:val="20"/>
          <w:lang w:val="en-IN"/>
        </w:rPr>
      </w:pPr>
      <w:r w:rsidRPr="005D735A">
        <w:rPr>
          <w:sz w:val="20"/>
          <w:lang w:val="en-IN"/>
        </w:rPr>
        <w:t xml:space="preserve">Ardito, C. M., Grüner, B. M., Takeuchi, K. K., </w:t>
      </w:r>
      <w:proofErr w:type="spellStart"/>
      <w:r w:rsidRPr="005D735A">
        <w:rPr>
          <w:sz w:val="20"/>
          <w:lang w:val="en-IN"/>
        </w:rPr>
        <w:t>Lubeseder</w:t>
      </w:r>
      <w:proofErr w:type="spellEnd"/>
      <w:r w:rsidRPr="005D735A">
        <w:rPr>
          <w:sz w:val="20"/>
          <w:lang w:val="en-IN"/>
        </w:rPr>
        <w:t>-Martellato, C., Teichmann, N., Mazur, P. K., DelGiorno, K. E., Carpenter, E. S., Halbrook, C. J., Hall, J. C., et al. (2012). EGF receptor is required for KRAS-induced pancreatic tumorigenesis. Cancer Cell, 22(3), 304–317. https://doi.org/10.1016/j.ccr.2012.07.024</w:t>
      </w:r>
    </w:p>
    <w:p w14:paraId="541BE747" w14:textId="77777777" w:rsidR="005D735A" w:rsidRPr="005D735A" w:rsidRDefault="005D735A" w:rsidP="005D735A">
      <w:pPr>
        <w:rPr>
          <w:sz w:val="20"/>
          <w:lang w:val="en-IN"/>
        </w:rPr>
      </w:pPr>
    </w:p>
    <w:p w14:paraId="4D846E0C" w14:textId="77777777" w:rsidR="005D735A" w:rsidRPr="005D735A" w:rsidRDefault="005D735A" w:rsidP="005D735A">
      <w:pPr>
        <w:rPr>
          <w:sz w:val="20"/>
          <w:lang w:val="en-IN"/>
        </w:rPr>
      </w:pPr>
      <w:r w:rsidRPr="005D735A">
        <w:rPr>
          <w:sz w:val="20"/>
          <w:lang w:val="en-IN"/>
        </w:rPr>
        <w:t>Cancer.Net Editorial Board. (2025a). Melanoma: Stages. American Society of Clinical Oncology. https://www.cancer.net/cancer-types/melanoma/stages</w:t>
      </w:r>
    </w:p>
    <w:p w14:paraId="6C7E8F29" w14:textId="77777777" w:rsidR="005D735A" w:rsidRPr="005D735A" w:rsidRDefault="005D735A" w:rsidP="005D735A">
      <w:pPr>
        <w:rPr>
          <w:sz w:val="20"/>
          <w:lang w:val="en-IN"/>
        </w:rPr>
      </w:pPr>
      <w:r w:rsidRPr="005D735A">
        <w:rPr>
          <w:sz w:val="20"/>
          <w:lang w:val="en-IN"/>
        </w:rPr>
        <w:t xml:space="preserve"> (accessed 21 September 2025)</w:t>
      </w:r>
    </w:p>
    <w:p w14:paraId="4E46F8B4" w14:textId="77777777" w:rsidR="005D735A" w:rsidRPr="005D735A" w:rsidRDefault="005D735A" w:rsidP="005D735A">
      <w:pPr>
        <w:rPr>
          <w:sz w:val="20"/>
          <w:lang w:val="en-IN"/>
        </w:rPr>
      </w:pPr>
    </w:p>
    <w:p w14:paraId="13BFDEF2" w14:textId="77777777" w:rsidR="005D735A" w:rsidRPr="005D735A" w:rsidRDefault="005D735A" w:rsidP="005D735A">
      <w:pPr>
        <w:rPr>
          <w:sz w:val="20"/>
          <w:lang w:val="en-IN"/>
        </w:rPr>
      </w:pPr>
      <w:r w:rsidRPr="005D735A">
        <w:rPr>
          <w:sz w:val="20"/>
          <w:lang w:val="en-IN"/>
        </w:rPr>
        <w:t>Cancer.Net Editorial Board. (2025b). Melanoma: Statistics. American Society of Clinical Oncology. https://www.cancer.net/cancer-types/melanoma/statistics</w:t>
      </w:r>
    </w:p>
    <w:p w14:paraId="42D89D51" w14:textId="77777777" w:rsidR="005D735A" w:rsidRPr="005D735A" w:rsidRDefault="005D735A" w:rsidP="005D735A">
      <w:pPr>
        <w:rPr>
          <w:sz w:val="20"/>
          <w:lang w:val="en-IN"/>
        </w:rPr>
      </w:pPr>
      <w:r w:rsidRPr="005D735A">
        <w:rPr>
          <w:sz w:val="20"/>
          <w:lang w:val="en-IN"/>
        </w:rPr>
        <w:t xml:space="preserve"> (accessed 21 September 2025)</w:t>
      </w:r>
    </w:p>
    <w:p w14:paraId="0B17F722" w14:textId="77777777" w:rsidR="005D735A" w:rsidRPr="005D735A" w:rsidRDefault="005D735A" w:rsidP="005D735A">
      <w:pPr>
        <w:rPr>
          <w:sz w:val="20"/>
          <w:lang w:val="en-IN"/>
        </w:rPr>
      </w:pPr>
    </w:p>
    <w:p w14:paraId="31708A80" w14:textId="77777777" w:rsidR="005D735A" w:rsidRPr="005D735A" w:rsidRDefault="005D735A" w:rsidP="005D735A">
      <w:pPr>
        <w:rPr>
          <w:sz w:val="20"/>
          <w:lang w:val="en-IN"/>
        </w:rPr>
      </w:pPr>
      <w:r w:rsidRPr="005D735A">
        <w:rPr>
          <w:sz w:val="20"/>
          <w:lang w:val="en-IN"/>
        </w:rPr>
        <w:t xml:space="preserve">Cherfils, J., &amp; </w:t>
      </w:r>
      <w:proofErr w:type="spellStart"/>
      <w:r w:rsidRPr="005D735A">
        <w:rPr>
          <w:sz w:val="20"/>
          <w:lang w:val="en-IN"/>
        </w:rPr>
        <w:t>Zeghouf</w:t>
      </w:r>
      <w:proofErr w:type="spellEnd"/>
      <w:r w:rsidRPr="005D735A">
        <w:rPr>
          <w:sz w:val="20"/>
          <w:lang w:val="en-IN"/>
        </w:rPr>
        <w:t>, M. (2013). Regulation of small GTPases by GEFs, GAPs, and GDIs. Physiological Reviews, 93(1), 269–309. https://doi.org/10.1152/physrev.00003.2012</w:t>
      </w:r>
    </w:p>
    <w:p w14:paraId="457E1E5A" w14:textId="77777777" w:rsidR="005D735A" w:rsidRPr="005D735A" w:rsidRDefault="005D735A" w:rsidP="005D735A">
      <w:pPr>
        <w:rPr>
          <w:sz w:val="20"/>
          <w:lang w:val="en-IN"/>
        </w:rPr>
      </w:pPr>
    </w:p>
    <w:p w14:paraId="125F31F9" w14:textId="77777777" w:rsidR="005D735A" w:rsidRPr="005D735A" w:rsidRDefault="005D735A" w:rsidP="005D735A">
      <w:pPr>
        <w:rPr>
          <w:sz w:val="20"/>
          <w:lang w:val="en-IN"/>
        </w:rPr>
      </w:pPr>
      <w:r w:rsidRPr="005D735A">
        <w:rPr>
          <w:sz w:val="20"/>
          <w:lang w:val="en-IN"/>
        </w:rPr>
        <w:t xml:space="preserve">Cox, A. D., </w:t>
      </w:r>
      <w:proofErr w:type="spellStart"/>
      <w:r w:rsidRPr="005D735A">
        <w:rPr>
          <w:sz w:val="20"/>
          <w:lang w:val="en-IN"/>
        </w:rPr>
        <w:t>Fesik</w:t>
      </w:r>
      <w:proofErr w:type="spellEnd"/>
      <w:r w:rsidRPr="005D735A">
        <w:rPr>
          <w:sz w:val="20"/>
          <w:lang w:val="en-IN"/>
        </w:rPr>
        <w:t>, S. W., Kimmelman, A. C., Luo, J., &amp; Der, C. J. (2014). Drugging the undruggable RAS: Mission possible? Nature Reviews Drug Discovery, 13, 828–851.</w:t>
      </w:r>
    </w:p>
    <w:p w14:paraId="78793A84" w14:textId="77777777" w:rsidR="005D735A" w:rsidRPr="005D735A" w:rsidRDefault="005D735A" w:rsidP="005D735A">
      <w:pPr>
        <w:rPr>
          <w:sz w:val="20"/>
          <w:lang w:val="en-IN"/>
        </w:rPr>
      </w:pPr>
    </w:p>
    <w:p w14:paraId="5DC6C207" w14:textId="77777777" w:rsidR="005D735A" w:rsidRPr="005D735A" w:rsidRDefault="005D735A" w:rsidP="005D735A">
      <w:pPr>
        <w:rPr>
          <w:sz w:val="20"/>
          <w:lang w:val="en-IN"/>
        </w:rPr>
      </w:pPr>
      <w:r w:rsidRPr="00C35105">
        <w:rPr>
          <w:sz w:val="20"/>
          <w:lang w:val="pt-BR"/>
        </w:rPr>
        <w:t xml:space="preserve">Harvey, A. L., Edrada-Ebel, R., &amp; Quinn, R. J. (2015). </w:t>
      </w:r>
      <w:r w:rsidRPr="005D735A">
        <w:rPr>
          <w:sz w:val="20"/>
          <w:lang w:val="en-IN"/>
        </w:rPr>
        <w:t>The re-emergence of natural products for drug discovery in the genomics era. Nature Reviews Drug Discovery, 14, 111–129.</w:t>
      </w:r>
    </w:p>
    <w:p w14:paraId="2D0E6BEC" w14:textId="77777777" w:rsidR="005D735A" w:rsidRPr="005D735A" w:rsidRDefault="005D735A" w:rsidP="005D735A">
      <w:pPr>
        <w:rPr>
          <w:sz w:val="20"/>
          <w:lang w:val="en-IN"/>
        </w:rPr>
      </w:pPr>
    </w:p>
    <w:p w14:paraId="1D4F0D5C" w14:textId="77777777" w:rsidR="005D735A" w:rsidRPr="005D735A" w:rsidRDefault="005D735A" w:rsidP="005D735A">
      <w:pPr>
        <w:rPr>
          <w:sz w:val="20"/>
          <w:lang w:val="en-IN"/>
        </w:rPr>
      </w:pPr>
      <w:r w:rsidRPr="005D735A">
        <w:rPr>
          <w:sz w:val="20"/>
          <w:lang w:val="en-IN"/>
        </w:rPr>
        <w:t xml:space="preserve">Howe, L. R., </w:t>
      </w:r>
      <w:proofErr w:type="spellStart"/>
      <w:r w:rsidRPr="005D735A">
        <w:rPr>
          <w:sz w:val="20"/>
          <w:lang w:val="en-IN"/>
        </w:rPr>
        <w:t>Leevers</w:t>
      </w:r>
      <w:proofErr w:type="spellEnd"/>
      <w:r w:rsidRPr="005D735A">
        <w:rPr>
          <w:sz w:val="20"/>
          <w:lang w:val="en-IN"/>
        </w:rPr>
        <w:t xml:space="preserve">, S. J., Gómez, N., </w:t>
      </w:r>
      <w:proofErr w:type="spellStart"/>
      <w:r w:rsidRPr="005D735A">
        <w:rPr>
          <w:sz w:val="20"/>
          <w:lang w:val="en-IN"/>
        </w:rPr>
        <w:t>Nakielny</w:t>
      </w:r>
      <w:proofErr w:type="spellEnd"/>
      <w:r w:rsidRPr="005D735A">
        <w:rPr>
          <w:sz w:val="20"/>
          <w:lang w:val="en-IN"/>
        </w:rPr>
        <w:t>, S., Cohen, P., &amp; Marshall, C. J. (1992). Activation of the MAP kinase pathway by the protein kinase Raf. Cell, 71(2), 335–342. https://doi.org/10.1016/0092-8674(92)90362-3</w:t>
      </w:r>
    </w:p>
    <w:p w14:paraId="7CC046FA" w14:textId="77777777" w:rsidR="005D735A" w:rsidRPr="005D735A" w:rsidRDefault="005D735A" w:rsidP="005D735A">
      <w:pPr>
        <w:rPr>
          <w:sz w:val="20"/>
          <w:lang w:val="en-IN"/>
        </w:rPr>
      </w:pPr>
    </w:p>
    <w:p w14:paraId="776FECBD" w14:textId="77777777" w:rsidR="005D735A" w:rsidRPr="005D735A" w:rsidRDefault="005D735A" w:rsidP="005D735A">
      <w:pPr>
        <w:rPr>
          <w:sz w:val="20"/>
          <w:lang w:val="en-IN"/>
        </w:rPr>
      </w:pPr>
      <w:r w:rsidRPr="005D735A">
        <w:rPr>
          <w:sz w:val="20"/>
          <w:lang w:val="en-IN"/>
        </w:rPr>
        <w:t>Hu, Z., &amp; Martí, J. (2025). Atomic-level mechanisms of abnormal activation in NRAS oncogenes from two-dimensional free energy landscapes. Nanoscale, 17. https://doi.org/10.1039/D4NR03372H</w:t>
      </w:r>
    </w:p>
    <w:p w14:paraId="1BD9FBAF" w14:textId="77777777" w:rsidR="005D735A" w:rsidRPr="005D735A" w:rsidRDefault="005D735A" w:rsidP="005D735A">
      <w:pPr>
        <w:rPr>
          <w:sz w:val="20"/>
          <w:lang w:val="en-IN"/>
        </w:rPr>
      </w:pPr>
    </w:p>
    <w:p w14:paraId="14992724" w14:textId="77777777" w:rsidR="005D735A" w:rsidRPr="005D735A" w:rsidRDefault="005D735A" w:rsidP="005D735A">
      <w:pPr>
        <w:rPr>
          <w:sz w:val="20"/>
          <w:lang w:val="en-IN"/>
        </w:rPr>
      </w:pPr>
      <w:r w:rsidRPr="005D735A">
        <w:rPr>
          <w:sz w:val="20"/>
          <w:lang w:val="en-IN"/>
        </w:rPr>
        <w:t>Johnson, C. W., Reid, D., Parker, J. A., Harrison, R. A., Weston, L., Peti, W., … Campbell, S. L. (2017). The small GTPases K-Ras, N-Ras, and H-Ras have distinct biochemical properties determined by allosteric effects. Journal of Biological Chemistry, 292(31), 12981–12993. https://doi.org/10.1074/jbc.M117.778886</w:t>
      </w:r>
    </w:p>
    <w:p w14:paraId="527F5D41" w14:textId="77777777" w:rsidR="005D735A" w:rsidRPr="005D735A" w:rsidRDefault="005D735A" w:rsidP="005D735A">
      <w:pPr>
        <w:rPr>
          <w:sz w:val="20"/>
          <w:lang w:val="en-IN"/>
        </w:rPr>
      </w:pPr>
    </w:p>
    <w:p w14:paraId="7B2963E5" w14:textId="77777777" w:rsidR="005D735A" w:rsidRPr="005D735A" w:rsidRDefault="005D735A" w:rsidP="005D735A">
      <w:pPr>
        <w:rPr>
          <w:sz w:val="20"/>
          <w:lang w:val="en-IN"/>
        </w:rPr>
      </w:pPr>
      <w:r w:rsidRPr="005D735A">
        <w:rPr>
          <w:sz w:val="20"/>
          <w:lang w:val="en-IN"/>
        </w:rPr>
        <w:t>Johnson, D. B., &amp; Puzanov, I. (2015). Treatment of NRAS-mutant melanoma. Current Treatment Options in Oncology, 16(4), 15. https://doi.org/10.1007/s11864-015-0330-z</w:t>
      </w:r>
    </w:p>
    <w:p w14:paraId="7DEA4DDC" w14:textId="77777777" w:rsidR="005D735A" w:rsidRPr="005D735A" w:rsidRDefault="005D735A" w:rsidP="005D735A">
      <w:pPr>
        <w:rPr>
          <w:sz w:val="20"/>
          <w:lang w:val="en-IN"/>
        </w:rPr>
      </w:pPr>
    </w:p>
    <w:p w14:paraId="20B9F2ED" w14:textId="77777777" w:rsidR="005D735A" w:rsidRPr="005D735A" w:rsidRDefault="005D735A" w:rsidP="005D735A">
      <w:pPr>
        <w:rPr>
          <w:sz w:val="20"/>
          <w:lang w:val="en-IN"/>
        </w:rPr>
      </w:pPr>
      <w:proofErr w:type="spellStart"/>
      <w:r w:rsidRPr="005D735A">
        <w:rPr>
          <w:sz w:val="20"/>
          <w:lang w:val="en-IN"/>
        </w:rPr>
        <w:t>Kanehisa</w:t>
      </w:r>
      <w:proofErr w:type="spellEnd"/>
      <w:r w:rsidRPr="005D735A">
        <w:rPr>
          <w:sz w:val="20"/>
          <w:lang w:val="en-IN"/>
        </w:rPr>
        <w:t xml:space="preserve">, M., &amp; Goto, S. (2000). KEGG: Kyoto </w:t>
      </w:r>
      <w:proofErr w:type="spellStart"/>
      <w:r w:rsidRPr="005D735A">
        <w:rPr>
          <w:sz w:val="20"/>
          <w:lang w:val="en-IN"/>
        </w:rPr>
        <w:t>encyclopedia</w:t>
      </w:r>
      <w:proofErr w:type="spellEnd"/>
      <w:r w:rsidRPr="005D735A">
        <w:rPr>
          <w:sz w:val="20"/>
          <w:lang w:val="en-IN"/>
        </w:rPr>
        <w:t xml:space="preserve"> of genes and genomes. Nucleic Acids Research, 28(1), 27–30. https://doi.org/10.1093/nar/28.1.27</w:t>
      </w:r>
    </w:p>
    <w:p w14:paraId="18A92745" w14:textId="77777777" w:rsidR="005D735A" w:rsidRPr="005D735A" w:rsidRDefault="005D735A" w:rsidP="005D735A">
      <w:pPr>
        <w:rPr>
          <w:sz w:val="20"/>
          <w:lang w:val="en-IN"/>
        </w:rPr>
      </w:pPr>
    </w:p>
    <w:p w14:paraId="2C544C3F" w14:textId="77777777" w:rsidR="005D735A" w:rsidRPr="005D735A" w:rsidRDefault="005D735A" w:rsidP="005D735A">
      <w:pPr>
        <w:rPr>
          <w:sz w:val="20"/>
          <w:lang w:val="en-IN"/>
        </w:rPr>
      </w:pPr>
      <w:r w:rsidRPr="005D735A">
        <w:rPr>
          <w:sz w:val="20"/>
          <w:lang w:val="en-IN"/>
        </w:rPr>
        <w:t xml:space="preserve">Kitchen, D. B., </w:t>
      </w:r>
      <w:proofErr w:type="spellStart"/>
      <w:r w:rsidRPr="005D735A">
        <w:rPr>
          <w:sz w:val="20"/>
          <w:lang w:val="en-IN"/>
        </w:rPr>
        <w:t>Decornez</w:t>
      </w:r>
      <w:proofErr w:type="spellEnd"/>
      <w:r w:rsidRPr="005D735A">
        <w:rPr>
          <w:sz w:val="20"/>
          <w:lang w:val="en-IN"/>
        </w:rPr>
        <w:t xml:space="preserve">, H., Furr, J. R., &amp; </w:t>
      </w:r>
      <w:proofErr w:type="spellStart"/>
      <w:r w:rsidRPr="005D735A">
        <w:rPr>
          <w:sz w:val="20"/>
          <w:lang w:val="en-IN"/>
        </w:rPr>
        <w:t>Bajorath</w:t>
      </w:r>
      <w:proofErr w:type="spellEnd"/>
      <w:r w:rsidRPr="005D735A">
        <w:rPr>
          <w:sz w:val="20"/>
          <w:lang w:val="en-IN"/>
        </w:rPr>
        <w:t>, J. (2004). Docking and scoring in virtual screening for drug discovery. Nature Reviews Drug Discovery, 3(11), 935–949.</w:t>
      </w:r>
    </w:p>
    <w:p w14:paraId="38FDDFFC" w14:textId="77777777" w:rsidR="005D735A" w:rsidRPr="005D735A" w:rsidRDefault="005D735A" w:rsidP="005D735A">
      <w:pPr>
        <w:rPr>
          <w:sz w:val="20"/>
          <w:lang w:val="en-IN"/>
        </w:rPr>
      </w:pPr>
    </w:p>
    <w:p w14:paraId="7E868AE1" w14:textId="38C472E0" w:rsidR="005D735A" w:rsidRDefault="005D735A" w:rsidP="005D735A">
      <w:pPr>
        <w:rPr>
          <w:sz w:val="20"/>
          <w:lang w:val="en-IN"/>
        </w:rPr>
      </w:pPr>
      <w:r w:rsidRPr="005D735A">
        <w:rPr>
          <w:sz w:val="20"/>
          <w:lang w:val="it-IT"/>
        </w:rPr>
        <w:t xml:space="preserve">Kolch, W., Berta, D., &amp; Rosta, E. (2023). </w:t>
      </w:r>
      <w:r w:rsidRPr="005D735A">
        <w:rPr>
          <w:sz w:val="20"/>
          <w:lang w:val="en-IN"/>
        </w:rPr>
        <w:t xml:space="preserve">[Title]. Biochemical Journal, 480, 1–23. </w:t>
      </w:r>
      <w:hyperlink r:id="rId32" w:history="1">
        <w:r w:rsidR="00C35105" w:rsidRPr="00D52A2E">
          <w:rPr>
            <w:rStyle w:val="Hyperlink"/>
            <w:sz w:val="20"/>
            <w:lang w:val="en-IN"/>
          </w:rPr>
          <w:t>https://doi.org/10.1042/BCJ20220547</w:t>
        </w:r>
      </w:hyperlink>
    </w:p>
    <w:p w14:paraId="4A6111DC" w14:textId="77777777" w:rsidR="00C35105" w:rsidRDefault="00C35105" w:rsidP="005D735A">
      <w:pPr>
        <w:rPr>
          <w:sz w:val="20"/>
          <w:lang w:val="en-IN"/>
        </w:rPr>
      </w:pPr>
    </w:p>
    <w:p w14:paraId="13ABA8BF" w14:textId="4819C8F9" w:rsidR="00C35105" w:rsidRPr="005D735A" w:rsidRDefault="00C35105" w:rsidP="005D735A">
      <w:pPr>
        <w:rPr>
          <w:sz w:val="20"/>
          <w:lang w:val="en-IN"/>
        </w:rPr>
      </w:pPr>
      <w:proofErr w:type="spellStart"/>
      <w:r w:rsidRPr="00C35105">
        <w:rPr>
          <w:sz w:val="20"/>
          <w:lang w:val="en-IN"/>
        </w:rPr>
        <w:t>Lagorce</w:t>
      </w:r>
      <w:proofErr w:type="spellEnd"/>
      <w:r w:rsidRPr="00C35105">
        <w:rPr>
          <w:sz w:val="20"/>
          <w:lang w:val="en-IN"/>
        </w:rPr>
        <w:t xml:space="preserve">, D., </w:t>
      </w:r>
      <w:proofErr w:type="spellStart"/>
      <w:r w:rsidRPr="00C35105">
        <w:rPr>
          <w:sz w:val="20"/>
          <w:lang w:val="en-IN"/>
        </w:rPr>
        <w:t>Bouslama</w:t>
      </w:r>
      <w:proofErr w:type="spellEnd"/>
      <w:r w:rsidRPr="00C35105">
        <w:rPr>
          <w:sz w:val="20"/>
          <w:lang w:val="en-IN"/>
        </w:rPr>
        <w:t xml:space="preserve">, L., </w:t>
      </w:r>
      <w:proofErr w:type="spellStart"/>
      <w:r w:rsidRPr="00C35105">
        <w:rPr>
          <w:sz w:val="20"/>
          <w:lang w:val="en-IN"/>
        </w:rPr>
        <w:t>Becot</w:t>
      </w:r>
      <w:proofErr w:type="spellEnd"/>
      <w:r w:rsidRPr="00C35105">
        <w:rPr>
          <w:sz w:val="20"/>
          <w:lang w:val="en-IN"/>
        </w:rPr>
        <w:t xml:space="preserve">, J., Ménard, P., &amp; </w:t>
      </w:r>
      <w:proofErr w:type="spellStart"/>
      <w:r w:rsidRPr="00C35105">
        <w:rPr>
          <w:sz w:val="20"/>
          <w:lang w:val="en-IN"/>
        </w:rPr>
        <w:t>Villoutreix</w:t>
      </w:r>
      <w:proofErr w:type="spellEnd"/>
      <w:r w:rsidRPr="00C35105">
        <w:rPr>
          <w:sz w:val="20"/>
          <w:lang w:val="en-IN"/>
        </w:rPr>
        <w:t>, B. O. (2017). FAF-Drugs4: Free ADME-tox filtering computations for chemical biology and early stages drug discovery. Bioinformatics, 33(22), 3658–3660. https://doi.org/10.1093/bioinformatics/btx491 https://academic.oup.com/bioinformatics/article/33/22/3658/4056067?login=false (accessed 21 September 2025)</w:t>
      </w:r>
      <w:r>
        <w:rPr>
          <w:sz w:val="20"/>
          <w:lang w:val="en-IN"/>
        </w:rPr>
        <w:t xml:space="preserve"> </w:t>
      </w:r>
    </w:p>
    <w:p w14:paraId="0A8ACCC2" w14:textId="77777777" w:rsidR="005D735A" w:rsidRPr="005D735A" w:rsidRDefault="005D735A" w:rsidP="005D735A">
      <w:pPr>
        <w:rPr>
          <w:sz w:val="20"/>
          <w:lang w:val="en-IN"/>
        </w:rPr>
      </w:pPr>
    </w:p>
    <w:p w14:paraId="09DDDB10" w14:textId="77777777" w:rsidR="005D735A" w:rsidRPr="005D735A" w:rsidRDefault="005D735A" w:rsidP="005D735A">
      <w:pPr>
        <w:rPr>
          <w:sz w:val="20"/>
          <w:lang w:val="en-IN"/>
        </w:rPr>
      </w:pPr>
      <w:r w:rsidRPr="005D735A">
        <w:rPr>
          <w:sz w:val="20"/>
          <w:lang w:val="it-IT"/>
        </w:rPr>
        <w:t xml:space="preserve">Li, G., &amp; Zhang, X. C. (2004). </w:t>
      </w:r>
      <w:r w:rsidRPr="005D735A">
        <w:rPr>
          <w:sz w:val="20"/>
          <w:lang w:val="en-IN"/>
        </w:rPr>
        <w:t>GTP hydrolysis mechanism of Ras-like GTPases. Journal of Molecular Biology, 340(5), 921–932. https://doi.org/10.1016/j.jmb.2004.05.079</w:t>
      </w:r>
    </w:p>
    <w:p w14:paraId="1F29AB36" w14:textId="77777777" w:rsidR="005D735A" w:rsidRPr="005D735A" w:rsidRDefault="005D735A" w:rsidP="005D735A">
      <w:pPr>
        <w:rPr>
          <w:sz w:val="20"/>
          <w:lang w:val="en-IN"/>
        </w:rPr>
      </w:pPr>
    </w:p>
    <w:p w14:paraId="1C9A0B83" w14:textId="77777777" w:rsidR="005D735A" w:rsidRPr="005D735A" w:rsidRDefault="005D735A" w:rsidP="005D735A">
      <w:pPr>
        <w:rPr>
          <w:sz w:val="20"/>
          <w:lang w:val="en-IN"/>
        </w:rPr>
      </w:pPr>
      <w:r w:rsidRPr="005D735A">
        <w:rPr>
          <w:sz w:val="20"/>
          <w:lang w:val="en-IN"/>
        </w:rPr>
        <w:t>Li, S., Balmain, A., &amp; Counter, C. M. (2018). A model for RAS mutation patterns in cancers: Finding the sweet spot. Nature Reviews Cancer, 18(12), 767–777. https://doi.org/10.1038/s41568-018-0076-6</w:t>
      </w:r>
    </w:p>
    <w:p w14:paraId="5CB872B6" w14:textId="77777777" w:rsidR="005D735A" w:rsidRPr="005D735A" w:rsidRDefault="005D735A" w:rsidP="005D735A">
      <w:pPr>
        <w:rPr>
          <w:sz w:val="20"/>
          <w:lang w:val="en-IN"/>
        </w:rPr>
      </w:pPr>
    </w:p>
    <w:p w14:paraId="2B158CF4" w14:textId="77777777" w:rsidR="005D735A" w:rsidRPr="005D735A" w:rsidRDefault="005D735A" w:rsidP="005D735A">
      <w:pPr>
        <w:rPr>
          <w:sz w:val="20"/>
          <w:lang w:val="en-IN"/>
        </w:rPr>
      </w:pPr>
      <w:proofErr w:type="spellStart"/>
      <w:r w:rsidRPr="005D735A">
        <w:rPr>
          <w:sz w:val="20"/>
          <w:lang w:val="en-IN"/>
        </w:rPr>
        <w:t>LigPlus</w:t>
      </w:r>
      <w:proofErr w:type="spellEnd"/>
      <w:r w:rsidRPr="005D735A">
        <w:rPr>
          <w:sz w:val="20"/>
          <w:lang w:val="en-IN"/>
        </w:rPr>
        <w:t>. (2025). Automatic generation of ligand–protein interaction diagrams. European Bioinformatics Institute. https://www.ebi.ac.uk/thornton-srv/software/LigPlus/</w:t>
      </w:r>
    </w:p>
    <w:p w14:paraId="74CD4880" w14:textId="77777777" w:rsidR="005D735A" w:rsidRPr="005D735A" w:rsidRDefault="005D735A" w:rsidP="005D735A">
      <w:pPr>
        <w:rPr>
          <w:sz w:val="20"/>
          <w:lang w:val="en-IN"/>
        </w:rPr>
      </w:pPr>
      <w:r w:rsidRPr="005D735A">
        <w:rPr>
          <w:sz w:val="20"/>
          <w:lang w:val="en-IN"/>
        </w:rPr>
        <w:t xml:space="preserve"> (accessed 21 September 2025)</w:t>
      </w:r>
    </w:p>
    <w:p w14:paraId="02634ADE" w14:textId="77777777" w:rsidR="005D735A" w:rsidRPr="005D735A" w:rsidRDefault="005D735A" w:rsidP="005D735A">
      <w:pPr>
        <w:rPr>
          <w:sz w:val="20"/>
          <w:lang w:val="en-IN"/>
        </w:rPr>
      </w:pPr>
    </w:p>
    <w:p w14:paraId="363BDD92" w14:textId="77777777" w:rsidR="005D735A" w:rsidRPr="005D735A" w:rsidRDefault="005D735A" w:rsidP="005D735A">
      <w:pPr>
        <w:rPr>
          <w:sz w:val="20"/>
          <w:lang w:val="en-IN"/>
        </w:rPr>
      </w:pPr>
      <w:proofErr w:type="spellStart"/>
      <w:r w:rsidRPr="005D735A">
        <w:rPr>
          <w:sz w:val="20"/>
          <w:lang w:val="en-IN"/>
        </w:rPr>
        <w:t>Lionta</w:t>
      </w:r>
      <w:proofErr w:type="spellEnd"/>
      <w:r w:rsidRPr="005D735A">
        <w:rPr>
          <w:sz w:val="20"/>
          <w:lang w:val="en-IN"/>
        </w:rPr>
        <w:t xml:space="preserve">, E., Spyrou, G., Vassilatis, D. K., &amp; </w:t>
      </w:r>
      <w:proofErr w:type="spellStart"/>
      <w:r w:rsidRPr="005D735A">
        <w:rPr>
          <w:sz w:val="20"/>
          <w:lang w:val="en-IN"/>
        </w:rPr>
        <w:t>Cournia</w:t>
      </w:r>
      <w:proofErr w:type="spellEnd"/>
      <w:r w:rsidRPr="005D735A">
        <w:rPr>
          <w:sz w:val="20"/>
          <w:lang w:val="en-IN"/>
        </w:rPr>
        <w:t>, Z. (2014). Structure-based virtual screening for drug discovery: Principles, applications and recent advances. Current Topics in Medicinal Chemistry, 14(16), 1923–1938.</w:t>
      </w:r>
    </w:p>
    <w:p w14:paraId="31B0095A" w14:textId="77777777" w:rsidR="005D735A" w:rsidRPr="005D735A" w:rsidRDefault="005D735A" w:rsidP="005D735A">
      <w:pPr>
        <w:rPr>
          <w:sz w:val="20"/>
          <w:lang w:val="en-IN"/>
        </w:rPr>
      </w:pPr>
    </w:p>
    <w:p w14:paraId="49638DF9" w14:textId="77777777" w:rsidR="005D735A" w:rsidRPr="005D735A" w:rsidRDefault="005D735A" w:rsidP="005D735A">
      <w:pPr>
        <w:rPr>
          <w:sz w:val="20"/>
          <w:lang w:val="en-IN"/>
        </w:rPr>
      </w:pPr>
      <w:r w:rsidRPr="005D735A">
        <w:rPr>
          <w:sz w:val="20"/>
          <w:lang w:val="en-IN"/>
        </w:rPr>
        <w:t>McCormick, F. (2015). KRAS as a therapeutic target. Clinical Cancer Research, 21, 1797–1801.</w:t>
      </w:r>
    </w:p>
    <w:p w14:paraId="0B4A5FDA" w14:textId="77777777" w:rsidR="005D735A" w:rsidRPr="005D735A" w:rsidRDefault="005D735A" w:rsidP="005D735A">
      <w:pPr>
        <w:rPr>
          <w:sz w:val="20"/>
          <w:lang w:val="en-IN"/>
        </w:rPr>
      </w:pPr>
    </w:p>
    <w:p w14:paraId="3F4BF23B" w14:textId="77777777" w:rsidR="005D735A" w:rsidRPr="005D735A" w:rsidRDefault="005D735A" w:rsidP="005D735A">
      <w:pPr>
        <w:rPr>
          <w:sz w:val="20"/>
          <w:lang w:val="en-IN"/>
        </w:rPr>
      </w:pPr>
      <w:r w:rsidRPr="005D735A">
        <w:rPr>
          <w:sz w:val="20"/>
          <w:lang w:val="en-IN"/>
        </w:rPr>
        <w:t>Moore, A. R., Rosenberg, S. C., McCormick, F., &amp; Malek, S. (2020). RAS-targeted therapies: Is the undruggable drugged? Nature Reviews Drug Discovery, 19(8), 533–552. https://doi.org/10.1038/s41573-020-0068-6</w:t>
      </w:r>
    </w:p>
    <w:p w14:paraId="5F989893" w14:textId="77777777" w:rsidR="005D735A" w:rsidRPr="005D735A" w:rsidRDefault="005D735A" w:rsidP="005D735A">
      <w:pPr>
        <w:rPr>
          <w:sz w:val="20"/>
          <w:lang w:val="en-IN"/>
        </w:rPr>
      </w:pPr>
    </w:p>
    <w:p w14:paraId="7C2222C1" w14:textId="77777777" w:rsidR="005D735A" w:rsidRPr="005D735A" w:rsidRDefault="005D735A" w:rsidP="005D735A">
      <w:pPr>
        <w:rPr>
          <w:sz w:val="20"/>
          <w:lang w:val="en-IN"/>
        </w:rPr>
      </w:pPr>
      <w:r w:rsidRPr="005D735A">
        <w:rPr>
          <w:sz w:val="20"/>
          <w:lang w:val="en-IN"/>
        </w:rPr>
        <w:lastRenderedPageBreak/>
        <w:t>National Cancer Institute. (2025). The cancer genome atlas (TCGA) – Melanoma skin cancer. https://www.cancer.gov/about-nci/organization/ccg/research/structural-genomics/tcga/studied-cancers/melanoma-skin</w:t>
      </w:r>
    </w:p>
    <w:p w14:paraId="449C40C5" w14:textId="77777777" w:rsidR="005D735A" w:rsidRPr="005D735A" w:rsidRDefault="005D735A" w:rsidP="005D735A">
      <w:pPr>
        <w:rPr>
          <w:sz w:val="20"/>
          <w:lang w:val="en-IN"/>
        </w:rPr>
      </w:pPr>
      <w:r w:rsidRPr="005D735A">
        <w:rPr>
          <w:sz w:val="20"/>
          <w:lang w:val="en-IN"/>
        </w:rPr>
        <w:t xml:space="preserve"> (accessed 21 September 2025)</w:t>
      </w:r>
    </w:p>
    <w:p w14:paraId="396DACBE" w14:textId="77777777" w:rsidR="005D735A" w:rsidRPr="005D735A" w:rsidRDefault="005D735A" w:rsidP="005D735A">
      <w:pPr>
        <w:rPr>
          <w:sz w:val="20"/>
          <w:lang w:val="en-IN"/>
        </w:rPr>
      </w:pPr>
    </w:p>
    <w:p w14:paraId="3F88D36F" w14:textId="77777777" w:rsidR="005D735A" w:rsidRPr="005D735A" w:rsidRDefault="005D735A" w:rsidP="005D735A">
      <w:pPr>
        <w:rPr>
          <w:sz w:val="20"/>
          <w:lang w:val="en-IN"/>
        </w:rPr>
      </w:pPr>
      <w:r w:rsidRPr="005D735A">
        <w:rPr>
          <w:sz w:val="20"/>
          <w:lang w:val="en-IN"/>
        </w:rPr>
        <w:t xml:space="preserve">Navas, C., Hernández-Porras, I., Schuhmacher, A. J., Sibilia, M., Guerra, C., &amp; </w:t>
      </w:r>
      <w:proofErr w:type="spellStart"/>
      <w:r w:rsidRPr="005D735A">
        <w:rPr>
          <w:sz w:val="20"/>
          <w:lang w:val="en-IN"/>
        </w:rPr>
        <w:t>Barbacid</w:t>
      </w:r>
      <w:proofErr w:type="spellEnd"/>
      <w:r w:rsidRPr="005D735A">
        <w:rPr>
          <w:sz w:val="20"/>
          <w:lang w:val="en-IN"/>
        </w:rPr>
        <w:t xml:space="preserve">, M. (2012). EGF receptor </w:t>
      </w:r>
      <w:proofErr w:type="spellStart"/>
      <w:r w:rsidRPr="005D735A">
        <w:rPr>
          <w:sz w:val="20"/>
          <w:lang w:val="en-IN"/>
        </w:rPr>
        <w:t>signaling</w:t>
      </w:r>
      <w:proofErr w:type="spellEnd"/>
      <w:r w:rsidRPr="005D735A">
        <w:rPr>
          <w:sz w:val="20"/>
          <w:lang w:val="en-IN"/>
        </w:rPr>
        <w:t xml:space="preserve"> is essential for K-Ras oncogene-driven pancreatic ductal adenocarcinoma. Cancer Cell, 22(3), 318–330.</w:t>
      </w:r>
    </w:p>
    <w:p w14:paraId="7F241E11" w14:textId="77777777" w:rsidR="005D735A" w:rsidRPr="005D735A" w:rsidRDefault="005D735A" w:rsidP="005D735A">
      <w:pPr>
        <w:rPr>
          <w:sz w:val="20"/>
          <w:lang w:val="en-IN"/>
        </w:rPr>
      </w:pPr>
    </w:p>
    <w:p w14:paraId="27A25CBA" w14:textId="77777777" w:rsidR="005D735A" w:rsidRPr="005D735A" w:rsidRDefault="005D735A" w:rsidP="005D735A">
      <w:pPr>
        <w:rPr>
          <w:sz w:val="20"/>
          <w:lang w:val="en-IN"/>
        </w:rPr>
      </w:pPr>
      <w:r w:rsidRPr="005D735A">
        <w:rPr>
          <w:sz w:val="20"/>
          <w:lang w:val="en-IN"/>
        </w:rPr>
        <w:t>Newman, D. J., &amp; Cragg, G. M. (2020). Natural products as sources of new drugs. Journal of Natural Products, 83(3), 770–803.</w:t>
      </w:r>
    </w:p>
    <w:p w14:paraId="1ACC0A70" w14:textId="77777777" w:rsidR="005D735A" w:rsidRPr="005D735A" w:rsidRDefault="005D735A" w:rsidP="005D735A">
      <w:pPr>
        <w:rPr>
          <w:sz w:val="20"/>
          <w:lang w:val="en-IN"/>
        </w:rPr>
      </w:pPr>
    </w:p>
    <w:p w14:paraId="20B92D60" w14:textId="77777777" w:rsidR="005D735A" w:rsidRPr="005D735A" w:rsidRDefault="005D735A" w:rsidP="005D735A">
      <w:pPr>
        <w:rPr>
          <w:sz w:val="20"/>
          <w:lang w:val="en-IN"/>
        </w:rPr>
      </w:pPr>
      <w:r w:rsidRPr="005D735A">
        <w:rPr>
          <w:sz w:val="20"/>
          <w:lang w:val="en-IN"/>
        </w:rPr>
        <w:t xml:space="preserve">Normanno, N., </w:t>
      </w:r>
      <w:proofErr w:type="spellStart"/>
      <w:r w:rsidRPr="005D735A">
        <w:rPr>
          <w:sz w:val="20"/>
          <w:lang w:val="en-IN"/>
        </w:rPr>
        <w:t>Tejpar</w:t>
      </w:r>
      <w:proofErr w:type="spellEnd"/>
      <w:r w:rsidRPr="005D735A">
        <w:rPr>
          <w:sz w:val="20"/>
          <w:lang w:val="en-IN"/>
        </w:rPr>
        <w:t>, S., Morgillo, F., De Luca, A., Van Cutsem, E., &amp; Ciardiello, F. (2009). Implications for KRAS status and EGFR-targeted therapies in metastatic colorectal cancer. Nature Reviews Clinical Oncology, 6(9), 519–527.</w:t>
      </w:r>
    </w:p>
    <w:p w14:paraId="7B0E88AC" w14:textId="77777777" w:rsidR="005D735A" w:rsidRPr="005D735A" w:rsidRDefault="005D735A" w:rsidP="005D735A">
      <w:pPr>
        <w:rPr>
          <w:sz w:val="20"/>
          <w:lang w:val="en-IN"/>
        </w:rPr>
      </w:pPr>
    </w:p>
    <w:p w14:paraId="779E35A7" w14:textId="77777777" w:rsidR="005D735A" w:rsidRPr="005D735A" w:rsidRDefault="005D735A" w:rsidP="005D735A">
      <w:pPr>
        <w:rPr>
          <w:sz w:val="20"/>
          <w:lang w:val="en-IN"/>
        </w:rPr>
      </w:pPr>
      <w:r w:rsidRPr="005D735A">
        <w:rPr>
          <w:sz w:val="20"/>
          <w:lang w:val="en-IN"/>
        </w:rPr>
        <w:t>Ostrem, J. M., &amp; Shokat, K. M. (2016). Direct small-molecule inhibitors of KRAS: From structural insights to mechanism-based design. Nature Reviews Drug Discovery, 15(11), 771–785.</w:t>
      </w:r>
    </w:p>
    <w:p w14:paraId="0B7D3B96" w14:textId="77777777" w:rsidR="005D735A" w:rsidRPr="005D735A" w:rsidRDefault="005D735A" w:rsidP="005D735A">
      <w:pPr>
        <w:rPr>
          <w:sz w:val="20"/>
          <w:lang w:val="en-IN"/>
        </w:rPr>
      </w:pPr>
    </w:p>
    <w:p w14:paraId="5E639CF7" w14:textId="77777777" w:rsidR="005D735A" w:rsidRPr="005D735A" w:rsidRDefault="005D735A" w:rsidP="005D735A">
      <w:pPr>
        <w:rPr>
          <w:sz w:val="20"/>
          <w:lang w:val="en-IN"/>
        </w:rPr>
      </w:pPr>
      <w:r w:rsidRPr="005D735A">
        <w:rPr>
          <w:sz w:val="20"/>
          <w:lang w:val="en-IN"/>
        </w:rPr>
        <w:t>PROCHECK. (2025). Stereochemical quality assessment of protein structures. European Bioinformatics Institute. (accessed 21 September 2025)</w:t>
      </w:r>
    </w:p>
    <w:p w14:paraId="2E89A7C4" w14:textId="77777777" w:rsidR="005D735A" w:rsidRPr="005D735A" w:rsidRDefault="005D735A" w:rsidP="005D735A">
      <w:pPr>
        <w:rPr>
          <w:sz w:val="20"/>
          <w:lang w:val="en-IN"/>
        </w:rPr>
      </w:pPr>
    </w:p>
    <w:p w14:paraId="71F5E397" w14:textId="77777777" w:rsidR="005D735A" w:rsidRPr="005D735A" w:rsidRDefault="005D735A" w:rsidP="005D735A">
      <w:pPr>
        <w:rPr>
          <w:sz w:val="20"/>
          <w:lang w:val="en-IN"/>
        </w:rPr>
      </w:pPr>
      <w:proofErr w:type="spellStart"/>
      <w:r w:rsidRPr="005D735A">
        <w:rPr>
          <w:sz w:val="20"/>
          <w:lang w:val="en-IN"/>
        </w:rPr>
        <w:t>ProSA</w:t>
      </w:r>
      <w:proofErr w:type="spellEnd"/>
      <w:r w:rsidRPr="005D735A">
        <w:rPr>
          <w:sz w:val="20"/>
          <w:lang w:val="en-IN"/>
        </w:rPr>
        <w:t>. (2025). Protein structure analysis. (accessed 21 September 2025)</w:t>
      </w:r>
    </w:p>
    <w:p w14:paraId="01290C73" w14:textId="77777777" w:rsidR="005D735A" w:rsidRPr="005D735A" w:rsidRDefault="005D735A" w:rsidP="005D735A">
      <w:pPr>
        <w:rPr>
          <w:sz w:val="20"/>
          <w:lang w:val="en-IN"/>
        </w:rPr>
      </w:pPr>
    </w:p>
    <w:p w14:paraId="1ECF3D2B" w14:textId="77777777" w:rsidR="005D735A" w:rsidRPr="005D735A" w:rsidRDefault="005D735A" w:rsidP="005D735A">
      <w:pPr>
        <w:rPr>
          <w:sz w:val="20"/>
          <w:lang w:val="en-IN"/>
        </w:rPr>
      </w:pPr>
      <w:r w:rsidRPr="005D735A">
        <w:rPr>
          <w:sz w:val="20"/>
          <w:lang w:val="it-IT"/>
        </w:rPr>
        <w:t xml:space="preserve">Pylayeva-Gupta, Y., Grabocka, E., &amp; Bar-Sagi, D. (2011). </w:t>
      </w:r>
      <w:r w:rsidRPr="005D735A">
        <w:rPr>
          <w:sz w:val="20"/>
          <w:lang w:val="en-IN"/>
        </w:rPr>
        <w:t>RAS oncogenes: Weaving a tumorigenic web. Nature Reviews Cancer, 11(11), 761–774.</w:t>
      </w:r>
    </w:p>
    <w:p w14:paraId="0F6A669A" w14:textId="77777777" w:rsidR="005D735A" w:rsidRPr="005D735A" w:rsidRDefault="005D735A" w:rsidP="005D735A">
      <w:pPr>
        <w:rPr>
          <w:sz w:val="20"/>
          <w:lang w:val="en-IN"/>
        </w:rPr>
      </w:pPr>
    </w:p>
    <w:p w14:paraId="7FEEE7F6" w14:textId="77777777" w:rsidR="005D735A" w:rsidRPr="005D735A" w:rsidRDefault="005D735A" w:rsidP="005D735A">
      <w:pPr>
        <w:rPr>
          <w:sz w:val="20"/>
          <w:lang w:val="en-IN"/>
        </w:rPr>
      </w:pPr>
      <w:r w:rsidRPr="005D735A">
        <w:rPr>
          <w:sz w:val="20"/>
          <w:lang w:val="en-IN"/>
        </w:rPr>
        <w:t>Radhakrishnan, S., Menon, P., &amp; Silva, K. (2024). Python Prescription (</w:t>
      </w:r>
      <w:proofErr w:type="spellStart"/>
      <w:r w:rsidRPr="005D735A">
        <w:rPr>
          <w:sz w:val="20"/>
          <w:lang w:val="en-IN"/>
        </w:rPr>
        <w:t>PyRx</w:t>
      </w:r>
      <w:proofErr w:type="spellEnd"/>
      <w:r w:rsidRPr="005D735A">
        <w:rPr>
          <w:sz w:val="20"/>
          <w:lang w:val="en-IN"/>
        </w:rPr>
        <w:t>) transforms virtual drug discovery with AI-driven tools. African Journal of Biomedical Research, 27(3s).</w:t>
      </w:r>
    </w:p>
    <w:p w14:paraId="0B45D1E7" w14:textId="77777777" w:rsidR="005D735A" w:rsidRPr="005D735A" w:rsidRDefault="005D735A" w:rsidP="005D735A">
      <w:pPr>
        <w:rPr>
          <w:sz w:val="20"/>
          <w:lang w:val="en-IN"/>
        </w:rPr>
      </w:pPr>
    </w:p>
    <w:p w14:paraId="10923AA7" w14:textId="77777777" w:rsidR="005D735A" w:rsidRPr="005D735A" w:rsidRDefault="005D735A" w:rsidP="005D735A">
      <w:pPr>
        <w:rPr>
          <w:sz w:val="20"/>
          <w:lang w:val="en-IN"/>
        </w:rPr>
      </w:pPr>
      <w:r w:rsidRPr="005D735A">
        <w:rPr>
          <w:sz w:val="20"/>
          <w:lang w:val="en-IN"/>
        </w:rPr>
        <w:t xml:space="preserve">Rodriguez-Viciana, P., Warne, P. H., Dhand, R., </w:t>
      </w:r>
      <w:proofErr w:type="spellStart"/>
      <w:r w:rsidRPr="005D735A">
        <w:rPr>
          <w:sz w:val="20"/>
          <w:lang w:val="en-IN"/>
        </w:rPr>
        <w:t>Vanhaesebroeck</w:t>
      </w:r>
      <w:proofErr w:type="spellEnd"/>
      <w:r w:rsidRPr="005D735A">
        <w:rPr>
          <w:sz w:val="20"/>
          <w:lang w:val="en-IN"/>
        </w:rPr>
        <w:t>, B., Gout, I., Fry, M. J., Waterfield, M. D., &amp; Downward, J. (1994). Phosphatidylinositol-3-</w:t>
      </w:r>
      <w:proofErr w:type="gramStart"/>
      <w:r w:rsidRPr="005D735A">
        <w:rPr>
          <w:sz w:val="20"/>
          <w:lang w:val="en-IN"/>
        </w:rPr>
        <w:t>OH</w:t>
      </w:r>
      <w:proofErr w:type="gramEnd"/>
      <w:r w:rsidRPr="005D735A">
        <w:rPr>
          <w:sz w:val="20"/>
          <w:lang w:val="en-IN"/>
        </w:rPr>
        <w:t xml:space="preserve"> kinase as a direct target of Ras. Nature, 370(6490), 527–532.</w:t>
      </w:r>
    </w:p>
    <w:p w14:paraId="54E0C0D4" w14:textId="77777777" w:rsidR="005D735A" w:rsidRPr="005D735A" w:rsidRDefault="005D735A" w:rsidP="005D735A">
      <w:pPr>
        <w:rPr>
          <w:sz w:val="20"/>
          <w:lang w:val="en-IN"/>
        </w:rPr>
      </w:pPr>
    </w:p>
    <w:p w14:paraId="4D526CA4" w14:textId="77777777" w:rsidR="005D735A" w:rsidRPr="005D735A" w:rsidRDefault="005D735A" w:rsidP="005D735A">
      <w:pPr>
        <w:rPr>
          <w:sz w:val="20"/>
          <w:lang w:val="en-IN"/>
        </w:rPr>
      </w:pPr>
      <w:proofErr w:type="spellStart"/>
      <w:r w:rsidRPr="005D735A">
        <w:rPr>
          <w:sz w:val="20"/>
          <w:lang w:val="en-IN"/>
        </w:rPr>
        <w:t>Spoerner</w:t>
      </w:r>
      <w:proofErr w:type="spellEnd"/>
      <w:r w:rsidRPr="005D735A">
        <w:rPr>
          <w:sz w:val="20"/>
          <w:lang w:val="en-IN"/>
        </w:rPr>
        <w:t xml:space="preserve">, M., </w:t>
      </w:r>
      <w:proofErr w:type="spellStart"/>
      <w:r w:rsidRPr="005D735A">
        <w:rPr>
          <w:sz w:val="20"/>
          <w:lang w:val="en-IN"/>
        </w:rPr>
        <w:t>Hozsa</w:t>
      </w:r>
      <w:proofErr w:type="spellEnd"/>
      <w:r w:rsidRPr="005D735A">
        <w:rPr>
          <w:sz w:val="20"/>
          <w:lang w:val="en-IN"/>
        </w:rPr>
        <w:t xml:space="preserve">, C., Poetzl, J. A., Reiss, K., Ganser, P., Geyer, M., &amp; </w:t>
      </w:r>
      <w:proofErr w:type="spellStart"/>
      <w:r w:rsidRPr="005D735A">
        <w:rPr>
          <w:sz w:val="20"/>
          <w:lang w:val="en-IN"/>
        </w:rPr>
        <w:t>Kalbitzer</w:t>
      </w:r>
      <w:proofErr w:type="spellEnd"/>
      <w:r w:rsidRPr="005D735A">
        <w:rPr>
          <w:sz w:val="20"/>
          <w:lang w:val="en-IN"/>
        </w:rPr>
        <w:t>, H. R. (2010). Conformational states of human rat sarcoma (Ras) protein complexed with its natural ligand GTP. Journal of Biological Chemistry, 285(51), 39768–39778.</w:t>
      </w:r>
    </w:p>
    <w:p w14:paraId="6E1EB16F" w14:textId="77777777" w:rsidR="005D735A" w:rsidRPr="005D735A" w:rsidRDefault="005D735A" w:rsidP="005D735A">
      <w:pPr>
        <w:rPr>
          <w:sz w:val="20"/>
          <w:lang w:val="en-IN"/>
        </w:rPr>
      </w:pPr>
    </w:p>
    <w:p w14:paraId="2A89D1B5" w14:textId="77777777" w:rsidR="005D735A" w:rsidRPr="005D735A" w:rsidRDefault="005D735A" w:rsidP="005D735A">
      <w:pPr>
        <w:rPr>
          <w:sz w:val="20"/>
          <w:lang w:val="en-IN"/>
        </w:rPr>
      </w:pPr>
      <w:r w:rsidRPr="005D735A">
        <w:rPr>
          <w:sz w:val="20"/>
          <w:lang w:val="en-IN"/>
        </w:rPr>
        <w:t xml:space="preserve">Vetter, I. R., &amp; </w:t>
      </w:r>
      <w:proofErr w:type="spellStart"/>
      <w:r w:rsidRPr="005D735A">
        <w:rPr>
          <w:sz w:val="20"/>
          <w:lang w:val="en-IN"/>
        </w:rPr>
        <w:t>Wittinghofer</w:t>
      </w:r>
      <w:proofErr w:type="spellEnd"/>
      <w:r w:rsidRPr="005D735A">
        <w:rPr>
          <w:sz w:val="20"/>
          <w:lang w:val="en-IN"/>
        </w:rPr>
        <w:t>, A. (2001). The guanine nucleotide-binding switch in three dimensions. Science, 294(5545), 1299–1304.</w:t>
      </w:r>
    </w:p>
    <w:p w14:paraId="043ED344" w14:textId="77777777" w:rsidR="005D735A" w:rsidRPr="005D735A" w:rsidRDefault="005D735A" w:rsidP="005D735A">
      <w:pPr>
        <w:rPr>
          <w:sz w:val="20"/>
          <w:lang w:val="en-IN"/>
        </w:rPr>
      </w:pPr>
    </w:p>
    <w:p w14:paraId="793B8841" w14:textId="77777777" w:rsidR="005D735A" w:rsidRPr="005D735A" w:rsidRDefault="005D735A" w:rsidP="005D735A">
      <w:pPr>
        <w:rPr>
          <w:sz w:val="20"/>
          <w:lang w:val="en-IN"/>
        </w:rPr>
      </w:pPr>
      <w:r w:rsidRPr="005D735A">
        <w:rPr>
          <w:sz w:val="20"/>
          <w:lang w:val="en-IN"/>
        </w:rPr>
        <w:t xml:space="preserve">Wellbrock, C., &amp; </w:t>
      </w:r>
      <w:proofErr w:type="spellStart"/>
      <w:r w:rsidRPr="005D735A">
        <w:rPr>
          <w:sz w:val="20"/>
          <w:lang w:val="en-IN"/>
        </w:rPr>
        <w:t>Arozarena</w:t>
      </w:r>
      <w:proofErr w:type="spellEnd"/>
      <w:r w:rsidRPr="005D735A">
        <w:rPr>
          <w:sz w:val="20"/>
          <w:lang w:val="en-IN"/>
        </w:rPr>
        <w:t>, I. (2016). The complexity of the ERK/MAP-kinase pathway and the treatment of melanoma skin cancer. Frontiers in Cell and Developmental Biology, 4, 33.</w:t>
      </w:r>
    </w:p>
    <w:p w14:paraId="7BE71A6C" w14:textId="77777777" w:rsidR="005D735A" w:rsidRPr="005D735A" w:rsidRDefault="005D735A" w:rsidP="005D735A">
      <w:pPr>
        <w:rPr>
          <w:sz w:val="20"/>
          <w:lang w:val="en-IN"/>
        </w:rPr>
      </w:pPr>
    </w:p>
    <w:p w14:paraId="6BEDA854" w14:textId="77777777" w:rsidR="005D735A" w:rsidRPr="005D735A" w:rsidRDefault="005D735A" w:rsidP="005D735A">
      <w:pPr>
        <w:rPr>
          <w:sz w:val="20"/>
          <w:lang w:val="en-IN"/>
        </w:rPr>
      </w:pPr>
      <w:r w:rsidRPr="005D735A">
        <w:rPr>
          <w:sz w:val="20"/>
          <w:lang w:val="en-IN"/>
        </w:rPr>
        <w:t>Wood, K. W., Sarnecki, C., Roberts, T. M., &amp; Blenis, J. (1992). Ras mediates nerve growth factor receptor modulation of three signal-transducing kinases. Cell, 68(6), 1041–1050.</w:t>
      </w:r>
    </w:p>
    <w:p w14:paraId="175F8B8A" w14:textId="77777777" w:rsidR="005D735A" w:rsidRPr="005D735A" w:rsidRDefault="005D735A" w:rsidP="005D735A">
      <w:pPr>
        <w:rPr>
          <w:sz w:val="20"/>
          <w:lang w:val="en-IN"/>
        </w:rPr>
      </w:pPr>
    </w:p>
    <w:p w14:paraId="4778EBB3" w14:textId="77777777" w:rsidR="005D735A" w:rsidRPr="005D735A" w:rsidRDefault="005D735A" w:rsidP="005D735A">
      <w:pPr>
        <w:rPr>
          <w:sz w:val="20"/>
          <w:lang w:val="en-IN"/>
        </w:rPr>
      </w:pPr>
      <w:r w:rsidRPr="005D735A">
        <w:rPr>
          <w:sz w:val="20"/>
          <w:lang w:val="en-IN"/>
        </w:rPr>
        <w:t>ZINC Database. (2025). Ligand discovery and virtual screening. https://zinc.docking.org/</w:t>
      </w:r>
    </w:p>
    <w:p w14:paraId="27F8D1B7" w14:textId="04F6FF35" w:rsidR="00427666" w:rsidRDefault="005D735A" w:rsidP="005D735A">
      <w:pPr>
        <w:rPr>
          <w:sz w:val="20"/>
          <w:lang w:val="it-IT"/>
        </w:rPr>
      </w:pPr>
      <w:r w:rsidRPr="005D735A">
        <w:rPr>
          <w:sz w:val="20"/>
          <w:lang w:val="en-IN"/>
        </w:rPr>
        <w:t xml:space="preserve"> </w:t>
      </w:r>
      <w:r w:rsidRPr="005D735A">
        <w:rPr>
          <w:sz w:val="20"/>
          <w:lang w:val="it-IT"/>
        </w:rPr>
        <w:t>(accessed 21 September 2025)</w:t>
      </w:r>
    </w:p>
    <w:p w14:paraId="1B6EB17B" w14:textId="77777777" w:rsidR="007202E6" w:rsidRDefault="007202E6" w:rsidP="005D735A">
      <w:pPr>
        <w:rPr>
          <w:sz w:val="20"/>
          <w:lang w:val="it-IT"/>
        </w:rPr>
      </w:pPr>
    </w:p>
    <w:p w14:paraId="677368F2" w14:textId="42D18352" w:rsidR="007202E6" w:rsidRPr="007202E6" w:rsidRDefault="007202E6" w:rsidP="007202E6">
      <w:pPr>
        <w:rPr>
          <w:sz w:val="20"/>
          <w:lang w:val="en-IN"/>
        </w:rPr>
      </w:pPr>
      <w:r w:rsidRPr="007202E6">
        <w:rPr>
          <w:sz w:val="20"/>
          <w:lang w:val="en-IN"/>
        </w:rPr>
        <w:t xml:space="preserve">Kitchen, D. B., </w:t>
      </w:r>
      <w:proofErr w:type="spellStart"/>
      <w:r w:rsidRPr="007202E6">
        <w:rPr>
          <w:sz w:val="20"/>
          <w:lang w:val="en-IN"/>
        </w:rPr>
        <w:t>Decornez</w:t>
      </w:r>
      <w:proofErr w:type="spellEnd"/>
      <w:r w:rsidRPr="007202E6">
        <w:rPr>
          <w:sz w:val="20"/>
          <w:lang w:val="en-IN"/>
        </w:rPr>
        <w:t xml:space="preserve">, H., Furr, J. R., &amp; </w:t>
      </w:r>
      <w:proofErr w:type="spellStart"/>
      <w:r w:rsidRPr="007202E6">
        <w:rPr>
          <w:sz w:val="20"/>
          <w:lang w:val="en-IN"/>
        </w:rPr>
        <w:t>Bajorath</w:t>
      </w:r>
      <w:proofErr w:type="spellEnd"/>
      <w:r w:rsidRPr="007202E6">
        <w:rPr>
          <w:sz w:val="20"/>
          <w:lang w:val="en-IN"/>
        </w:rPr>
        <w:t>, J. (2004). Docking and scoring in virtual screening for drug discovery: methods and applications. Nature Reviews Drug Discovery, 3(11), 935–949. https://doi.org/10.1038/nrd1549</w:t>
      </w:r>
      <w:r>
        <w:rPr>
          <w:sz w:val="20"/>
          <w:lang w:val="en-IN"/>
        </w:rPr>
        <w:t xml:space="preserve"> </w:t>
      </w:r>
    </w:p>
    <w:p w14:paraId="518DF018" w14:textId="77777777" w:rsidR="007202E6" w:rsidRPr="007202E6" w:rsidRDefault="007202E6" w:rsidP="007202E6">
      <w:pPr>
        <w:rPr>
          <w:sz w:val="20"/>
          <w:lang w:val="en-IN"/>
        </w:rPr>
      </w:pPr>
    </w:p>
    <w:p w14:paraId="6A5CB784" w14:textId="7E63AD23" w:rsidR="007202E6" w:rsidRDefault="007202E6" w:rsidP="007202E6">
      <w:pPr>
        <w:rPr>
          <w:sz w:val="20"/>
          <w:lang w:val="en-IN"/>
        </w:rPr>
      </w:pPr>
      <w:proofErr w:type="spellStart"/>
      <w:r w:rsidRPr="007202E6">
        <w:rPr>
          <w:sz w:val="20"/>
          <w:lang w:val="en-IN"/>
        </w:rPr>
        <w:t>Lionta</w:t>
      </w:r>
      <w:proofErr w:type="spellEnd"/>
      <w:r w:rsidRPr="007202E6">
        <w:rPr>
          <w:sz w:val="20"/>
          <w:lang w:val="en-IN"/>
        </w:rPr>
        <w:t xml:space="preserve">, E., Spyrou, G., Vassilatis, D. K., &amp; </w:t>
      </w:r>
      <w:proofErr w:type="spellStart"/>
      <w:r w:rsidRPr="007202E6">
        <w:rPr>
          <w:sz w:val="20"/>
          <w:lang w:val="en-IN"/>
        </w:rPr>
        <w:t>Cournia</w:t>
      </w:r>
      <w:proofErr w:type="spellEnd"/>
      <w:r w:rsidRPr="007202E6">
        <w:rPr>
          <w:sz w:val="20"/>
          <w:lang w:val="en-IN"/>
        </w:rPr>
        <w:t>, Z. (2014). Structure-based virtual screening for drug discovery: principles, applications and recent advances. Current Topics in Medicinal Chemistry, 14(16), 1923–1938.https://doi.org/10.2174/1568026614666140929124445</w:t>
      </w:r>
    </w:p>
    <w:p w14:paraId="0B5DDBB3" w14:textId="77777777" w:rsidR="007202E6" w:rsidRDefault="007202E6" w:rsidP="007202E6">
      <w:pPr>
        <w:rPr>
          <w:sz w:val="20"/>
          <w:lang w:val="en-IN"/>
        </w:rPr>
      </w:pPr>
    </w:p>
    <w:p w14:paraId="74E4CED5" w14:textId="6139371C" w:rsidR="007202E6" w:rsidRPr="00B629E1" w:rsidRDefault="007202E6" w:rsidP="007202E6">
      <w:pPr>
        <w:rPr>
          <w:sz w:val="20"/>
          <w:lang w:val="en-IN"/>
        </w:rPr>
      </w:pPr>
      <w:r w:rsidRPr="007202E6">
        <w:rPr>
          <w:sz w:val="20"/>
          <w:lang w:val="it-IT"/>
        </w:rPr>
        <w:t xml:space="preserve">Cox, A. D., Fesik, S. W., Kimmelman, A. C., Luo, J., &amp; Der, C. J. (2014). </w:t>
      </w:r>
      <w:r w:rsidRPr="007202E6">
        <w:rPr>
          <w:sz w:val="20"/>
          <w:lang w:val="en-IN"/>
        </w:rPr>
        <w:t>Drugging the undruggable RAS: Mission possible? Nature Reviews Drug Discovery, 13(11), 828–851. https://doi.org/10.1038/nrd4389</w:t>
      </w:r>
    </w:p>
    <w:sectPr w:rsidR="007202E6" w:rsidRPr="00B629E1">
      <w:type w:val="continuous"/>
      <w:pgSz w:w="11907" w:h="16839"/>
      <w:pgMar w:top="1701" w:right="1134" w:bottom="1418" w:left="1134" w:header="709" w:footer="709" w:gutter="0"/>
      <w:pgNumType w:start="211"/>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DA05" w14:textId="77777777" w:rsidR="00BA7213" w:rsidRDefault="00BA7213">
      <w:r>
        <w:separator/>
      </w:r>
    </w:p>
  </w:endnote>
  <w:endnote w:type="continuationSeparator" w:id="0">
    <w:p w14:paraId="47321E26" w14:textId="77777777" w:rsidR="00BA7213" w:rsidRDefault="00BA7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default"/>
    <w:sig w:usb0="00000000" w:usb1="00000000" w:usb2="00000000" w:usb3="00000000" w:csb0="0000001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6EA7" w14:textId="77777777" w:rsidR="004631AB" w:rsidRDefault="004631A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DE43A" w14:textId="77777777" w:rsidR="00BA7213" w:rsidRDefault="00BA7213">
      <w:r>
        <w:separator/>
      </w:r>
    </w:p>
  </w:footnote>
  <w:footnote w:type="continuationSeparator" w:id="0">
    <w:p w14:paraId="18150DC6" w14:textId="77777777" w:rsidR="00BA7213" w:rsidRDefault="00BA7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BEBC" w14:textId="77777777" w:rsidR="004631AB" w:rsidRDefault="004631AB">
    <w:pPr>
      <w:pStyle w:val="Header"/>
      <w:tabs>
        <w:tab w:val="clear" w:pos="9072"/>
        <w:tab w:val="right" w:pos="9639"/>
      </w:tabs>
      <w:rPr>
        <w:i/>
        <w:sz w:val="16"/>
        <w:szCs w:val="16"/>
      </w:rPr>
    </w:pPr>
  </w:p>
  <w:p w14:paraId="76652FF3" w14:textId="77777777" w:rsidR="004631AB" w:rsidRDefault="00000000">
    <w:pPr>
      <w:pStyle w:val="Header"/>
      <w:tabs>
        <w:tab w:val="clear" w:pos="9072"/>
        <w:tab w:val="left" w:pos="8505"/>
        <w:tab w:val="right" w:pos="9639"/>
      </w:tabs>
      <w:rPr>
        <w:sz w:val="17"/>
        <w:szCs w:val="17"/>
      </w:rPr>
    </w:pPr>
    <w:r>
      <w:rPr>
        <w:i/>
        <w:sz w:val="17"/>
        <w:szCs w:val="17"/>
      </w:rPr>
      <w:t>Int. J. Chem. Technol.</w:t>
    </w:r>
    <w:r>
      <w:rPr>
        <w:sz w:val="17"/>
        <w:szCs w:val="17"/>
      </w:rPr>
      <w:t xml:space="preserve"> </w:t>
    </w:r>
    <w:r>
      <w:rPr>
        <w:b/>
        <w:sz w:val="17"/>
        <w:szCs w:val="17"/>
      </w:rPr>
      <w:t>202.</w:t>
    </w:r>
    <w:r>
      <w:rPr>
        <w:sz w:val="17"/>
        <w:szCs w:val="17"/>
      </w:rPr>
      <w:t xml:space="preserve">,…                                                                                                                                           author and co-workers                                        </w:t>
    </w:r>
    <w:r>
      <w:rPr>
        <w:sz w:val="17"/>
        <w:szCs w:val="17"/>
      </w:rPr>
      <w:tab/>
      <w:t xml:space="preserve">        </w:t>
    </w:r>
  </w:p>
  <w:p w14:paraId="22ED6E92" w14:textId="77777777" w:rsidR="004631AB" w:rsidRDefault="00000000">
    <w:pPr>
      <w:shd w:val="clear" w:color="auto" w:fill="FFFFFF"/>
      <w:rPr>
        <w:b/>
        <w:color w:val="C00000"/>
        <w:sz w:val="18"/>
        <w:szCs w:val="18"/>
        <w:u w:val="single"/>
      </w:rPr>
    </w:pPr>
    <w:r>
      <w:rPr>
        <w:b/>
        <w:bCs/>
        <w:color w:val="C00000"/>
        <w:sz w:val="18"/>
        <w:szCs w:val="18"/>
        <w:u w:val="single"/>
        <w:shd w:val="clear" w:color="auto" w:fill="FFFFFF"/>
      </w:rPr>
      <w:t>DOI: http://dx.doi.org/10.32571/ijct.</w:t>
    </w:r>
    <w:r>
      <w:rPr>
        <w:b/>
        <w:color w:val="C00000"/>
        <w:sz w:val="18"/>
        <w:szCs w:val="18"/>
        <w:u w:val="single"/>
        <w:shd w:val="clear" w:color="auto" w:fill="FFFFFF"/>
      </w:rPr>
      <w:t>.............</w:t>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0070C0"/>
        <w:sz w:val="18"/>
        <w:szCs w:val="18"/>
        <w:u w:val="single"/>
      </w:rPr>
      <w:tab/>
    </w:r>
    <w:r>
      <w:rPr>
        <w:b/>
        <w:color w:val="0070C0"/>
        <w:sz w:val="18"/>
        <w:szCs w:val="18"/>
        <w:u w:val="single"/>
      </w:rPr>
      <w:tab/>
      <w:t xml:space="preserve">                       E-ISSN: 2602-277X</w:t>
    </w:r>
  </w:p>
  <w:p w14:paraId="09B7A318" w14:textId="77777777" w:rsidR="004631AB" w:rsidRDefault="004631AB">
    <w:pPr>
      <w:shd w:val="clear" w:color="auto" w:fill="FFFFFF"/>
      <w:rPr>
        <w:b/>
        <w:color w:val="C00000"/>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9C98"/>
    <w:multiLevelType w:val="singleLevel"/>
    <w:tmpl w:val="19E79C98"/>
    <w:lvl w:ilvl="0">
      <w:start w:val="1"/>
      <w:numFmt w:val="upperLetter"/>
      <w:suff w:val="space"/>
      <w:lvlText w:val="(%1)"/>
      <w:lvlJc w:val="left"/>
    </w:lvl>
  </w:abstractNum>
  <w:num w:numId="1" w16cid:durableId="68879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340"/>
    <w:rsid w:val="00014A87"/>
    <w:rsid w:val="00046D01"/>
    <w:rsid w:val="0005780F"/>
    <w:rsid w:val="00080D34"/>
    <w:rsid w:val="000C12A8"/>
    <w:rsid w:val="001112C5"/>
    <w:rsid w:val="001447D3"/>
    <w:rsid w:val="0016299D"/>
    <w:rsid w:val="001A0B5F"/>
    <w:rsid w:val="001A3EA8"/>
    <w:rsid w:val="001D741B"/>
    <w:rsid w:val="001F777F"/>
    <w:rsid w:val="0021067D"/>
    <w:rsid w:val="002248CA"/>
    <w:rsid w:val="00237BF6"/>
    <w:rsid w:val="00247803"/>
    <w:rsid w:val="0026161A"/>
    <w:rsid w:val="002802E5"/>
    <w:rsid w:val="00282360"/>
    <w:rsid w:val="002C4B44"/>
    <w:rsid w:val="002C5819"/>
    <w:rsid w:val="002D48DC"/>
    <w:rsid w:val="002E444F"/>
    <w:rsid w:val="002F7BD4"/>
    <w:rsid w:val="00306826"/>
    <w:rsid w:val="00392614"/>
    <w:rsid w:val="00397923"/>
    <w:rsid w:val="003C0A8F"/>
    <w:rsid w:val="003C3DB7"/>
    <w:rsid w:val="003E5E19"/>
    <w:rsid w:val="003F3825"/>
    <w:rsid w:val="00414AC2"/>
    <w:rsid w:val="004168FE"/>
    <w:rsid w:val="00427666"/>
    <w:rsid w:val="004631AB"/>
    <w:rsid w:val="00472444"/>
    <w:rsid w:val="00481897"/>
    <w:rsid w:val="00491414"/>
    <w:rsid w:val="004A6D23"/>
    <w:rsid w:val="004B2199"/>
    <w:rsid w:val="005072DE"/>
    <w:rsid w:val="00507766"/>
    <w:rsid w:val="005130EA"/>
    <w:rsid w:val="00513BE3"/>
    <w:rsid w:val="00550E32"/>
    <w:rsid w:val="00584736"/>
    <w:rsid w:val="005B2879"/>
    <w:rsid w:val="005B4959"/>
    <w:rsid w:val="005C7A88"/>
    <w:rsid w:val="005D735A"/>
    <w:rsid w:val="005E24CA"/>
    <w:rsid w:val="0064055B"/>
    <w:rsid w:val="00646659"/>
    <w:rsid w:val="0065288D"/>
    <w:rsid w:val="00663CD3"/>
    <w:rsid w:val="006813A3"/>
    <w:rsid w:val="00690114"/>
    <w:rsid w:val="00697E75"/>
    <w:rsid w:val="006A49D5"/>
    <w:rsid w:val="006C420A"/>
    <w:rsid w:val="006E49FA"/>
    <w:rsid w:val="006F66E4"/>
    <w:rsid w:val="00700C8A"/>
    <w:rsid w:val="00705203"/>
    <w:rsid w:val="007202E6"/>
    <w:rsid w:val="007402AF"/>
    <w:rsid w:val="007642D9"/>
    <w:rsid w:val="00842830"/>
    <w:rsid w:val="0086532D"/>
    <w:rsid w:val="00876E34"/>
    <w:rsid w:val="00883871"/>
    <w:rsid w:val="00884676"/>
    <w:rsid w:val="008A3F7B"/>
    <w:rsid w:val="008C44F2"/>
    <w:rsid w:val="00901420"/>
    <w:rsid w:val="00967CC7"/>
    <w:rsid w:val="00991762"/>
    <w:rsid w:val="009B67E4"/>
    <w:rsid w:val="009E5217"/>
    <w:rsid w:val="00A020CB"/>
    <w:rsid w:val="00A02F5F"/>
    <w:rsid w:val="00A04DCB"/>
    <w:rsid w:val="00A13AB2"/>
    <w:rsid w:val="00A25553"/>
    <w:rsid w:val="00A47340"/>
    <w:rsid w:val="00A603DF"/>
    <w:rsid w:val="00A648F9"/>
    <w:rsid w:val="00A675F7"/>
    <w:rsid w:val="00A8521B"/>
    <w:rsid w:val="00AA5EE0"/>
    <w:rsid w:val="00AB01C8"/>
    <w:rsid w:val="00AC473C"/>
    <w:rsid w:val="00AC477C"/>
    <w:rsid w:val="00AD56BE"/>
    <w:rsid w:val="00AE1D2E"/>
    <w:rsid w:val="00AE1E97"/>
    <w:rsid w:val="00B41A28"/>
    <w:rsid w:val="00B444D3"/>
    <w:rsid w:val="00B629E1"/>
    <w:rsid w:val="00B71640"/>
    <w:rsid w:val="00BA7213"/>
    <w:rsid w:val="00BE7440"/>
    <w:rsid w:val="00BF6313"/>
    <w:rsid w:val="00C15925"/>
    <w:rsid w:val="00C326A2"/>
    <w:rsid w:val="00C35105"/>
    <w:rsid w:val="00C80032"/>
    <w:rsid w:val="00C85900"/>
    <w:rsid w:val="00CA7852"/>
    <w:rsid w:val="00CB1660"/>
    <w:rsid w:val="00CB755B"/>
    <w:rsid w:val="00CD2DB7"/>
    <w:rsid w:val="00CE756C"/>
    <w:rsid w:val="00D05080"/>
    <w:rsid w:val="00D138D9"/>
    <w:rsid w:val="00D1526F"/>
    <w:rsid w:val="00D231B4"/>
    <w:rsid w:val="00D41E14"/>
    <w:rsid w:val="00D500E0"/>
    <w:rsid w:val="00D53D90"/>
    <w:rsid w:val="00D77749"/>
    <w:rsid w:val="00D81A69"/>
    <w:rsid w:val="00D951BC"/>
    <w:rsid w:val="00DB6657"/>
    <w:rsid w:val="00DB74FD"/>
    <w:rsid w:val="00DE1DAC"/>
    <w:rsid w:val="00DE78EE"/>
    <w:rsid w:val="00E03997"/>
    <w:rsid w:val="00E156B7"/>
    <w:rsid w:val="00E27986"/>
    <w:rsid w:val="00E65ADE"/>
    <w:rsid w:val="00E906AD"/>
    <w:rsid w:val="00E95717"/>
    <w:rsid w:val="00EC4503"/>
    <w:rsid w:val="00EC7DB5"/>
    <w:rsid w:val="00EF7A19"/>
    <w:rsid w:val="00F17459"/>
    <w:rsid w:val="00F25D19"/>
    <w:rsid w:val="00F61BD8"/>
    <w:rsid w:val="00FA302A"/>
    <w:rsid w:val="00FA76A2"/>
    <w:rsid w:val="08F0235E"/>
    <w:rsid w:val="0CEA4533"/>
    <w:rsid w:val="0F48456B"/>
    <w:rsid w:val="146E6BA1"/>
    <w:rsid w:val="18C96438"/>
    <w:rsid w:val="219B593A"/>
    <w:rsid w:val="2516217B"/>
    <w:rsid w:val="27D4248F"/>
    <w:rsid w:val="2C697CDE"/>
    <w:rsid w:val="39D5305E"/>
    <w:rsid w:val="3FA413A2"/>
    <w:rsid w:val="3FDC65E5"/>
    <w:rsid w:val="48E33EC8"/>
    <w:rsid w:val="4F9C0587"/>
    <w:rsid w:val="50C70A77"/>
    <w:rsid w:val="56B665AD"/>
    <w:rsid w:val="57A27353"/>
    <w:rsid w:val="5F6201AF"/>
    <w:rsid w:val="6052454E"/>
    <w:rsid w:val="60AE61AC"/>
    <w:rsid w:val="64D4322B"/>
    <w:rsid w:val="66E46287"/>
    <w:rsid w:val="79351099"/>
    <w:rsid w:val="79F33230"/>
    <w:rsid w:val="7F064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77E1AC"/>
  <w15:docId w15:val="{36163115-E677-4758-B19E-080AFF6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tr-TR" w:eastAsia="tr-TR"/>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nhideWhenUsed/>
    <w:qFormat/>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heme="minorHAnsi" w:eastAsiaTheme="majorEastAsia" w:hAnsiTheme="minorHAnsi" w:cstheme="majorBidi"/>
      <w:i/>
      <w:iCs/>
      <w:color w:val="262626" w:themeColor="text1" w:themeTint="D9"/>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heme="minorHAnsi" w:eastAsiaTheme="majorEastAsia" w:hAnsiTheme="minorHAnsi" w:cstheme="majorBidi"/>
      <w:color w:val="262626" w:themeColor="text1" w:themeTint="D9"/>
      <w:kern w:val="2"/>
      <w:sz w:val="22"/>
      <w:szCs w:val="2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qFormat/>
    <w:rPr>
      <w:sz w:val="16"/>
    </w:rPr>
  </w:style>
  <w:style w:type="paragraph" w:styleId="CommentText">
    <w:name w:val="annotation text"/>
    <w:basedOn w:val="Normal"/>
    <w:link w:val="CommentTextChar"/>
    <w:uiPriority w:val="99"/>
    <w:semiHidden/>
    <w:qFormat/>
    <w:pPr>
      <w:ind w:firstLine="567"/>
      <w:jc w:val="both"/>
    </w:pPr>
    <w:rPr>
      <w:sz w:val="20"/>
      <w:szCs w:val="20"/>
      <w:lang w:val="en-GB"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36"/>
        <w:tab w:val="right" w:pos="9072"/>
      </w:tabs>
    </w:pPr>
  </w:style>
  <w:style w:type="paragraph" w:styleId="Header">
    <w:name w:val="header"/>
    <w:basedOn w:val="Normal"/>
    <w:link w:val="HeaderChar"/>
    <w:uiPriority w:val="99"/>
    <w:unhideWhenUsed/>
    <w:qFormat/>
    <w:pPr>
      <w:tabs>
        <w:tab w:val="center" w:pos="4536"/>
        <w:tab w:val="right" w:pos="9072"/>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style>
  <w:style w:type="paragraph" w:styleId="PlainText">
    <w:name w:val="Plain Text"/>
    <w:basedOn w:val="Normal"/>
    <w:link w:val="PlainTextChar"/>
    <w:qFormat/>
    <w:rPr>
      <w:rFonts w:ascii="Courier New" w:hAnsi="Courier New"/>
      <w:sz w:val="20"/>
      <w:szCs w:val="20"/>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table" w:styleId="TableGrid">
    <w:name w:val="Table Grid"/>
    <w:basedOn w:val="TableNormal"/>
    <w:uiPriority w:val="39"/>
    <w:qFormat/>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kern w:val="2"/>
      <w:sz w:val="22"/>
      <w:szCs w:val="22"/>
      <w:lang w:val="en-IN" w:eastAsia="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4"/>
      <w:szCs w:val="24"/>
      <w:lang w:val="tr-TR" w:eastAsia="tr-TR"/>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lang w:val="tr-TR" w:eastAsia="tr-TR"/>
      <w14:ligatures w14:val="none"/>
    </w:rPr>
  </w:style>
  <w:style w:type="character" w:customStyle="1" w:styleId="PlainTextChar">
    <w:name w:val="Plain Text Char"/>
    <w:basedOn w:val="DefaultParagraphFont"/>
    <w:link w:val="PlainText"/>
    <w:qFormat/>
    <w:rPr>
      <w:rFonts w:ascii="Courier New" w:eastAsia="Times New Roman" w:hAnsi="Courier New" w:cs="Times New Roman"/>
      <w:kern w:val="0"/>
      <w:sz w:val="20"/>
      <w:szCs w:val="20"/>
      <w:lang w:val="en-US"/>
      <w14:ligatures w14:val="none"/>
    </w:rPr>
  </w:style>
  <w:style w:type="paragraph" w:customStyle="1" w:styleId="Default">
    <w:name w:val="Default"/>
    <w:qFormat/>
    <w:pPr>
      <w:autoSpaceDE w:val="0"/>
      <w:autoSpaceDN w:val="0"/>
      <w:adjustRightInd w:val="0"/>
    </w:pPr>
    <w:rPr>
      <w:rFonts w:eastAsia="Times New Roman"/>
      <w:color w:val="000000"/>
      <w:sz w:val="24"/>
      <w:szCs w:val="24"/>
      <w:lang w:val="tr-TR" w:eastAsia="tr-TR"/>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kern w:val="0"/>
      <w:sz w:val="20"/>
      <w:szCs w:val="20"/>
      <w:lang w:val="en-GB"/>
      <w14:ligatures w14:val="none"/>
    </w:rPr>
  </w:style>
  <w:style w:type="paragraph" w:styleId="NoSpacing">
    <w:name w:val="No Spacing"/>
    <w:uiPriority w:val="1"/>
    <w:qFormat/>
    <w:rPr>
      <w:rFonts w:asciiTheme="minorHAnsi" w:eastAsiaTheme="minorHAnsi" w:hAnsiTheme="minorHAnsi" w:cstheme="minorBidi"/>
      <w:sz w:val="22"/>
      <w:szCs w:val="22"/>
      <w:lang w:val="tr-TR" w:eastAsia="en-US"/>
    </w:rPr>
  </w:style>
  <w:style w:type="paragraph" w:customStyle="1" w:styleId="EndNoteBibliography">
    <w:name w:val="EndNote Bibliography"/>
    <w:basedOn w:val="Normal"/>
    <w:link w:val="EndNoteBibliographyChar"/>
    <w:qFormat/>
    <w:pPr>
      <w:spacing w:after="200"/>
      <w:jc w:val="both"/>
    </w:pPr>
    <w:rPr>
      <w:rFonts w:ascii="Calibri" w:eastAsiaTheme="minorHAnsi" w:hAnsi="Calibri" w:cstheme="minorBidi"/>
      <w:sz w:val="22"/>
      <w:szCs w:val="22"/>
      <w:lang w:val="en-US" w:eastAsia="en-US"/>
    </w:rPr>
  </w:style>
  <w:style w:type="character" w:customStyle="1" w:styleId="EndNoteBibliographyChar">
    <w:name w:val="EndNote Bibliography Char"/>
    <w:basedOn w:val="DefaultParagraphFont"/>
    <w:link w:val="EndNoteBibliography"/>
    <w:qFormat/>
    <w:rPr>
      <w:rFonts w:ascii="Calibri" w:hAnsi="Calibri"/>
      <w:kern w:val="0"/>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842830"/>
    <w:rPr>
      <w:color w:val="605E5C"/>
      <w:shd w:val="clear" w:color="auto" w:fill="E1DFDD"/>
    </w:rPr>
  </w:style>
  <w:style w:type="character" w:styleId="FollowedHyperlink">
    <w:name w:val="FollowedHyperlink"/>
    <w:basedOn w:val="DefaultParagraphFont"/>
    <w:uiPriority w:val="99"/>
    <w:semiHidden/>
    <w:unhideWhenUsed/>
    <w:rsid w:val="00B629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theme" Target="theme/theme1.xml"/><Relationship Id="rId7" Type="http://schemas.openxmlformats.org/officeDocument/2006/relationships/hyperlink" Target="http://dergipark.org.tr/ijct" TargetMode="External"/><Relationship Id="rId12" Type="http://schemas.openxmlformats.org/officeDocument/2006/relationships/image" Target="media/image3.GIF"/><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1-9746-444X" TargetMode="External"/><Relationship Id="rId24" Type="http://schemas.openxmlformats.org/officeDocument/2006/relationships/image" Target="media/image13.jpeg"/><Relationship Id="rId32" Type="http://schemas.openxmlformats.org/officeDocument/2006/relationships/hyperlink" Target="https://doi.org/10.1042/BCJ20220547"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image" Target="media/image2.png"/><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hyperlink" Target="https://orcid.org/0000-0001-8855-1058" TargetMode="External"/><Relationship Id="rId14" Type="http://schemas.openxmlformats.org/officeDocument/2006/relationships/footer" Target="footer1.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1047</TotalTime>
  <Pages>9</Pages>
  <Words>5498</Words>
  <Characters>31344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Nayanika Das</dc:creator>
  <cp:keywords/>
  <dc:description/>
  <cp:lastModifiedBy>Nayanika Das</cp:lastModifiedBy>
  <cp:revision>7</cp:revision>
  <cp:lastPrinted>2025-09-14T16:49:00Z</cp:lastPrinted>
  <dcterms:created xsi:type="dcterms:W3CDTF">2026-02-12T09:10:00Z</dcterms:created>
  <dcterms:modified xsi:type="dcterms:W3CDTF">2026-02-13T22:20:00Z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ce6f8098-f843-40b0-96a6-825e379825a6</vt:lpwstr>
  </property>
  <property fmtid="{D5CDD505-2E9C-101B-9397-08002B2CF9AE}" pid="3" name="KSOProductBuildVer">
    <vt:lpwstr>1033-12.2.0.23155</vt:lpwstr>
  </property>
  <property fmtid="{D5CDD505-2E9C-101B-9397-08002B2CF9AE}" pid="4" name="ICV">
    <vt:lpwstr>6683E4E2190841338EEF65DEAFD75351_12</vt:lpwstr>
  </property>
</Properties>
</file>