
<file path=[Content_Types].xml><?xml version="1.0" encoding="utf-8"?>
<Types xmlns="http://schemas.openxmlformats.org/package/2006/content-types">
  <Default Extension="png" ContentType="image/png"/>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5"/>
        <w:tblW w:w="0" w:type="auto"/>
        <w:tblInd w:w="108" w:type="dxa"/>
        <w:tblBorders>
          <w:top w:val="none" w:color="auto" w:sz="0" w:space="0"/>
          <w:left w:val="none" w:color="auto" w:sz="0" w:space="0"/>
          <w:bottom w:val="thinThickSmallGap"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810"/>
        <w:gridCol w:w="1196"/>
      </w:tblGrid>
      <w:tr w14:paraId="20DB81B2">
        <w:tblPrEx>
          <w:tblBorders>
            <w:top w:val="none" w:color="auto" w:sz="0" w:space="0"/>
            <w:left w:val="none" w:color="auto" w:sz="0" w:space="0"/>
            <w:bottom w:val="thinThickSmallGap"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810" w:type="dxa"/>
            <w:vAlign w:val="center"/>
          </w:tcPr>
          <w:p w14:paraId="1571AB8C">
            <w:pPr>
              <w:pStyle w:val="16"/>
              <w:rPr>
                <w:b/>
                <w:sz w:val="28"/>
                <w:szCs w:val="14"/>
                <w:lang w:val="en-US"/>
              </w:rPr>
            </w:pPr>
            <w:bookmarkStart w:id="0" w:name="_Hlk23005139"/>
            <w:bookmarkEnd w:id="0"/>
          </w:p>
          <w:p w14:paraId="44CED32E">
            <w:pPr>
              <w:pStyle w:val="16"/>
              <w:rPr>
                <w:b/>
                <w:sz w:val="28"/>
                <w:szCs w:val="14"/>
                <w:lang w:val="en-US"/>
              </w:rPr>
            </w:pPr>
            <w:r>
              <w:rPr>
                <w:b/>
                <w:sz w:val="28"/>
                <w:szCs w:val="14"/>
                <w:lang w:val="en-US"/>
              </w:rPr>
              <w:t>International Journal of Chemistry and Technology</w:t>
            </w:r>
          </w:p>
          <w:p w14:paraId="4D8863D3">
            <w:pPr>
              <w:pStyle w:val="16"/>
              <w:rPr>
                <w:sz w:val="18"/>
                <w:szCs w:val="18"/>
                <w:lang w:val="en-US"/>
              </w:rPr>
            </w:pPr>
          </w:p>
          <w:p w14:paraId="046A86DF">
            <w:pPr>
              <w:pStyle w:val="16"/>
              <w:rPr>
                <w:color w:val="0070C0"/>
                <w:sz w:val="18"/>
                <w:szCs w:val="18"/>
                <w:u w:val="single"/>
                <w:lang w:val="en-US"/>
              </w:rPr>
            </w:pPr>
            <w:r>
              <w:fldChar w:fldCharType="begin"/>
            </w:r>
            <w:r>
              <w:instrText xml:space="preserve"> HYPERLINK "http://dergipark.org.tr/ijct" </w:instrText>
            </w:r>
            <w:r>
              <w:fldChar w:fldCharType="separate"/>
            </w:r>
            <w:r>
              <w:rPr>
                <w:rStyle w:val="20"/>
                <w:rFonts w:eastAsiaTheme="majorEastAsia"/>
                <w:color w:val="0070C0"/>
                <w:sz w:val="18"/>
                <w:szCs w:val="18"/>
                <w:lang w:val="en-US"/>
              </w:rPr>
              <w:t>http://dergipark.org.tr/ijct</w:t>
            </w:r>
            <w:r>
              <w:rPr>
                <w:rStyle w:val="20"/>
                <w:rFonts w:eastAsiaTheme="majorEastAsia"/>
                <w:color w:val="0070C0"/>
                <w:sz w:val="18"/>
                <w:szCs w:val="18"/>
                <w:lang w:val="en-US"/>
              </w:rPr>
              <w:fldChar w:fldCharType="end"/>
            </w:r>
          </w:p>
          <w:p w14:paraId="05C4DE19">
            <w:pPr>
              <w:pStyle w:val="16"/>
              <w:rPr>
                <w:sz w:val="18"/>
                <w:szCs w:val="18"/>
                <w:lang w:val="en-US"/>
              </w:rPr>
            </w:pPr>
          </w:p>
          <w:p w14:paraId="6C892AB0">
            <w:pPr>
              <w:pStyle w:val="16"/>
              <w:rPr>
                <w:sz w:val="18"/>
                <w:szCs w:val="18"/>
                <w:lang w:val="en-US"/>
              </w:rPr>
            </w:pPr>
            <w:r>
              <w:rPr>
                <w:sz w:val="18"/>
                <w:szCs w:val="18"/>
                <w:lang w:val="en-US"/>
              </w:rPr>
              <w:t>Research Article</w:t>
            </w:r>
          </w:p>
        </w:tc>
        <w:tc>
          <w:tcPr>
            <w:tcW w:w="1196" w:type="dxa"/>
            <w:vAlign w:val="center"/>
          </w:tcPr>
          <w:p w14:paraId="65379852">
            <w:pPr>
              <w:pStyle w:val="16"/>
              <w:rPr>
                <w:b/>
                <w:sz w:val="28"/>
                <w:szCs w:val="28"/>
                <w:lang w:val="en-US"/>
              </w:rPr>
            </w:pPr>
            <w:r>
              <w:rPr>
                <w:sz w:val="21"/>
                <w:szCs w:val="21"/>
                <w:shd w:val="clear" w:color="auto" w:fill="FFFFFF"/>
              </w:rPr>
              <w:drawing>
                <wp:inline distT="0" distB="0" distL="0" distR="0">
                  <wp:extent cx="530225" cy="755015"/>
                  <wp:effectExtent l="0" t="0" r="3175" b="698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a:picLocks noChangeAspect="1"/>
                          </pic:cNvPicPr>
                        </pic:nvPicPr>
                        <pic:blipFill>
                          <a:blip r:embed="rId6" cstate="print"/>
                          <a:stretch>
                            <a:fillRect/>
                          </a:stretch>
                        </pic:blipFill>
                        <pic:spPr>
                          <a:xfrm>
                            <a:off x="0" y="0"/>
                            <a:ext cx="533969" cy="760491"/>
                          </a:xfrm>
                          <a:prstGeom prst="rect">
                            <a:avLst/>
                          </a:prstGeom>
                        </pic:spPr>
                      </pic:pic>
                    </a:graphicData>
                  </a:graphic>
                </wp:inline>
              </w:drawing>
            </w:r>
          </w:p>
        </w:tc>
      </w:tr>
    </w:tbl>
    <w:p w14:paraId="200B3F77">
      <w:pPr>
        <w:rPr>
          <w:sz w:val="18"/>
          <w:szCs w:val="18"/>
          <w:lang w:val="en-US"/>
        </w:rPr>
      </w:pPr>
    </w:p>
    <w:p w14:paraId="186589BB">
      <w:pPr>
        <w:spacing w:line="276" w:lineRule="auto"/>
        <w:rPr>
          <w:b/>
          <w:bCs/>
          <w:sz w:val="28"/>
          <w:szCs w:val="28"/>
          <w:highlight w:val="yellow"/>
          <w:lang w:val="en-IN"/>
        </w:rPr>
      </w:pPr>
      <w:r>
        <w:rPr>
          <w:b/>
          <w:bCs/>
          <w:sz w:val="28"/>
          <w:szCs w:val="28"/>
          <w:highlight w:val="yellow"/>
          <w:lang w:val="en-IN"/>
        </w:rPr>
        <w:t>Virtual Screening and Docking of Natural Compounds as Selective Inhibitors of Mutant NRAS in Melanoma.</w:t>
      </w:r>
    </w:p>
    <w:tbl>
      <w:tblPr>
        <w:tblStyle w:val="12"/>
        <w:tblW w:w="9434" w:type="dxa"/>
        <w:tblInd w:w="399" w:type="dxa"/>
        <w:tblLayout w:type="autofit"/>
        <w:tblCellMar>
          <w:top w:w="0" w:type="dxa"/>
          <w:left w:w="70" w:type="dxa"/>
          <w:bottom w:w="0" w:type="dxa"/>
          <w:right w:w="70" w:type="dxa"/>
        </w:tblCellMar>
      </w:tblPr>
      <w:tblGrid>
        <w:gridCol w:w="9434"/>
      </w:tblGrid>
      <w:tr w14:paraId="3816EF71">
        <w:tblPrEx>
          <w:tblCellMar>
            <w:top w:w="0" w:type="dxa"/>
            <w:left w:w="70" w:type="dxa"/>
            <w:bottom w:w="0" w:type="dxa"/>
            <w:right w:w="70" w:type="dxa"/>
          </w:tblCellMar>
        </w:tblPrEx>
        <w:trPr>
          <w:trHeight w:val="718" w:hRule="atLeast"/>
        </w:trPr>
        <w:tc>
          <w:tcPr>
            <w:tcW w:w="9434" w:type="dxa"/>
          </w:tcPr>
          <w:p w14:paraId="772DF4BF">
            <w:pPr>
              <w:pStyle w:val="50"/>
              <w:jc w:val="center"/>
              <w:rPr>
                <w:rFonts w:ascii="Times New Roman" w:hAnsi="Times New Roman" w:cs="Times New Roman"/>
                <w:sz w:val="18"/>
                <w:lang w:val="en-IN"/>
              </w:rPr>
            </w:pPr>
          </w:p>
          <w:p w14:paraId="39134397">
            <w:pPr>
              <w:tabs>
                <w:tab w:val="left" w:pos="0"/>
              </w:tabs>
              <w:jc w:val="center"/>
              <w:rPr>
                <w:b/>
                <w:sz w:val="18"/>
                <w:szCs w:val="18"/>
                <w:vertAlign w:val="superscript"/>
              </w:rPr>
            </w:pPr>
            <w:r>
              <w:rPr>
                <w:b/>
                <w:sz w:val="18"/>
                <w:szCs w:val="18"/>
                <w:vertAlign w:val="superscript"/>
              </w:rPr>
              <w:drawing>
                <wp:inline distT="0" distB="0" distL="0" distR="0">
                  <wp:extent cx="137160" cy="137160"/>
                  <wp:effectExtent l="0" t="0" r="0" b="0"/>
                  <wp:docPr id="3" name="Resim 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7160" cy="137160"/>
                          </a:xfrm>
                          <a:prstGeom prst="rect">
                            <a:avLst/>
                          </a:prstGeom>
                          <a:noFill/>
                        </pic:spPr>
                      </pic:pic>
                    </a:graphicData>
                  </a:graphic>
                </wp:inline>
              </w:drawing>
            </w:r>
            <w:r>
              <w:t>Nayanika DAS</w:t>
            </w:r>
            <w:r>
              <w:rPr>
                <w:b/>
                <w:sz w:val="18"/>
                <w:szCs w:val="18"/>
                <w:vertAlign w:val="superscript"/>
              </w:rPr>
              <w:t>1</w:t>
            </w:r>
            <w:r>
              <w:rPr>
                <w:b/>
                <w:sz w:val="18"/>
                <w:szCs w:val="18"/>
              </w:rPr>
              <w:t xml:space="preserve">,      </w:t>
            </w:r>
            <w:r>
              <w:rPr>
                <w:b/>
                <w:sz w:val="18"/>
                <w:szCs w:val="18"/>
                <w:vertAlign w:val="superscript"/>
              </w:rPr>
              <w:drawing>
                <wp:inline distT="0" distB="0" distL="0" distR="0">
                  <wp:extent cx="157480" cy="157480"/>
                  <wp:effectExtent l="0" t="0" r="0" b="0"/>
                  <wp:docPr id="4" name="Resim 4">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57480" cy="157480"/>
                          </a:xfrm>
                          <a:prstGeom prst="rect">
                            <a:avLst/>
                          </a:prstGeom>
                          <a:noFill/>
                        </pic:spPr>
                      </pic:pic>
                    </a:graphicData>
                  </a:graphic>
                </wp:inline>
              </w:drawing>
            </w:r>
            <w:r>
              <w:t>Vijay BALADHYE</w:t>
            </w:r>
            <w:r>
              <w:rPr>
                <w:b/>
                <w:sz w:val="18"/>
                <w:szCs w:val="18"/>
                <w:vertAlign w:val="superscript"/>
              </w:rPr>
              <w:t>1</w:t>
            </w:r>
            <w:r>
              <w:rPr>
                <w:i/>
                <w:sz w:val="18"/>
                <w:szCs w:val="18"/>
                <w:lang w:val="es-ES"/>
              </w:rPr>
              <w:t>*</w:t>
            </w:r>
          </w:p>
          <w:p w14:paraId="3314C99A">
            <w:pPr>
              <w:pStyle w:val="50"/>
              <w:jc w:val="center"/>
              <w:rPr>
                <w:rFonts w:ascii="Times New Roman" w:hAnsi="Times New Roman" w:cs="Times New Roman"/>
                <w:sz w:val="18"/>
                <w:lang w:val="en-US"/>
              </w:rPr>
            </w:pPr>
          </w:p>
          <w:p w14:paraId="3F86F94E">
            <w:pPr>
              <w:pStyle w:val="50"/>
              <w:jc w:val="center"/>
              <w:rPr>
                <w:rFonts w:ascii="Times New Roman" w:hAnsi="Times New Roman" w:cs="Times New Roman"/>
                <w:sz w:val="18"/>
                <w:lang w:val="en-US"/>
              </w:rPr>
            </w:pPr>
          </w:p>
        </w:tc>
      </w:tr>
    </w:tbl>
    <w:p w14:paraId="62EC8E2D">
      <w:pPr>
        <w:tabs>
          <w:tab w:val="left" w:pos="0"/>
        </w:tabs>
        <w:jc w:val="center"/>
        <w:rPr>
          <w:i/>
          <w:sz w:val="28"/>
          <w:szCs w:val="28"/>
          <w:lang w:val="es-ES"/>
        </w:rPr>
      </w:pPr>
      <w:r>
        <w:rPr>
          <w:i/>
          <w:sz w:val="28"/>
          <w:szCs w:val="28"/>
          <w:vertAlign w:val="superscript"/>
          <w:lang w:val="es-ES"/>
        </w:rPr>
        <w:t>¹ Bioinformatics Centre, Savitribai Phule Pune University, Pune 411007 (MS), India.</w:t>
      </w:r>
    </w:p>
    <w:p w14:paraId="2817432B">
      <w:pPr>
        <w:spacing w:after="96"/>
        <w:ind w:left="3276" w:right="96"/>
        <w:jc w:val="both"/>
        <w:rPr>
          <w:i/>
          <w:sz w:val="18"/>
          <w:szCs w:val="18"/>
          <w:lang w:val="es-ES"/>
        </w:rPr>
      </w:pPr>
    </w:p>
    <w:p w14:paraId="1F7894E7">
      <w:pPr>
        <w:spacing w:after="96"/>
        <w:ind w:left="3276" w:right="96"/>
        <w:jc w:val="both"/>
        <w:rPr>
          <w:color w:val="1155CC"/>
          <w:sz w:val="15"/>
          <w:szCs w:val="15"/>
          <w:u w:val="single"/>
        </w:rPr>
      </w:pPr>
      <w:r>
        <w:rPr>
          <w:i/>
          <w:sz w:val="18"/>
          <w:szCs w:val="18"/>
          <w:lang w:val="es-ES"/>
        </w:rPr>
        <w:t xml:space="preserve">*Corresponding author : </w:t>
      </w:r>
      <w:r>
        <w:rPr>
          <w:rFonts w:ascii="SimSun" w:hAnsi="SimSun" w:eastAsia="SimSun" w:cs="SimSun"/>
          <w:color w:val="202124"/>
          <w:sz w:val="18"/>
          <w:szCs w:val="18"/>
          <w:lang w:val="en-US" w:eastAsia="zh-CN" w:bidi="ar"/>
        </w:rPr>
        <w:drawing>
          <wp:inline distT="0" distB="0" distL="114300" distR="114300">
            <wp:extent cx="9525" cy="9525"/>
            <wp:effectExtent l="0" t="0" r="0" b="0"/>
            <wp:docPr id="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6"/>
                    <pic:cNvPicPr>
                      <a:picLocks noChangeAspect="1"/>
                    </pic:cNvPicPr>
                  </pic:nvPicPr>
                  <pic:blipFill>
                    <a:blip r:embed="rId10"/>
                    <a:stretch>
                      <a:fillRect/>
                    </a:stretch>
                  </pic:blipFill>
                  <pic:spPr>
                    <a:xfrm>
                      <a:off x="0" y="0"/>
                      <a:ext cx="9525" cy="9525"/>
                    </a:xfrm>
                    <a:prstGeom prst="rect">
                      <a:avLst/>
                    </a:prstGeom>
                    <a:noFill/>
                    <a:ln w="9525">
                      <a:noFill/>
                    </a:ln>
                  </pic:spPr>
                </pic:pic>
              </a:graphicData>
            </a:graphic>
          </wp:inline>
        </w:drawing>
      </w:r>
      <w:r>
        <w:rPr>
          <w:rFonts w:eastAsia="SimSun"/>
          <w:color w:val="1155CC"/>
          <w:sz w:val="16"/>
          <w:szCs w:val="16"/>
          <w:u w:val="single"/>
          <w:lang w:val="en-US" w:eastAsia="zh-CN" w:bidi="ar"/>
        </w:rPr>
        <w:t>vijaybaladhye@gmail.com</w:t>
      </w:r>
    </w:p>
    <w:p w14:paraId="6FF511F2">
      <w:pPr>
        <w:tabs>
          <w:tab w:val="left" w:pos="0"/>
        </w:tabs>
        <w:rPr>
          <w:rFonts w:ascii="Cambria" w:hAnsi="Cambria"/>
          <w:sz w:val="20"/>
          <w:szCs w:val="20"/>
          <w:lang w:val="es-ES"/>
        </w:rPr>
      </w:pPr>
    </w:p>
    <w:p w14:paraId="27BE5B50">
      <w:pPr>
        <w:shd w:val="clear" w:color="auto" w:fill="FFFFFF"/>
        <w:rPr>
          <w:sz w:val="15"/>
          <w:szCs w:val="15"/>
          <w:lang w:val="en-US"/>
        </w:rPr>
      </w:pPr>
      <w:r>
        <w:rPr>
          <w:sz w:val="15"/>
          <w:szCs w:val="15"/>
          <w:lang w:val="en-US"/>
        </w:rPr>
        <w:t>------------------------------------------------------------------------------------------------------------------------------------------------------------------------------------------------</w:t>
      </w:r>
    </w:p>
    <w:p w14:paraId="4CC1E334">
      <w:pPr>
        <w:spacing w:after="120"/>
        <w:rPr>
          <w:b/>
          <w:sz w:val="18"/>
          <w:szCs w:val="18"/>
          <w:lang w:val="en-US"/>
        </w:rPr>
        <w:sectPr>
          <w:headerReference r:id="rId3" w:type="default"/>
          <w:footerReference r:id="rId4" w:type="default"/>
          <w:pgSz w:w="11907" w:h="16839"/>
          <w:pgMar w:top="1701" w:right="1134" w:bottom="1418" w:left="1134" w:header="709" w:footer="709" w:gutter="0"/>
          <w:pgNumType w:start="1"/>
          <w:cols w:space="708" w:num="1"/>
          <w:docGrid w:linePitch="360" w:charSpace="0"/>
        </w:sectPr>
      </w:pPr>
    </w:p>
    <w:p w14:paraId="4536253F">
      <w:pPr>
        <w:rPr>
          <w:b/>
          <w:color w:val="0070C0"/>
          <w:sz w:val="20"/>
          <w:szCs w:val="20"/>
          <w:lang w:val="en-US"/>
        </w:rPr>
      </w:pPr>
    </w:p>
    <w:p w14:paraId="493FB62E">
      <w:pPr>
        <w:rPr>
          <w:b/>
          <w:color w:val="0070C0"/>
          <w:sz w:val="20"/>
          <w:szCs w:val="20"/>
          <w:lang w:val="en-US"/>
        </w:rPr>
      </w:pPr>
    </w:p>
    <w:p w14:paraId="2C3CE9D0">
      <w:pPr>
        <w:rPr>
          <w:b/>
          <w:color w:val="0070C0"/>
          <w:sz w:val="20"/>
          <w:szCs w:val="20"/>
          <w:lang w:val="en-US"/>
        </w:rPr>
        <w:sectPr>
          <w:type w:val="continuous"/>
          <w:pgSz w:w="11907" w:h="16839"/>
          <w:pgMar w:top="1701" w:right="1134" w:bottom="1135" w:left="1134" w:header="709" w:footer="709" w:gutter="0"/>
          <w:pgNumType w:start="176"/>
          <w:cols w:space="567" w:num="2"/>
          <w:docGrid w:linePitch="360" w:charSpace="0"/>
        </w:sectPr>
      </w:pPr>
    </w:p>
    <w:p w14:paraId="37E2A801">
      <w:pPr>
        <w:rPr>
          <w:b/>
          <w:color w:val="0070C0"/>
          <w:sz w:val="18"/>
          <w:szCs w:val="18"/>
          <w:lang w:val="en-US"/>
        </w:rPr>
      </w:pPr>
      <w:r>
        <w:rPr>
          <w:b/>
          <w:color w:val="0070C0"/>
          <w:sz w:val="18"/>
          <w:szCs w:val="18"/>
          <w:lang w:val="en-US"/>
        </w:rPr>
        <w:t xml:space="preserve">ABSTRACT </w:t>
      </w:r>
    </w:p>
    <w:p w14:paraId="0D54073B">
      <w:pPr>
        <w:rPr>
          <w:b/>
          <w:color w:val="0070C0"/>
          <w:sz w:val="18"/>
          <w:szCs w:val="18"/>
          <w:lang w:val="en-US"/>
        </w:rPr>
      </w:pPr>
    </w:p>
    <w:p w14:paraId="6BA6263E">
      <w:pPr>
        <w:jc w:val="both"/>
        <w:rPr>
          <w:sz w:val="18"/>
          <w:szCs w:val="18"/>
        </w:rPr>
      </w:pPr>
      <w:r>
        <w:rPr>
          <w:sz w:val="18"/>
          <w:szCs w:val="18"/>
        </w:rPr>
        <w:t>Melanoma is an aggressive and currently incurable skin cancer, primarily affecting individuals with light skin pigmentation. Key oncogenic drivers include mutations in BRAF, NRAS, CDK4 and MITF, with signaling mediated mainly through the MAPK and PI3K–Akt pathways. MEK inhibitors have shown limited clinical success, emphasizing the need for novel therapeutic agents. In this study, structure-based virtual screening and molecular docking were employed to identify natural products that inhibit mutant NRAS. The crystal structure of wild-type NRAS was obtained from the Protein Data Bank and clinically relevant mutations (Gly12, Gly13, Gln61) were introduced computationally. A library of natural compounds from the ZINC database was screened, identifying candidates based on binding free energy. Eleven top-ranking compounds were further analyzed for binding interactions, revealing stabilizing hydrogen bonds and hydrophobic contacts, particularly involving residues Phe28 and Asp119. These compounds exhibited strong predicted affinity for the NRAS mutant binding site, representing promising scaffolds for further development. The results demonstrate the utility of computational approaches to accelerate early-stage drug discovery targeting oncogenic NRAS in melanoma.</w:t>
      </w:r>
    </w:p>
    <w:p w14:paraId="6016011F">
      <w:pPr>
        <w:jc w:val="both"/>
        <w:rPr>
          <w:rFonts w:eastAsia="Calibri"/>
          <w:sz w:val="18"/>
          <w:szCs w:val="18"/>
          <w:lang w:val="en"/>
        </w:rPr>
      </w:pPr>
    </w:p>
    <w:p w14:paraId="4735F1FB">
      <w:pPr>
        <w:jc w:val="both"/>
        <w:rPr>
          <w:rFonts w:eastAsia="Calibri"/>
          <w:sz w:val="18"/>
          <w:szCs w:val="18"/>
          <w:lang w:val="en-US"/>
        </w:rPr>
        <w:sectPr>
          <w:type w:val="continuous"/>
          <w:pgSz w:w="11907" w:h="16839"/>
          <w:pgMar w:top="1701" w:right="1134" w:bottom="1135" w:left="1134" w:header="709" w:footer="709" w:gutter="0"/>
          <w:pgNumType w:start="176"/>
          <w:cols w:space="567" w:num="1"/>
          <w:docGrid w:linePitch="360" w:charSpace="0"/>
        </w:sectPr>
      </w:pPr>
      <w:r>
        <w:rPr>
          <w:b/>
          <w:color w:val="0070C0"/>
          <w:sz w:val="18"/>
          <w:szCs w:val="18"/>
          <w:lang w:val="en-US"/>
        </w:rPr>
        <w:t>Keywords:</w:t>
      </w:r>
      <w:r>
        <w:rPr>
          <w:b/>
          <w:color w:val="4472C4" w:themeColor="accent1"/>
          <w:sz w:val="18"/>
          <w:szCs w:val="18"/>
          <w:lang w:val="en-US"/>
          <w14:textFill>
            <w14:solidFill>
              <w14:schemeClr w14:val="accent1"/>
            </w14:solidFill>
          </w14:textFill>
        </w:rPr>
        <w:t xml:space="preserve"> </w:t>
      </w:r>
      <w:r>
        <w:rPr>
          <w:sz w:val="18"/>
          <w:szCs w:val="18"/>
        </w:rPr>
        <w:t xml:space="preserve">NRAS, melanoma, molecular docking, MEK inhibitor, natural compounds etc. </w:t>
      </w:r>
    </w:p>
    <w:p w14:paraId="7B90FD5A">
      <w:pPr>
        <w:rPr>
          <w:b/>
          <w:color w:val="0070C0"/>
          <w:sz w:val="20"/>
          <w:szCs w:val="20"/>
          <w:lang w:val="en-US"/>
        </w:rPr>
      </w:pPr>
    </w:p>
    <w:p w14:paraId="0454575E">
      <w:pPr>
        <w:pStyle w:val="22"/>
        <w:rPr>
          <w:rFonts w:ascii="Times New Roman" w:hAnsi="Times New Roman"/>
          <w:sz w:val="15"/>
          <w:szCs w:val="15"/>
        </w:rPr>
        <w:sectPr>
          <w:type w:val="continuous"/>
          <w:pgSz w:w="11907" w:h="16839"/>
          <w:pgMar w:top="1701" w:right="1134" w:bottom="1135" w:left="1134" w:header="709" w:footer="709" w:gutter="0"/>
          <w:pgNumType w:start="176"/>
          <w:cols w:space="567" w:num="2"/>
          <w:docGrid w:linePitch="360" w:charSpace="0"/>
        </w:sectPr>
      </w:pPr>
    </w:p>
    <w:p w14:paraId="32A85364">
      <w:pPr>
        <w:pStyle w:val="22"/>
        <w:rPr>
          <w:rFonts w:ascii="Times New Roman" w:hAnsi="Times New Roman"/>
          <w:sz w:val="15"/>
          <w:szCs w:val="15"/>
        </w:rPr>
        <w:sectPr>
          <w:type w:val="continuous"/>
          <w:pgSz w:w="11907" w:h="16839"/>
          <w:pgMar w:top="1701" w:right="1134" w:bottom="1135" w:left="1134" w:header="709" w:footer="709" w:gutter="0"/>
          <w:pgNumType w:start="176"/>
          <w:cols w:space="567" w:num="1"/>
          <w:docGrid w:linePitch="360" w:charSpace="0"/>
        </w:sectPr>
      </w:pPr>
      <w:r>
        <w:rPr>
          <w:rFonts w:ascii="Times New Roman" w:hAnsi="Times New Roman"/>
          <w:sz w:val="15"/>
          <w:szCs w:val="15"/>
        </w:rPr>
        <w:t>------------------------------------------------------------------------------------------------------------------------------------------------------------------------------------------------</w:t>
      </w:r>
    </w:p>
    <w:p w14:paraId="7E93FD8A">
      <w:pPr>
        <w:tabs>
          <w:tab w:val="left" w:pos="284"/>
        </w:tabs>
        <w:rPr>
          <w:sz w:val="18"/>
          <w:szCs w:val="18"/>
          <w:lang w:val="en-US"/>
        </w:rPr>
      </w:pPr>
    </w:p>
    <w:p w14:paraId="0E728BA6">
      <w:pPr>
        <w:tabs>
          <w:tab w:val="left" w:pos="284"/>
        </w:tabs>
        <w:rPr>
          <w:sz w:val="18"/>
          <w:szCs w:val="18"/>
          <w:lang w:val="en-US"/>
        </w:rPr>
      </w:pPr>
    </w:p>
    <w:p w14:paraId="5B64242A">
      <w:pPr>
        <w:tabs>
          <w:tab w:val="left" w:pos="284"/>
        </w:tabs>
        <w:rPr>
          <w:sz w:val="18"/>
          <w:szCs w:val="18"/>
          <w:lang w:val="en-US"/>
        </w:rPr>
        <w:sectPr>
          <w:type w:val="continuous"/>
          <w:pgSz w:w="11907" w:h="16839"/>
          <w:pgMar w:top="1701" w:right="1134" w:bottom="1135" w:left="1134" w:header="709" w:footer="709" w:gutter="0"/>
          <w:pgNumType w:start="176"/>
          <w:cols w:space="567" w:num="2"/>
          <w:docGrid w:linePitch="360" w:charSpace="0"/>
        </w:sectPr>
      </w:pPr>
    </w:p>
    <w:p w14:paraId="2BCC3653">
      <w:pPr>
        <w:pStyle w:val="22"/>
        <w:rPr>
          <w:rFonts w:ascii="Times New Roman" w:hAnsi="Times New Roman"/>
          <w:sz w:val="15"/>
          <w:szCs w:val="15"/>
        </w:rPr>
        <w:sectPr>
          <w:type w:val="continuous"/>
          <w:pgSz w:w="11907" w:h="16839"/>
          <w:pgMar w:top="1701" w:right="992" w:bottom="1418" w:left="1134" w:header="709" w:footer="709" w:gutter="0"/>
          <w:pgNumType w:start="176"/>
          <w:cols w:space="708" w:num="1"/>
          <w:docGrid w:linePitch="360" w:charSpace="0"/>
        </w:sectPr>
      </w:pPr>
    </w:p>
    <w:p w14:paraId="544CEA8A">
      <w:pPr>
        <w:jc w:val="both"/>
        <w:rPr>
          <w:b/>
          <w:color w:val="0070C0"/>
          <w:sz w:val="20"/>
          <w:szCs w:val="20"/>
          <w:lang w:val="en-US"/>
        </w:rPr>
      </w:pPr>
      <w:r>
        <w:rPr>
          <w:b/>
          <w:color w:val="0070C0"/>
          <w:sz w:val="20"/>
          <w:szCs w:val="20"/>
          <w:lang w:val="en-US"/>
        </w:rPr>
        <w:t xml:space="preserve">1. INTRODUCTION </w:t>
      </w:r>
    </w:p>
    <w:p w14:paraId="58137BF0">
      <w:pPr>
        <w:jc w:val="both"/>
        <w:rPr>
          <w:rFonts w:ascii="Segoe UI Emoji" w:hAnsi="Segoe UI Emoji" w:cs="Segoe UI Emoji"/>
          <w:b/>
          <w:bCs/>
          <w:color w:val="0070C0"/>
          <w:sz w:val="20"/>
          <w:szCs w:val="20"/>
          <w:lang w:val="en-IN"/>
        </w:rPr>
      </w:pPr>
      <w:r>
        <w:rPr>
          <w:rFonts w:ascii="Segoe UI Emoji" w:hAnsi="Segoe UI Emoji" w:cs="Segoe UI Emoji"/>
          <w:b/>
          <w:bCs/>
          <w:color w:val="0070C0"/>
          <w:sz w:val="20"/>
          <w:szCs w:val="20"/>
          <w:lang w:val="en-IN"/>
        </w:rPr>
        <w:t>1. INTRODUCTION</w:t>
      </w:r>
    </w:p>
    <w:p w14:paraId="7E868019">
      <w:pPr>
        <w:jc w:val="both"/>
        <w:rPr>
          <w:rFonts w:ascii="Segoe UI Emoji" w:hAnsi="Segoe UI Emoji" w:cs="Segoe UI Emoji"/>
          <w:b/>
          <w:color w:val="0070C0"/>
          <w:sz w:val="20"/>
          <w:szCs w:val="20"/>
          <w:lang w:val="en-IN"/>
        </w:rPr>
      </w:pPr>
      <w:r>
        <w:rPr>
          <w:rFonts w:ascii="Segoe UI Emoji" w:hAnsi="Segoe UI Emoji" w:cs="Segoe UI Emoji"/>
          <w:b/>
          <w:bCs/>
          <w:color w:val="0070C0"/>
          <w:sz w:val="20"/>
          <w:szCs w:val="20"/>
          <w:lang w:val="en-IN"/>
        </w:rPr>
        <w:t>Target total length: 850–1000 words</w:t>
      </w:r>
      <w:r>
        <w:rPr>
          <w:rFonts w:ascii="Segoe UI Emoji" w:hAnsi="Segoe UI Emoji" w:cs="Segoe UI Emoji"/>
          <w:b/>
          <w:color w:val="0070C0"/>
          <w:sz w:val="20"/>
          <w:szCs w:val="20"/>
          <w:lang w:val="en-IN"/>
        </w:rPr>
        <w:br w:type="textWrapping"/>
      </w:r>
      <w:r>
        <w:rPr>
          <w:rFonts w:ascii="Segoe UI Emoji" w:hAnsi="Segoe UI Emoji" w:cs="Segoe UI Emoji"/>
          <w:b/>
          <w:bCs/>
          <w:color w:val="0070C0"/>
          <w:sz w:val="20"/>
          <w:szCs w:val="20"/>
          <w:lang w:val="en-IN"/>
        </w:rPr>
        <w:t>Total writing time: 4–6 hours (focused session)</w:t>
      </w:r>
    </w:p>
    <w:p w14:paraId="08ED3E17">
      <w:p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pict>
          <v:rect id="_x0000_i1025" o:spt="1" style="height:1.5pt;width:0pt;" fillcolor="#A0A0A0" filled="t" stroked="f" coordsize="21600,21600" o:hr="t" o:hrstd="t" o:hralign="center">
            <v:path/>
            <v:fill on="t" focussize="0,0"/>
            <v:stroke on="f"/>
            <v:imagedata o:title=""/>
            <o:lock v:ext="edit"/>
            <w10:wrap type="none"/>
            <w10:anchorlock/>
          </v:rect>
        </w:pict>
      </w:r>
    </w:p>
    <w:p w14:paraId="1073A757">
      <w:pPr>
        <w:jc w:val="both"/>
        <w:rPr>
          <w:rFonts w:ascii="Segoe UI Emoji" w:hAnsi="Segoe UI Emoji" w:cs="Segoe UI Emoji"/>
          <w:b/>
          <w:bCs/>
          <w:color w:val="0070C0"/>
          <w:sz w:val="20"/>
          <w:szCs w:val="20"/>
          <w:lang w:val="en-IN"/>
        </w:rPr>
      </w:pPr>
      <w:r>
        <w:rPr>
          <w:rFonts w:ascii="Segoe UI Emoji" w:hAnsi="Segoe UI Emoji" w:cs="Segoe UI Emoji"/>
          <w:b/>
          <w:bCs/>
          <w:color w:val="0070C0"/>
          <w:sz w:val="20"/>
          <w:szCs w:val="20"/>
          <w:lang w:val="en-IN"/>
        </w:rPr>
        <w:t>🔷 SECTION 1 — Melanoma &amp; NRAS Frequency</w:t>
      </w:r>
    </w:p>
    <w:p w14:paraId="3FE763D0">
      <w:pPr>
        <w:jc w:val="both"/>
        <w:rPr>
          <w:rFonts w:ascii="Segoe UI Emoji" w:hAnsi="Segoe UI Emoji" w:cs="Segoe UI Emoji"/>
          <w:b/>
          <w:bCs/>
          <w:color w:val="0070C0"/>
          <w:sz w:val="20"/>
          <w:szCs w:val="20"/>
          <w:lang w:val="en-IN"/>
        </w:rPr>
      </w:pPr>
      <w:r>
        <w:rPr>
          <w:rFonts w:ascii="Segoe UI Emoji" w:hAnsi="Segoe UI Emoji" w:cs="Segoe UI Emoji"/>
          <w:b/>
          <w:bCs/>
          <w:color w:val="0070C0"/>
          <w:sz w:val="20"/>
          <w:szCs w:val="20"/>
          <w:lang w:val="en-IN"/>
        </w:rPr>
        <w:t>📏 Word Count:</w:t>
      </w:r>
    </w:p>
    <w:p w14:paraId="2AECE6AD">
      <w:pPr>
        <w:jc w:val="both"/>
        <w:rPr>
          <w:rFonts w:ascii="Segoe UI Emoji" w:hAnsi="Segoe UI Emoji" w:cs="Segoe UI Emoji"/>
          <w:b/>
          <w:color w:val="0070C0"/>
          <w:sz w:val="20"/>
          <w:szCs w:val="20"/>
          <w:lang w:val="en-IN"/>
        </w:rPr>
      </w:pPr>
      <w:r>
        <w:rPr>
          <w:rFonts w:ascii="Segoe UI Emoji" w:hAnsi="Segoe UI Emoji" w:cs="Segoe UI Emoji"/>
          <w:b/>
          <w:bCs/>
          <w:color w:val="0070C0"/>
          <w:sz w:val="20"/>
          <w:szCs w:val="20"/>
          <w:lang w:val="en-IN"/>
        </w:rPr>
        <w:t>150–200 words</w:t>
      </w:r>
    </w:p>
    <w:p w14:paraId="5D5A3298">
      <w:pPr>
        <w:jc w:val="both"/>
        <w:rPr>
          <w:rFonts w:ascii="Segoe UI Emoji" w:hAnsi="Segoe UI Emoji" w:cs="Segoe UI Emoji"/>
          <w:b/>
          <w:bCs/>
          <w:color w:val="0070C0"/>
          <w:sz w:val="20"/>
          <w:szCs w:val="20"/>
          <w:lang w:val="en-IN"/>
        </w:rPr>
      </w:pPr>
      <w:r>
        <w:rPr>
          <w:rFonts w:ascii="Segoe UI Emoji" w:hAnsi="Segoe UI Emoji" w:cs="Segoe UI Emoji"/>
          <w:b/>
          <w:bCs/>
          <w:color w:val="0070C0"/>
          <w:sz w:val="20"/>
          <w:szCs w:val="20"/>
          <w:lang w:val="en-IN"/>
        </w:rPr>
        <w:t>⏱️ Time Required:</w:t>
      </w:r>
    </w:p>
    <w:p w14:paraId="6853D073">
      <w:pPr>
        <w:jc w:val="both"/>
        <w:rPr>
          <w:rFonts w:ascii="Segoe UI Emoji" w:hAnsi="Segoe UI Emoji" w:cs="Segoe UI Emoji"/>
          <w:b/>
          <w:color w:val="0070C0"/>
          <w:sz w:val="20"/>
          <w:szCs w:val="20"/>
          <w:lang w:val="en-IN"/>
        </w:rPr>
      </w:pPr>
      <w:r>
        <w:rPr>
          <w:rFonts w:ascii="Segoe UI Emoji" w:hAnsi="Segoe UI Emoji" w:cs="Segoe UI Emoji"/>
          <w:b/>
          <w:bCs/>
          <w:color w:val="0070C0"/>
          <w:sz w:val="20"/>
          <w:szCs w:val="20"/>
          <w:lang w:val="en-IN"/>
        </w:rPr>
        <w:t>45–60 minutes</w:t>
      </w:r>
    </w:p>
    <w:p w14:paraId="7270C6CF">
      <w:pPr>
        <w:jc w:val="both"/>
        <w:rPr>
          <w:rFonts w:ascii="Segoe UI Emoji" w:hAnsi="Segoe UI Emoji" w:cs="Segoe UI Emoji"/>
          <w:b/>
          <w:bCs/>
          <w:color w:val="0070C0"/>
          <w:sz w:val="20"/>
          <w:szCs w:val="20"/>
          <w:lang w:val="en-IN"/>
        </w:rPr>
      </w:pPr>
      <w:r>
        <w:rPr>
          <w:rFonts w:ascii="Segoe UI Emoji" w:hAnsi="Segoe UI Emoji" w:cs="Segoe UI Emoji"/>
          <w:b/>
          <w:bCs/>
          <w:color w:val="0070C0"/>
          <w:sz w:val="20"/>
          <w:szCs w:val="20"/>
          <w:lang w:val="en-IN"/>
        </w:rPr>
        <w:t>🎯 What you’re doing in this time:</w:t>
      </w:r>
    </w:p>
    <w:p w14:paraId="6B87D6C7">
      <w:pPr>
        <w:numPr>
          <w:ilvl w:val="0"/>
          <w:numId w:val="1"/>
        </w:num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t>Read 2–3 key papers (Wellbrock, TCGA, Davis)</w:t>
      </w:r>
    </w:p>
    <w:p w14:paraId="55477991">
      <w:pPr>
        <w:numPr>
          <w:ilvl w:val="0"/>
          <w:numId w:val="1"/>
        </w:num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t>Extract:</w:t>
      </w:r>
    </w:p>
    <w:p w14:paraId="320F9175">
      <w:pPr>
        <w:numPr>
          <w:ilvl w:val="1"/>
          <w:numId w:val="1"/>
        </w:num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t>NRAS mutation frequency</w:t>
      </w:r>
    </w:p>
    <w:p w14:paraId="1A4C10EB">
      <w:pPr>
        <w:numPr>
          <w:ilvl w:val="1"/>
          <w:numId w:val="1"/>
        </w:num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t>MAPK pathway relevance</w:t>
      </w:r>
    </w:p>
    <w:p w14:paraId="7331D1EC">
      <w:pPr>
        <w:numPr>
          <w:ilvl w:val="1"/>
          <w:numId w:val="1"/>
        </w:num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t>Functional consequence of mutations</w:t>
      </w:r>
    </w:p>
    <w:p w14:paraId="594F40AC">
      <w:pPr>
        <w:numPr>
          <w:ilvl w:val="0"/>
          <w:numId w:val="1"/>
        </w:num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t>Write concise, focused summary</w:t>
      </w:r>
    </w:p>
    <w:p w14:paraId="5070DCBA">
      <w:pPr>
        <w:jc w:val="both"/>
        <w:rPr>
          <w:rFonts w:ascii="Segoe UI Emoji" w:hAnsi="Segoe UI Emoji" w:cs="Segoe UI Emoji"/>
          <w:b/>
          <w:bCs/>
          <w:color w:val="0070C0"/>
          <w:sz w:val="20"/>
          <w:szCs w:val="20"/>
          <w:lang w:val="en-IN"/>
        </w:rPr>
      </w:pPr>
      <w:r>
        <w:rPr>
          <w:rFonts w:ascii="Segoe UI Emoji" w:hAnsi="Segoe UI Emoji" w:cs="Segoe UI Emoji"/>
          <w:b/>
          <w:bCs/>
          <w:color w:val="0070C0"/>
          <w:sz w:val="20"/>
          <w:szCs w:val="20"/>
          <w:lang w:val="en-IN"/>
        </w:rPr>
        <w:t>⚠️ Do NOT:</w:t>
      </w:r>
    </w:p>
    <w:p w14:paraId="14D0A809">
      <w:pPr>
        <w:numPr>
          <w:ilvl w:val="0"/>
          <w:numId w:val="2"/>
        </w:num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t>Add staging</w:t>
      </w:r>
    </w:p>
    <w:p w14:paraId="23CB1A4B">
      <w:pPr>
        <w:numPr>
          <w:ilvl w:val="0"/>
          <w:numId w:val="2"/>
        </w:num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t>Add survival percentages</w:t>
      </w:r>
    </w:p>
    <w:p w14:paraId="41BC6B7D">
      <w:pPr>
        <w:numPr>
          <w:ilvl w:val="0"/>
          <w:numId w:val="2"/>
        </w:num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t>Over-cite</w:t>
      </w:r>
    </w:p>
    <w:p w14:paraId="747475BF">
      <w:p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pict>
          <v:rect id="_x0000_i1026" o:spt="1" style="height:1.5pt;width:0pt;" fillcolor="#A0A0A0" filled="t" stroked="f" coordsize="21600,21600" o:hr="t" o:hrstd="t" o:hralign="center">
            <v:path/>
            <v:fill on="t" focussize="0,0"/>
            <v:stroke on="f"/>
            <v:imagedata o:title=""/>
            <o:lock v:ext="edit"/>
            <w10:wrap type="none"/>
            <w10:anchorlock/>
          </v:rect>
        </w:pict>
      </w:r>
    </w:p>
    <w:p w14:paraId="32D60A56">
      <w:pPr>
        <w:jc w:val="both"/>
        <w:rPr>
          <w:rFonts w:ascii="Segoe UI Emoji" w:hAnsi="Segoe UI Emoji" w:cs="Segoe UI Emoji"/>
          <w:b/>
          <w:bCs/>
          <w:color w:val="0070C0"/>
          <w:sz w:val="20"/>
          <w:szCs w:val="20"/>
          <w:lang w:val="en-IN"/>
        </w:rPr>
      </w:pPr>
      <w:r>
        <w:rPr>
          <w:rFonts w:ascii="Segoe UI Emoji" w:hAnsi="Segoe UI Emoji" w:cs="Segoe UI Emoji"/>
          <w:b/>
          <w:bCs/>
          <w:color w:val="0070C0"/>
          <w:sz w:val="20"/>
          <w:szCs w:val="20"/>
          <w:lang w:val="en-IN"/>
        </w:rPr>
        <w:t>🔷 SECTION 2 — Structural Biology of NRAS &amp; Drug Targeting Difficulty</w:t>
      </w:r>
    </w:p>
    <w:p w14:paraId="58575916">
      <w:pPr>
        <w:jc w:val="both"/>
        <w:rPr>
          <w:rFonts w:ascii="Segoe UI Emoji" w:hAnsi="Segoe UI Emoji" w:cs="Segoe UI Emoji"/>
          <w:b/>
          <w:bCs/>
          <w:color w:val="0070C0"/>
          <w:sz w:val="20"/>
          <w:szCs w:val="20"/>
          <w:lang w:val="en-IN"/>
        </w:rPr>
      </w:pPr>
      <w:r>
        <w:rPr>
          <w:rFonts w:ascii="Segoe UI Emoji" w:hAnsi="Segoe UI Emoji" w:cs="Segoe UI Emoji"/>
          <w:b/>
          <w:bCs/>
          <w:color w:val="0070C0"/>
          <w:sz w:val="20"/>
          <w:szCs w:val="20"/>
          <w:lang w:val="en-IN"/>
        </w:rPr>
        <w:t>📏 Word Count:</w:t>
      </w:r>
    </w:p>
    <w:p w14:paraId="2A0184A6">
      <w:pPr>
        <w:jc w:val="both"/>
        <w:rPr>
          <w:rFonts w:ascii="Segoe UI Emoji" w:hAnsi="Segoe UI Emoji" w:cs="Segoe UI Emoji"/>
          <w:b/>
          <w:color w:val="0070C0"/>
          <w:sz w:val="20"/>
          <w:szCs w:val="20"/>
          <w:lang w:val="en-IN"/>
        </w:rPr>
      </w:pPr>
      <w:r>
        <w:rPr>
          <w:rFonts w:ascii="Segoe UI Emoji" w:hAnsi="Segoe UI Emoji" w:cs="Segoe UI Emoji"/>
          <w:b/>
          <w:bCs/>
          <w:color w:val="0070C0"/>
          <w:sz w:val="20"/>
          <w:szCs w:val="20"/>
          <w:lang w:val="en-IN"/>
        </w:rPr>
        <w:t>220–250 words</w:t>
      </w:r>
    </w:p>
    <w:p w14:paraId="174A9E1D">
      <w:pPr>
        <w:jc w:val="both"/>
        <w:rPr>
          <w:rFonts w:ascii="Segoe UI Emoji" w:hAnsi="Segoe UI Emoji" w:cs="Segoe UI Emoji"/>
          <w:b/>
          <w:bCs/>
          <w:color w:val="0070C0"/>
          <w:sz w:val="20"/>
          <w:szCs w:val="20"/>
          <w:lang w:val="en-IN"/>
        </w:rPr>
      </w:pPr>
      <w:r>
        <w:rPr>
          <w:rFonts w:ascii="Segoe UI Emoji" w:hAnsi="Segoe UI Emoji" w:cs="Segoe UI Emoji"/>
          <w:b/>
          <w:bCs/>
          <w:color w:val="0070C0"/>
          <w:sz w:val="20"/>
          <w:szCs w:val="20"/>
          <w:lang w:val="en-IN"/>
        </w:rPr>
        <w:t>⏱️ Time Required:</w:t>
      </w:r>
    </w:p>
    <w:p w14:paraId="24A06ECA">
      <w:pPr>
        <w:jc w:val="both"/>
        <w:rPr>
          <w:rFonts w:ascii="Segoe UI Emoji" w:hAnsi="Segoe UI Emoji" w:cs="Segoe UI Emoji"/>
          <w:b/>
          <w:color w:val="0070C0"/>
          <w:sz w:val="20"/>
          <w:szCs w:val="20"/>
          <w:lang w:val="en-IN"/>
        </w:rPr>
      </w:pPr>
      <w:r>
        <w:rPr>
          <w:rFonts w:ascii="Segoe UI Emoji" w:hAnsi="Segoe UI Emoji" w:cs="Segoe UI Emoji"/>
          <w:b/>
          <w:bCs/>
          <w:color w:val="0070C0"/>
          <w:sz w:val="20"/>
          <w:szCs w:val="20"/>
          <w:lang w:val="en-IN"/>
        </w:rPr>
        <w:t>1.5–2 hours</w:t>
      </w:r>
    </w:p>
    <w:p w14:paraId="39C71453">
      <w:p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t>This is the most intellectually demanding section.</w:t>
      </w:r>
    </w:p>
    <w:p w14:paraId="25637EEF">
      <w:pPr>
        <w:jc w:val="both"/>
        <w:rPr>
          <w:rFonts w:ascii="Segoe UI Emoji" w:hAnsi="Segoe UI Emoji" w:cs="Segoe UI Emoji"/>
          <w:b/>
          <w:bCs/>
          <w:color w:val="0070C0"/>
          <w:sz w:val="20"/>
          <w:szCs w:val="20"/>
          <w:lang w:val="en-IN"/>
        </w:rPr>
      </w:pPr>
      <w:r>
        <w:rPr>
          <w:rFonts w:ascii="Segoe UI Emoji" w:hAnsi="Segoe UI Emoji" w:cs="Segoe UI Emoji"/>
          <w:b/>
          <w:bCs/>
          <w:color w:val="0070C0"/>
          <w:sz w:val="20"/>
          <w:szCs w:val="20"/>
          <w:lang w:val="en-IN"/>
        </w:rPr>
        <w:t>🎯 What you’ll do:</w:t>
      </w:r>
    </w:p>
    <w:p w14:paraId="750954F0">
      <w:pPr>
        <w:numPr>
          <w:ilvl w:val="0"/>
          <w:numId w:val="3"/>
        </w:num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t>Read Cox 2014 carefully</w:t>
      </w:r>
    </w:p>
    <w:p w14:paraId="020C6B49">
      <w:pPr>
        <w:numPr>
          <w:ilvl w:val="0"/>
          <w:numId w:val="3"/>
        </w:num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t>Extract:</w:t>
      </w:r>
    </w:p>
    <w:p w14:paraId="317C78CE">
      <w:pPr>
        <w:numPr>
          <w:ilvl w:val="1"/>
          <w:numId w:val="3"/>
        </w:num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t>High GTP affinity problem</w:t>
      </w:r>
    </w:p>
    <w:p w14:paraId="0F3353E7">
      <w:pPr>
        <w:numPr>
          <w:ilvl w:val="1"/>
          <w:numId w:val="3"/>
        </w:num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t>Lack of druggable pockets</w:t>
      </w:r>
    </w:p>
    <w:p w14:paraId="3F267FF6">
      <w:pPr>
        <w:numPr>
          <w:ilvl w:val="1"/>
          <w:numId w:val="3"/>
        </w:num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t>Switch I / Switch II relevance</w:t>
      </w:r>
    </w:p>
    <w:p w14:paraId="4307DF4D">
      <w:pPr>
        <w:numPr>
          <w:ilvl w:val="1"/>
          <w:numId w:val="3"/>
        </w:num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t>Isoform conservation</w:t>
      </w:r>
    </w:p>
    <w:p w14:paraId="200E6C22">
      <w:pPr>
        <w:numPr>
          <w:ilvl w:val="0"/>
          <w:numId w:val="3"/>
        </w:num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t>Integrate with Vetter 2001 &amp; Johnson 2017</w:t>
      </w:r>
    </w:p>
    <w:p w14:paraId="6457220D">
      <w:p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t>This section defines your scientific maturity.</w:t>
      </w:r>
    </w:p>
    <w:p w14:paraId="7DC2346C">
      <w:p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pict>
          <v:rect id="_x0000_i1027" o:spt="1" style="height:1.5pt;width:0pt;" fillcolor="#A0A0A0" filled="t" stroked="f" coordsize="21600,21600" o:hr="t" o:hrstd="t" o:hralign="center">
            <v:path/>
            <v:fill on="t" focussize="0,0"/>
            <v:stroke on="f"/>
            <v:imagedata o:title=""/>
            <o:lock v:ext="edit"/>
            <w10:wrap type="none"/>
            <w10:anchorlock/>
          </v:rect>
        </w:pict>
      </w:r>
    </w:p>
    <w:p w14:paraId="1E61FC10">
      <w:pPr>
        <w:jc w:val="both"/>
        <w:rPr>
          <w:rFonts w:ascii="Segoe UI Emoji" w:hAnsi="Segoe UI Emoji" w:cs="Segoe UI Emoji"/>
          <w:b/>
          <w:bCs/>
          <w:color w:val="0070C0"/>
          <w:sz w:val="20"/>
          <w:szCs w:val="20"/>
          <w:lang w:val="en-IN"/>
        </w:rPr>
      </w:pPr>
      <w:r>
        <w:rPr>
          <w:rFonts w:ascii="Segoe UI Emoji" w:hAnsi="Segoe UI Emoji" w:cs="Segoe UI Emoji"/>
          <w:b/>
          <w:bCs/>
          <w:color w:val="0070C0"/>
          <w:sz w:val="20"/>
          <w:szCs w:val="20"/>
          <w:lang w:val="en-IN"/>
        </w:rPr>
        <w:t>🔷 SECTION 3 — Therapeutic Gap in NRAS-Mutant Melanoma</w:t>
      </w:r>
    </w:p>
    <w:p w14:paraId="300FA9C9">
      <w:pPr>
        <w:jc w:val="both"/>
        <w:rPr>
          <w:rFonts w:ascii="Segoe UI Emoji" w:hAnsi="Segoe UI Emoji" w:cs="Segoe UI Emoji"/>
          <w:b/>
          <w:bCs/>
          <w:color w:val="0070C0"/>
          <w:sz w:val="20"/>
          <w:szCs w:val="20"/>
          <w:lang w:val="en-IN"/>
        </w:rPr>
      </w:pPr>
      <w:r>
        <w:rPr>
          <w:rFonts w:ascii="Segoe UI Emoji" w:hAnsi="Segoe UI Emoji" w:cs="Segoe UI Emoji"/>
          <w:b/>
          <w:bCs/>
          <w:color w:val="0070C0"/>
          <w:sz w:val="20"/>
          <w:szCs w:val="20"/>
          <w:lang w:val="en-IN"/>
        </w:rPr>
        <w:t>📏 Word Count:</w:t>
      </w:r>
    </w:p>
    <w:p w14:paraId="63F151CB">
      <w:pPr>
        <w:jc w:val="both"/>
        <w:rPr>
          <w:rFonts w:ascii="Segoe UI Emoji" w:hAnsi="Segoe UI Emoji" w:cs="Segoe UI Emoji"/>
          <w:b/>
          <w:color w:val="0070C0"/>
          <w:sz w:val="20"/>
          <w:szCs w:val="20"/>
          <w:lang w:val="en-IN"/>
        </w:rPr>
      </w:pPr>
      <w:r>
        <w:rPr>
          <w:rFonts w:ascii="Segoe UI Emoji" w:hAnsi="Segoe UI Emoji" w:cs="Segoe UI Emoji"/>
          <w:b/>
          <w:bCs/>
          <w:color w:val="0070C0"/>
          <w:sz w:val="20"/>
          <w:szCs w:val="20"/>
          <w:lang w:val="en-IN"/>
        </w:rPr>
        <w:t>150–200 words</w:t>
      </w:r>
    </w:p>
    <w:p w14:paraId="3BDBC76A">
      <w:pPr>
        <w:jc w:val="both"/>
        <w:rPr>
          <w:rFonts w:ascii="Segoe UI Emoji" w:hAnsi="Segoe UI Emoji" w:cs="Segoe UI Emoji"/>
          <w:b/>
          <w:bCs/>
          <w:color w:val="0070C0"/>
          <w:sz w:val="20"/>
          <w:szCs w:val="20"/>
          <w:lang w:val="en-IN"/>
        </w:rPr>
      </w:pPr>
      <w:r>
        <w:rPr>
          <w:rFonts w:ascii="Segoe UI Emoji" w:hAnsi="Segoe UI Emoji" w:cs="Segoe UI Emoji"/>
          <w:b/>
          <w:bCs/>
          <w:color w:val="0070C0"/>
          <w:sz w:val="20"/>
          <w:szCs w:val="20"/>
          <w:lang w:val="en-IN"/>
        </w:rPr>
        <w:t>⏱️ Time Required:</w:t>
      </w:r>
    </w:p>
    <w:p w14:paraId="797E1235">
      <w:pPr>
        <w:jc w:val="both"/>
        <w:rPr>
          <w:rFonts w:ascii="Segoe UI Emoji" w:hAnsi="Segoe UI Emoji" w:cs="Segoe UI Emoji"/>
          <w:b/>
          <w:color w:val="0070C0"/>
          <w:sz w:val="20"/>
          <w:szCs w:val="20"/>
          <w:lang w:val="en-IN"/>
        </w:rPr>
      </w:pPr>
      <w:r>
        <w:rPr>
          <w:rFonts w:ascii="Segoe UI Emoji" w:hAnsi="Segoe UI Emoji" w:cs="Segoe UI Emoji"/>
          <w:b/>
          <w:bCs/>
          <w:color w:val="0070C0"/>
          <w:sz w:val="20"/>
          <w:szCs w:val="20"/>
          <w:lang w:val="en-IN"/>
        </w:rPr>
        <w:t>45–60 minutes</w:t>
      </w:r>
    </w:p>
    <w:p w14:paraId="748D8040">
      <w:pPr>
        <w:jc w:val="both"/>
        <w:rPr>
          <w:rFonts w:ascii="Segoe UI Emoji" w:hAnsi="Segoe UI Emoji" w:cs="Segoe UI Emoji"/>
          <w:b/>
          <w:bCs/>
          <w:color w:val="0070C0"/>
          <w:sz w:val="20"/>
          <w:szCs w:val="20"/>
          <w:lang w:val="en-IN"/>
        </w:rPr>
      </w:pPr>
      <w:r>
        <w:rPr>
          <w:rFonts w:ascii="Segoe UI Emoji" w:hAnsi="Segoe UI Emoji" w:cs="Segoe UI Emoji"/>
          <w:b/>
          <w:bCs/>
          <w:color w:val="0070C0"/>
          <w:sz w:val="20"/>
          <w:szCs w:val="20"/>
          <w:lang w:val="en-IN"/>
        </w:rPr>
        <w:t>🎯 What you’ll do:</w:t>
      </w:r>
    </w:p>
    <w:p w14:paraId="737E00F9">
      <w:pPr>
        <w:numPr>
          <w:ilvl w:val="0"/>
          <w:numId w:val="4"/>
        </w:num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t>Summarize MEK inhibitors</w:t>
      </w:r>
    </w:p>
    <w:p w14:paraId="43F835AF">
      <w:pPr>
        <w:numPr>
          <w:ilvl w:val="0"/>
          <w:numId w:val="4"/>
        </w:num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t>State modest benefit</w:t>
      </w:r>
    </w:p>
    <w:p w14:paraId="243063B3">
      <w:pPr>
        <w:numPr>
          <w:ilvl w:val="0"/>
          <w:numId w:val="4"/>
        </w:num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t>Emphasize lack of direct NRAS inhibitors</w:t>
      </w:r>
    </w:p>
    <w:p w14:paraId="6F6D9DCB">
      <w:pPr>
        <w:numPr>
          <w:ilvl w:val="0"/>
          <w:numId w:val="4"/>
        </w:num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t>End with strong “unmet need” sentence</w:t>
      </w:r>
    </w:p>
    <w:p w14:paraId="5B4B77CB">
      <w:p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t>This should be sharp and clinical — not long.</w:t>
      </w:r>
    </w:p>
    <w:p w14:paraId="793F9B1B">
      <w:p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pict>
          <v:rect id="_x0000_i1028" o:spt="1" style="height:1.5pt;width:0pt;" fillcolor="#A0A0A0" filled="t" stroked="f" coordsize="21600,21600" o:hr="t" o:hrstd="t" o:hralign="center">
            <v:path/>
            <v:fill on="t" focussize="0,0"/>
            <v:stroke on="f"/>
            <v:imagedata o:title=""/>
            <o:lock v:ext="edit"/>
            <w10:wrap type="none"/>
            <w10:anchorlock/>
          </v:rect>
        </w:pict>
      </w:r>
    </w:p>
    <w:p w14:paraId="182E5E63">
      <w:pPr>
        <w:jc w:val="both"/>
        <w:rPr>
          <w:rFonts w:ascii="Segoe UI Emoji" w:hAnsi="Segoe UI Emoji" w:cs="Segoe UI Emoji"/>
          <w:b/>
          <w:bCs/>
          <w:color w:val="0070C0"/>
          <w:sz w:val="20"/>
          <w:szCs w:val="20"/>
          <w:lang w:val="en-IN"/>
        </w:rPr>
      </w:pPr>
      <w:r>
        <w:rPr>
          <w:rFonts w:ascii="Segoe UI Emoji" w:hAnsi="Segoe UI Emoji" w:cs="Segoe UI Emoji"/>
          <w:b/>
          <w:bCs/>
          <w:color w:val="0070C0"/>
          <w:sz w:val="20"/>
          <w:szCs w:val="20"/>
          <w:lang w:val="en-IN"/>
        </w:rPr>
        <w:t>🔷 SECTION 4 — Natural Compounds as Drug Discovery Sources</w:t>
      </w:r>
    </w:p>
    <w:p w14:paraId="45E7ADF1">
      <w:pPr>
        <w:jc w:val="both"/>
        <w:rPr>
          <w:rFonts w:ascii="Segoe UI Emoji" w:hAnsi="Segoe UI Emoji" w:cs="Segoe UI Emoji"/>
          <w:b/>
          <w:bCs/>
          <w:color w:val="0070C0"/>
          <w:sz w:val="20"/>
          <w:szCs w:val="20"/>
          <w:lang w:val="en-IN"/>
        </w:rPr>
      </w:pPr>
      <w:r>
        <w:rPr>
          <w:rFonts w:ascii="Segoe UI Emoji" w:hAnsi="Segoe UI Emoji" w:cs="Segoe UI Emoji"/>
          <w:b/>
          <w:bCs/>
          <w:color w:val="0070C0"/>
          <w:sz w:val="20"/>
          <w:szCs w:val="20"/>
          <w:lang w:val="en-IN"/>
        </w:rPr>
        <w:t>📏 Word Count:</w:t>
      </w:r>
    </w:p>
    <w:p w14:paraId="6408D64F">
      <w:pPr>
        <w:jc w:val="both"/>
        <w:rPr>
          <w:rFonts w:ascii="Segoe UI Emoji" w:hAnsi="Segoe UI Emoji" w:cs="Segoe UI Emoji"/>
          <w:b/>
          <w:color w:val="0070C0"/>
          <w:sz w:val="20"/>
          <w:szCs w:val="20"/>
          <w:lang w:val="en-IN"/>
        </w:rPr>
      </w:pPr>
      <w:r>
        <w:rPr>
          <w:rFonts w:ascii="Segoe UI Emoji" w:hAnsi="Segoe UI Emoji" w:cs="Segoe UI Emoji"/>
          <w:b/>
          <w:bCs/>
          <w:color w:val="0070C0"/>
          <w:sz w:val="20"/>
          <w:szCs w:val="20"/>
          <w:lang w:val="en-IN"/>
        </w:rPr>
        <w:t>120–150 words</w:t>
      </w:r>
    </w:p>
    <w:p w14:paraId="421273C9">
      <w:pPr>
        <w:jc w:val="both"/>
        <w:rPr>
          <w:rFonts w:ascii="Segoe UI Emoji" w:hAnsi="Segoe UI Emoji" w:cs="Segoe UI Emoji"/>
          <w:b/>
          <w:bCs/>
          <w:color w:val="0070C0"/>
          <w:sz w:val="20"/>
          <w:szCs w:val="20"/>
          <w:lang w:val="en-IN"/>
        </w:rPr>
      </w:pPr>
      <w:r>
        <w:rPr>
          <w:rFonts w:ascii="Segoe UI Emoji" w:hAnsi="Segoe UI Emoji" w:cs="Segoe UI Emoji"/>
          <w:b/>
          <w:bCs/>
          <w:color w:val="0070C0"/>
          <w:sz w:val="20"/>
          <w:szCs w:val="20"/>
          <w:lang w:val="en-IN"/>
        </w:rPr>
        <w:t>⏱️ Time Required:</w:t>
      </w:r>
    </w:p>
    <w:p w14:paraId="58F0ACC0">
      <w:pPr>
        <w:jc w:val="both"/>
        <w:rPr>
          <w:rFonts w:ascii="Segoe UI Emoji" w:hAnsi="Segoe UI Emoji" w:cs="Segoe UI Emoji"/>
          <w:b/>
          <w:color w:val="0070C0"/>
          <w:sz w:val="20"/>
          <w:szCs w:val="20"/>
          <w:lang w:val="en-IN"/>
        </w:rPr>
      </w:pPr>
      <w:r>
        <w:rPr>
          <w:rFonts w:ascii="Segoe UI Emoji" w:hAnsi="Segoe UI Emoji" w:cs="Segoe UI Emoji"/>
          <w:b/>
          <w:bCs/>
          <w:color w:val="0070C0"/>
          <w:sz w:val="20"/>
          <w:szCs w:val="20"/>
          <w:lang w:val="en-IN"/>
        </w:rPr>
        <w:t>30–45 minutes</w:t>
      </w:r>
    </w:p>
    <w:p w14:paraId="24202D93">
      <w:pPr>
        <w:jc w:val="both"/>
        <w:rPr>
          <w:rFonts w:ascii="Segoe UI Emoji" w:hAnsi="Segoe UI Emoji" w:cs="Segoe UI Emoji"/>
          <w:b/>
          <w:bCs/>
          <w:color w:val="0070C0"/>
          <w:sz w:val="20"/>
          <w:szCs w:val="20"/>
          <w:lang w:val="en-IN"/>
        </w:rPr>
      </w:pPr>
      <w:r>
        <w:rPr>
          <w:rFonts w:ascii="Segoe UI Emoji" w:hAnsi="Segoe UI Emoji" w:cs="Segoe UI Emoji"/>
          <w:b/>
          <w:bCs/>
          <w:color w:val="0070C0"/>
          <w:sz w:val="20"/>
          <w:szCs w:val="20"/>
          <w:lang w:val="en-IN"/>
        </w:rPr>
        <w:t>🎯 What you’ll do:</w:t>
      </w:r>
    </w:p>
    <w:p w14:paraId="0181227E">
      <w:pPr>
        <w:numPr>
          <w:ilvl w:val="0"/>
          <w:numId w:val="5"/>
        </w:num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t>Use Newman &amp; Cragg</w:t>
      </w:r>
    </w:p>
    <w:p w14:paraId="5214F731">
      <w:pPr>
        <w:numPr>
          <w:ilvl w:val="0"/>
          <w:numId w:val="5"/>
        </w:num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t>Justify:</w:t>
      </w:r>
    </w:p>
    <w:p w14:paraId="095BEE38">
      <w:pPr>
        <w:numPr>
          <w:ilvl w:val="1"/>
          <w:numId w:val="5"/>
        </w:num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t>Chemical diversity</w:t>
      </w:r>
    </w:p>
    <w:p w14:paraId="26CE8A00">
      <w:pPr>
        <w:numPr>
          <w:ilvl w:val="1"/>
          <w:numId w:val="5"/>
        </w:num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t>Evolutionary scaffolds</w:t>
      </w:r>
    </w:p>
    <w:p w14:paraId="5C90E98E">
      <w:pPr>
        <w:numPr>
          <w:ilvl w:val="1"/>
          <w:numId w:val="5"/>
        </w:num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t>Success in oncology</w:t>
      </w:r>
    </w:p>
    <w:p w14:paraId="3E5CD855">
      <w:p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t>Keep elegant and short.</w:t>
      </w:r>
    </w:p>
    <w:p w14:paraId="0AE4165D">
      <w:p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pict>
          <v:rect id="_x0000_i1029" o:spt="1" style="height:1.5pt;width:0pt;" fillcolor="#A0A0A0" filled="t" stroked="f" coordsize="21600,21600" o:hr="t" o:hrstd="t" o:hralign="center">
            <v:path/>
            <v:fill on="t" focussize="0,0"/>
            <v:stroke on="f"/>
            <v:imagedata o:title=""/>
            <o:lock v:ext="edit"/>
            <w10:wrap type="none"/>
            <w10:anchorlock/>
          </v:rect>
        </w:pict>
      </w:r>
    </w:p>
    <w:p w14:paraId="6B3AAD52">
      <w:pPr>
        <w:jc w:val="both"/>
        <w:rPr>
          <w:rFonts w:ascii="Segoe UI Emoji" w:hAnsi="Segoe UI Emoji" w:cs="Segoe UI Emoji"/>
          <w:b/>
          <w:bCs/>
          <w:color w:val="0070C0"/>
          <w:sz w:val="20"/>
          <w:szCs w:val="20"/>
          <w:lang w:val="en-IN"/>
        </w:rPr>
      </w:pPr>
      <w:r>
        <w:rPr>
          <w:rFonts w:ascii="Segoe UI Emoji" w:hAnsi="Segoe UI Emoji" w:cs="Segoe UI Emoji"/>
          <w:b/>
          <w:bCs/>
          <w:color w:val="0070C0"/>
          <w:sz w:val="20"/>
          <w:szCs w:val="20"/>
          <w:lang w:val="en-IN"/>
        </w:rPr>
        <w:t>🔷 SECTION 5 — Computational Screening &amp; Objective</w:t>
      </w:r>
    </w:p>
    <w:p w14:paraId="45182431">
      <w:pPr>
        <w:jc w:val="both"/>
        <w:rPr>
          <w:rFonts w:ascii="Segoe UI Emoji" w:hAnsi="Segoe UI Emoji" w:cs="Segoe UI Emoji"/>
          <w:b/>
          <w:bCs/>
          <w:color w:val="0070C0"/>
          <w:sz w:val="20"/>
          <w:szCs w:val="20"/>
          <w:lang w:val="en-IN"/>
        </w:rPr>
      </w:pPr>
      <w:r>
        <w:rPr>
          <w:rFonts w:ascii="Segoe UI Emoji" w:hAnsi="Segoe UI Emoji" w:cs="Segoe UI Emoji"/>
          <w:b/>
          <w:bCs/>
          <w:color w:val="0070C0"/>
          <w:sz w:val="20"/>
          <w:szCs w:val="20"/>
          <w:lang w:val="en-IN"/>
        </w:rPr>
        <w:t>📏 Word Count:</w:t>
      </w:r>
    </w:p>
    <w:p w14:paraId="4A3139F3">
      <w:pPr>
        <w:jc w:val="both"/>
        <w:rPr>
          <w:rFonts w:ascii="Segoe UI Emoji" w:hAnsi="Segoe UI Emoji" w:cs="Segoe UI Emoji"/>
          <w:b/>
          <w:color w:val="0070C0"/>
          <w:sz w:val="20"/>
          <w:szCs w:val="20"/>
          <w:lang w:val="en-IN"/>
        </w:rPr>
      </w:pPr>
      <w:r>
        <w:rPr>
          <w:rFonts w:ascii="Segoe UI Emoji" w:hAnsi="Segoe UI Emoji" w:cs="Segoe UI Emoji"/>
          <w:b/>
          <w:bCs/>
          <w:color w:val="0070C0"/>
          <w:sz w:val="20"/>
          <w:szCs w:val="20"/>
          <w:lang w:val="en-IN"/>
        </w:rPr>
        <w:t>150–180 words</w:t>
      </w:r>
    </w:p>
    <w:p w14:paraId="5D890A6C">
      <w:pPr>
        <w:jc w:val="both"/>
        <w:rPr>
          <w:rFonts w:ascii="Segoe UI Emoji" w:hAnsi="Segoe UI Emoji" w:cs="Segoe UI Emoji"/>
          <w:b/>
          <w:bCs/>
          <w:color w:val="0070C0"/>
          <w:sz w:val="20"/>
          <w:szCs w:val="20"/>
          <w:lang w:val="en-IN"/>
        </w:rPr>
      </w:pPr>
      <w:r>
        <w:rPr>
          <w:rFonts w:ascii="Segoe UI Emoji" w:hAnsi="Segoe UI Emoji" w:cs="Segoe UI Emoji"/>
          <w:b/>
          <w:bCs/>
          <w:color w:val="0070C0"/>
          <w:sz w:val="20"/>
          <w:szCs w:val="20"/>
          <w:lang w:val="en-IN"/>
        </w:rPr>
        <w:t>⏱️ Time Required:</w:t>
      </w:r>
    </w:p>
    <w:p w14:paraId="6D61C7B2">
      <w:pPr>
        <w:jc w:val="both"/>
        <w:rPr>
          <w:rFonts w:ascii="Segoe UI Emoji" w:hAnsi="Segoe UI Emoji" w:cs="Segoe UI Emoji"/>
          <w:b/>
          <w:color w:val="0070C0"/>
          <w:sz w:val="20"/>
          <w:szCs w:val="20"/>
          <w:lang w:val="en-IN"/>
        </w:rPr>
      </w:pPr>
      <w:r>
        <w:rPr>
          <w:rFonts w:ascii="Segoe UI Emoji" w:hAnsi="Segoe UI Emoji" w:cs="Segoe UI Emoji"/>
          <w:b/>
          <w:bCs/>
          <w:color w:val="0070C0"/>
          <w:sz w:val="20"/>
          <w:szCs w:val="20"/>
          <w:lang w:val="en-IN"/>
        </w:rPr>
        <w:t>45–60 minutes</w:t>
      </w:r>
    </w:p>
    <w:p w14:paraId="5B36D82C">
      <w:pPr>
        <w:jc w:val="both"/>
        <w:rPr>
          <w:rFonts w:ascii="Segoe UI Emoji" w:hAnsi="Segoe UI Emoji" w:cs="Segoe UI Emoji"/>
          <w:b/>
          <w:bCs/>
          <w:color w:val="0070C0"/>
          <w:sz w:val="20"/>
          <w:szCs w:val="20"/>
          <w:lang w:val="en-IN"/>
        </w:rPr>
      </w:pPr>
      <w:r>
        <w:rPr>
          <w:rFonts w:ascii="Segoe UI Emoji" w:hAnsi="Segoe UI Emoji" w:cs="Segoe UI Emoji"/>
          <w:b/>
          <w:bCs/>
          <w:color w:val="0070C0"/>
          <w:sz w:val="20"/>
          <w:szCs w:val="20"/>
          <w:lang w:val="en-IN"/>
        </w:rPr>
        <w:t>🎯 What you’ll do:</w:t>
      </w:r>
    </w:p>
    <w:p w14:paraId="620FE806">
      <w:pPr>
        <w:numPr>
          <w:ilvl w:val="0"/>
          <w:numId w:val="6"/>
        </w:num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t>One paragraph on structure-based screening rationale</w:t>
      </w:r>
    </w:p>
    <w:p w14:paraId="1745186E">
      <w:pPr>
        <w:numPr>
          <w:ilvl w:val="0"/>
          <w:numId w:val="6"/>
        </w:num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t>Then clearly state objective:</w:t>
      </w:r>
    </w:p>
    <w:p w14:paraId="50C6FD2A">
      <w:pPr>
        <w:numPr>
          <w:ilvl w:val="1"/>
          <w:numId w:val="6"/>
        </w:num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t>Model G12D, G13D, Q61R</w:t>
      </w:r>
    </w:p>
    <w:p w14:paraId="7CEB1FDA">
      <w:pPr>
        <w:numPr>
          <w:ilvl w:val="1"/>
          <w:numId w:val="6"/>
        </w:num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t>Screen natural compounds</w:t>
      </w:r>
    </w:p>
    <w:p w14:paraId="6331E81A">
      <w:pPr>
        <w:numPr>
          <w:ilvl w:val="1"/>
          <w:numId w:val="6"/>
        </w:numPr>
        <w:jc w:val="both"/>
        <w:rPr>
          <w:rFonts w:ascii="Segoe UI Emoji" w:hAnsi="Segoe UI Emoji" w:cs="Segoe UI Emoji"/>
          <w:b/>
          <w:color w:val="0070C0"/>
          <w:sz w:val="20"/>
          <w:szCs w:val="20"/>
          <w:lang w:val="en-IN"/>
        </w:rPr>
      </w:pPr>
      <w:r>
        <w:rPr>
          <w:rFonts w:ascii="Segoe UI Emoji" w:hAnsi="Segoe UI Emoji" w:cs="Segoe UI Emoji"/>
          <w:b/>
          <w:color w:val="0070C0"/>
          <w:sz w:val="20"/>
          <w:szCs w:val="20"/>
          <w:lang w:val="en-IN"/>
        </w:rPr>
        <w:t>Identify mutation-engaging binders</w:t>
      </w:r>
    </w:p>
    <w:p w14:paraId="4AD27D90">
      <w:pPr>
        <w:jc w:val="both"/>
        <w:rPr>
          <w:b/>
          <w:color w:val="0070C0"/>
          <w:sz w:val="20"/>
          <w:szCs w:val="20"/>
          <w:lang w:val="en-US"/>
        </w:rPr>
      </w:pPr>
    </w:p>
    <w:p w14:paraId="149181C4">
      <w:pPr>
        <w:jc w:val="both"/>
        <w:rPr>
          <w:rFonts w:eastAsia="Calibri"/>
          <w:b/>
          <w:color w:val="0070C0"/>
          <w:sz w:val="20"/>
          <w:szCs w:val="20"/>
          <w:lang w:val="en-US"/>
        </w:rPr>
      </w:pPr>
      <w:r>
        <w:rPr>
          <w:rFonts w:eastAsia="Calibri"/>
          <w:b/>
          <w:color w:val="0070C0"/>
          <w:sz w:val="20"/>
          <w:szCs w:val="20"/>
          <w:lang w:val="en-US"/>
        </w:rPr>
        <w:t>2.1. Methods</w:t>
      </w:r>
    </w:p>
    <w:p w14:paraId="2D2BE5B7">
      <w:pPr>
        <w:jc w:val="both"/>
        <w:rPr>
          <w:rFonts w:eastAsia="Calibri"/>
          <w:b/>
          <w:color w:val="0070C0"/>
          <w:sz w:val="20"/>
          <w:szCs w:val="20"/>
          <w:lang w:val="en-US"/>
        </w:rPr>
      </w:pPr>
    </w:p>
    <w:p w14:paraId="08186916">
      <w:pPr>
        <w:jc w:val="both"/>
        <w:rPr>
          <w:rFonts w:eastAsia="Calibri"/>
          <w:b/>
          <w:color w:val="2E75B6" w:themeColor="accent5" w:themeShade="BF"/>
          <w:sz w:val="20"/>
          <w:szCs w:val="20"/>
          <w:lang w:val="en-US"/>
        </w:rPr>
      </w:pPr>
      <w:r>
        <w:rPr>
          <w:rFonts w:eastAsia="Calibri"/>
          <w:b/>
          <w:color w:val="0070C0"/>
          <w:sz w:val="20"/>
          <w:szCs w:val="20"/>
          <w:lang w:val="en-US"/>
        </w:rPr>
        <w:t xml:space="preserve">2.1.1. </w:t>
      </w:r>
      <w:r>
        <w:rPr>
          <w:rFonts w:eastAsia="TimesNewRomanPSMT"/>
          <w:b/>
          <w:bCs/>
          <w:color w:val="2E75B6" w:themeColor="accent5" w:themeShade="BF"/>
          <w:sz w:val="20"/>
          <w:szCs w:val="20"/>
        </w:rPr>
        <w:t>Target identificaction</w:t>
      </w:r>
    </w:p>
    <w:p w14:paraId="2B842F09">
      <w:pPr>
        <w:jc w:val="both"/>
        <w:rPr>
          <w:rFonts w:eastAsia="TimesNewRomanPSMT"/>
          <w:sz w:val="20"/>
          <w:szCs w:val="20"/>
        </w:rPr>
      </w:pPr>
    </w:p>
    <w:p w14:paraId="090D2F09">
      <w:pPr>
        <w:jc w:val="both"/>
        <w:rPr>
          <w:rFonts w:eastAsia="Calibri"/>
          <w:bCs/>
          <w:sz w:val="20"/>
          <w:szCs w:val="20"/>
        </w:rPr>
      </w:pPr>
      <w:r>
        <w:rPr>
          <w:rFonts w:eastAsia="Calibri"/>
          <w:bCs/>
          <w:sz w:val="20"/>
          <w:szCs w:val="20"/>
        </w:rPr>
        <w:t>The KEGG database</w:t>
      </w:r>
      <w:r>
        <w:rPr>
          <w:rFonts w:eastAsia="Calibri"/>
          <w:bCs/>
          <w:color w:val="0070C0"/>
          <w:sz w:val="20"/>
          <w:szCs w:val="20"/>
        </w:rPr>
        <w:t xml:space="preserve"> (Kanehisa &amp; Goto, 2000)</w:t>
      </w:r>
      <w:r>
        <w:rPr>
          <w:rFonts w:eastAsia="Calibri"/>
          <w:bCs/>
          <w:sz w:val="20"/>
          <w:szCs w:val="20"/>
        </w:rPr>
        <w:t xml:space="preserve"> was used to study the melanoma pathway. Dysregulation of the MAPK pathway is very common in many cancers due to mutations in the RAS gene. The MAPK pathway is one of the major pathways involved in the progress of melanoma and so it was chosen for this study. It harbours BRAF, NRAS, ERK, and MEK as its components. About 28% of the mutations are seen in NRAS of this pathway </w:t>
      </w:r>
      <w:r>
        <w:rPr>
          <w:rFonts w:eastAsia="Calibri"/>
          <w:bCs/>
          <w:color w:val="0070C0"/>
          <w:sz w:val="20"/>
          <w:szCs w:val="20"/>
        </w:rPr>
        <w:t>(Cancer.Net Editorial Board, 2025).</w:t>
      </w:r>
    </w:p>
    <w:p w14:paraId="59D219AD">
      <w:pPr>
        <w:jc w:val="both"/>
        <w:rPr>
          <w:rFonts w:eastAsia="Calibri"/>
          <w:b/>
          <w:color w:val="0070C0"/>
          <w:sz w:val="20"/>
          <w:szCs w:val="20"/>
        </w:rPr>
      </w:pPr>
    </w:p>
    <w:p w14:paraId="6C2FDE88">
      <w:pPr>
        <w:jc w:val="both"/>
        <w:rPr>
          <w:rFonts w:eastAsia="Calibri"/>
          <w:b/>
          <w:color w:val="0070C0"/>
          <w:sz w:val="20"/>
          <w:szCs w:val="20"/>
          <w:lang w:val="en-US"/>
        </w:rPr>
      </w:pPr>
      <w:r>
        <w:rPr>
          <w:rFonts w:eastAsia="Calibri"/>
          <w:b/>
          <w:color w:val="0070C0"/>
          <w:sz w:val="20"/>
          <w:szCs w:val="20"/>
          <w:lang w:val="en-US"/>
        </w:rPr>
        <w:t xml:space="preserve">2.1.2. Protein Preparation </w:t>
      </w:r>
    </w:p>
    <w:p w14:paraId="0378FBB3">
      <w:pPr>
        <w:jc w:val="both"/>
        <w:rPr>
          <w:rFonts w:eastAsia="Calibri"/>
          <w:b/>
          <w:color w:val="0070C0"/>
          <w:sz w:val="20"/>
          <w:szCs w:val="20"/>
          <w:lang w:val="en-US"/>
        </w:rPr>
      </w:pPr>
    </w:p>
    <w:p w14:paraId="535CB1E8">
      <w:pPr>
        <w:jc w:val="both"/>
        <w:rPr>
          <w:rFonts w:eastAsia="TimesNewRomanPSMT"/>
          <w:sz w:val="20"/>
          <w:szCs w:val="20"/>
        </w:rPr>
      </w:pPr>
      <w:r>
        <w:rPr>
          <w:rFonts w:eastAsia="TimesNewRomanPSMT"/>
          <w:sz w:val="20"/>
          <w:szCs w:val="20"/>
        </w:rPr>
        <w:t xml:space="preserve">The wild type NRAS structure with the best resolution and well curated in UniProt was selected. The PDB ID of this structure was 5UHV and UniProtKB ID was P01111. NRAS is a small GTPase structure. A clear difference between isoforms of NRAS is the binding of Ras Binding Domain </w:t>
      </w:r>
      <w:r>
        <w:rPr>
          <w:rFonts w:eastAsia="TimesNewRomanPSMT"/>
          <w:color w:val="0070C0"/>
          <w:sz w:val="20"/>
          <w:szCs w:val="20"/>
        </w:rPr>
        <w:t>(Johnson et al., 2017).</w:t>
      </w:r>
      <w:r>
        <w:rPr>
          <w:rFonts w:eastAsia="TimesNewRomanPSMT"/>
          <w:sz w:val="20"/>
          <w:szCs w:val="20"/>
        </w:rPr>
        <w:t xml:space="preserve"> NRAS has only the A chain associated with it. Hence, docking was carried out on the A chain of NRAS on the active site. The G-domain, catalysing GTP hydrolysis and mediating downstream signalling, is 95% conserved between the Ras isoforms </w:t>
      </w:r>
      <w:r>
        <w:rPr>
          <w:rFonts w:eastAsia="TimesNewRomanPSMT"/>
          <w:color w:val="0070C0"/>
          <w:sz w:val="20"/>
          <w:szCs w:val="20"/>
        </w:rPr>
        <w:t>(Johnson et al., 2017).</w:t>
      </w:r>
      <w:r>
        <w:rPr>
          <w:rFonts w:eastAsia="TimesNewRomanPSMT"/>
          <w:sz w:val="20"/>
          <w:szCs w:val="20"/>
        </w:rPr>
        <w:t xml:space="preserve"> The wild type NRAS has a total of 189 amino acids. The overall structure can be divided into a catalytic G domain, which is comprised of residues 1-86 and 87-166 </w:t>
      </w:r>
      <w:r>
        <w:rPr>
          <w:rFonts w:eastAsia="TimesNewRomanPSMT"/>
          <w:color w:val="0070C0"/>
          <w:sz w:val="20"/>
          <w:szCs w:val="20"/>
        </w:rPr>
        <w:t xml:space="preserve">(Johnson et al., 2017). </w:t>
      </w:r>
    </w:p>
    <w:p w14:paraId="2621EDBF">
      <w:pPr>
        <w:jc w:val="both"/>
        <w:rPr>
          <w:rFonts w:eastAsia="TimesNewRomanPSMT"/>
          <w:sz w:val="20"/>
          <w:szCs w:val="20"/>
        </w:rPr>
      </w:pPr>
    </w:p>
    <w:p w14:paraId="7EAA7167">
      <w:pPr>
        <w:jc w:val="both"/>
        <w:rPr>
          <w:rFonts w:eastAsia="Calibri"/>
          <w:b/>
          <w:color w:val="0070C0"/>
          <w:sz w:val="20"/>
          <w:szCs w:val="20"/>
          <w:lang w:val="en-US"/>
        </w:rPr>
      </w:pPr>
      <w:r>
        <w:rPr>
          <w:rFonts w:eastAsia="Calibri"/>
          <w:b/>
          <w:color w:val="0070C0"/>
          <w:sz w:val="20"/>
          <w:szCs w:val="20"/>
          <w:lang w:val="en-US"/>
        </w:rPr>
        <w:t>2.1.3.</w:t>
      </w:r>
      <w:r>
        <w:t xml:space="preserve"> </w:t>
      </w:r>
      <w:r>
        <w:rPr>
          <w:rFonts w:eastAsia="Calibri"/>
          <w:b/>
          <w:color w:val="0070C0"/>
          <w:sz w:val="20"/>
          <w:szCs w:val="20"/>
          <w:lang w:val="en-US"/>
        </w:rPr>
        <w:t xml:space="preserve">Protein Structure Validation </w:t>
      </w:r>
    </w:p>
    <w:p w14:paraId="6BCD8562">
      <w:pPr>
        <w:jc w:val="both"/>
        <w:rPr>
          <w:rFonts w:eastAsia="Calibri"/>
          <w:sz w:val="20"/>
          <w:szCs w:val="20"/>
          <w:lang w:val="en-US"/>
        </w:rPr>
      </w:pPr>
    </w:p>
    <w:p w14:paraId="4683024D">
      <w:pPr>
        <w:jc w:val="both"/>
        <w:rPr>
          <w:sz w:val="20"/>
          <w:szCs w:val="20"/>
        </w:rPr>
      </w:pPr>
      <w:r>
        <w:rPr>
          <w:sz w:val="20"/>
          <w:szCs w:val="20"/>
        </w:rPr>
        <w:t xml:space="preserve">ProSA </w:t>
      </w:r>
      <w:r>
        <w:rPr>
          <w:color w:val="0070C0"/>
          <w:sz w:val="20"/>
          <w:szCs w:val="20"/>
        </w:rPr>
        <w:t>(Wiederstein &amp; Sippl, 2007)</w:t>
      </w:r>
      <w:r>
        <w:rPr>
          <w:sz w:val="20"/>
          <w:szCs w:val="20"/>
        </w:rPr>
        <w:t xml:space="preserve"> is frequently used for protein structure validation. ProSA calculates an overall quality score for a specific input structure. The z-score indicates overall model quality </w:t>
      </w:r>
      <w:r>
        <w:rPr>
          <w:color w:val="0070C0"/>
          <w:sz w:val="20"/>
          <w:szCs w:val="20"/>
        </w:rPr>
        <w:t>(Wiederstein &amp; Sippl, 2007).</w:t>
      </w:r>
      <w:r>
        <w:rPr>
          <w:sz w:val="20"/>
          <w:szCs w:val="20"/>
        </w:rPr>
        <w:t xml:space="preserve"> Its value is displayed in a plot showing the z-scores of all protein chains in the current PDB. ProSA-web visualizes the 3D structure of the input protein using the molecule viewer Jmol. ProSA was used for validation of the structure of mutant NRAS built in SPDBV. PROCHECK </w:t>
      </w:r>
      <w:r>
        <w:rPr>
          <w:color w:val="0070C0"/>
          <w:sz w:val="20"/>
          <w:szCs w:val="20"/>
        </w:rPr>
        <w:t xml:space="preserve">(Laskowski et al., 1993), </w:t>
      </w:r>
      <w:r>
        <w:rPr>
          <w:sz w:val="20"/>
          <w:szCs w:val="20"/>
        </w:rPr>
        <w:t xml:space="preserve">a model evaluation and validation tool, checks for the stereochemical quality of a protein structure producing residue-by-residue geometry plots. It includes PROCHECK-NMR for checking the quality of structures solved by NMR. The G-factor provides a measure of how normal or unusual the property is. It gives the Ramachandran plot to understand if the residues are in allowed or disallowed regions. PROCHECK was used for validation of the structure of mutant NRAS built in SPDBV </w:t>
      </w:r>
      <w:r>
        <w:rPr>
          <w:color w:val="0070C0"/>
          <w:sz w:val="20"/>
          <w:szCs w:val="20"/>
        </w:rPr>
        <w:t>(Laskowski et al., 1993).</w:t>
      </w:r>
    </w:p>
    <w:p w14:paraId="2AFC2DFF">
      <w:pPr>
        <w:jc w:val="both"/>
        <w:rPr>
          <w:sz w:val="20"/>
          <w:szCs w:val="20"/>
        </w:rPr>
      </w:pPr>
    </w:p>
    <w:p w14:paraId="277D6A4D">
      <w:pPr>
        <w:jc w:val="both"/>
        <w:rPr>
          <w:rFonts w:eastAsia="Calibri"/>
          <w:b/>
          <w:color w:val="0070C0"/>
          <w:sz w:val="20"/>
          <w:szCs w:val="20"/>
          <w:lang w:val="en-US"/>
        </w:rPr>
      </w:pPr>
      <w:r>
        <w:rPr>
          <w:rFonts w:eastAsia="Calibri"/>
          <w:b/>
          <w:color w:val="0070C0"/>
          <w:sz w:val="20"/>
          <w:szCs w:val="20"/>
          <w:lang w:val="en-US"/>
        </w:rPr>
        <w:t>2.1.4.</w:t>
      </w:r>
      <w:r>
        <w:t xml:space="preserve"> </w:t>
      </w:r>
      <w:r>
        <w:rPr>
          <w:rFonts w:eastAsia="Calibri"/>
          <w:b/>
          <w:color w:val="0070C0"/>
          <w:sz w:val="20"/>
          <w:szCs w:val="20"/>
          <w:lang w:val="en-US"/>
        </w:rPr>
        <w:t>Compound Library Curation and Filtering</w:t>
      </w:r>
    </w:p>
    <w:p w14:paraId="1163DD93">
      <w:pPr>
        <w:jc w:val="both"/>
        <w:rPr>
          <w:sz w:val="20"/>
          <w:szCs w:val="20"/>
        </w:rPr>
      </w:pPr>
    </w:p>
    <w:p w14:paraId="3F37FC76">
      <w:pPr>
        <w:jc w:val="both"/>
        <w:rPr>
          <w:rFonts w:eastAsia="Calibri"/>
          <w:bCs/>
          <w:sz w:val="20"/>
          <w:szCs w:val="20"/>
          <w:lang w:val="en-US"/>
        </w:rPr>
      </w:pPr>
      <w:r>
        <w:rPr>
          <w:rFonts w:eastAsia="Calibri"/>
          <w:bCs/>
          <w:sz w:val="20"/>
          <w:szCs w:val="20"/>
          <w:lang w:val="en-US"/>
        </w:rPr>
        <w:t xml:space="preserve">The database used for obtaining natural compounds for screening was the ZINC Database </w:t>
      </w:r>
      <w:r>
        <w:rPr>
          <w:rFonts w:eastAsia="Calibri"/>
          <w:bCs/>
          <w:color w:val="0070C0"/>
          <w:sz w:val="20"/>
          <w:szCs w:val="20"/>
          <w:lang w:val="en-US"/>
        </w:rPr>
        <w:t>(ZINC Database, 2025).</w:t>
      </w:r>
      <w:r>
        <w:rPr>
          <w:rFonts w:eastAsia="Calibri"/>
          <w:bCs/>
          <w:sz w:val="20"/>
          <w:szCs w:val="20"/>
          <w:lang w:val="en-US"/>
        </w:rPr>
        <w:t xml:space="preserve"> Natural products occupy an important part of the small molecule space because they are recognized by at least two proteins: the end of their biosynthetic pathway and their evolutionary biological target. The natural compounds screened were obtained from the ZINC natural product library. FAF-Drugs4 </w:t>
      </w:r>
      <w:r>
        <w:rPr>
          <w:rFonts w:eastAsia="Calibri"/>
          <w:bCs/>
          <w:color w:val="0070C0"/>
          <w:sz w:val="20"/>
          <w:szCs w:val="20"/>
          <w:lang w:val="en-US"/>
        </w:rPr>
        <w:t>(FAF-Drugs4, 2025)</w:t>
      </w:r>
      <w:r>
        <w:rPr>
          <w:rFonts w:eastAsia="Calibri"/>
          <w:bCs/>
          <w:sz w:val="20"/>
          <w:szCs w:val="20"/>
          <w:lang w:val="en-US"/>
        </w:rPr>
        <w:t xml:space="preserve"> is a program for filtering large compound libraries prior to in silico screening or related modelling studies. The tool can perform computational prediction of some ADME-Tox properties (adsorption, distribution, metabolism, excretion, and toxicity) to assist hit selection before chemical synthesis or ordering </w:t>
      </w:r>
      <w:r>
        <w:rPr>
          <w:rFonts w:eastAsia="Calibri"/>
          <w:bCs/>
          <w:color w:val="0070C0"/>
          <w:sz w:val="20"/>
          <w:szCs w:val="20"/>
          <w:lang w:val="en-US"/>
        </w:rPr>
        <w:t>(FAF-Drugs4, 2025).</w:t>
      </w:r>
      <w:r>
        <w:rPr>
          <w:rFonts w:eastAsia="Calibri"/>
          <w:bCs/>
          <w:sz w:val="20"/>
          <w:szCs w:val="20"/>
          <w:lang w:val="en-US"/>
        </w:rPr>
        <w:t xml:space="preserve"> This tool was used to filter out compounds in the ZINC database to remove interfering compounds and retain lead compounds with comparatively small log P for further optimization. PAINS moieties, or Pan Assay Interference Compounds, are compounds that occur frequently in biochemical high throughput screens.</w:t>
      </w:r>
    </w:p>
    <w:p w14:paraId="61DD0D36">
      <w:pPr>
        <w:jc w:val="both"/>
        <w:rPr>
          <w:rFonts w:eastAsia="Calibri"/>
          <w:bCs/>
          <w:sz w:val="20"/>
          <w:szCs w:val="20"/>
          <w:lang w:val="en-US"/>
        </w:rPr>
      </w:pPr>
    </w:p>
    <w:p w14:paraId="7850C25B">
      <w:pPr>
        <w:jc w:val="both"/>
        <w:rPr>
          <w:rFonts w:eastAsia="Calibri"/>
          <w:b/>
          <w:color w:val="0070C0"/>
          <w:sz w:val="20"/>
          <w:szCs w:val="20"/>
          <w:lang w:val="en-US"/>
        </w:rPr>
      </w:pPr>
      <w:r>
        <w:rPr>
          <w:rFonts w:eastAsia="Calibri"/>
          <w:b/>
          <w:color w:val="0070C0"/>
          <w:sz w:val="20"/>
          <w:szCs w:val="20"/>
          <w:lang w:val="en-US"/>
        </w:rPr>
        <w:t>2.1.5.</w:t>
      </w:r>
      <w:r>
        <w:t xml:space="preserve"> </w:t>
      </w:r>
      <w:r>
        <w:rPr>
          <w:rFonts w:eastAsia="Calibri"/>
          <w:b/>
          <w:color w:val="0070C0"/>
          <w:sz w:val="20"/>
          <w:szCs w:val="20"/>
          <w:lang w:val="en-US"/>
        </w:rPr>
        <w:t>Virtual Screening and Molecular Docking</w:t>
      </w:r>
    </w:p>
    <w:p w14:paraId="4D3D12EC">
      <w:pPr>
        <w:jc w:val="both"/>
        <w:rPr>
          <w:rFonts w:eastAsia="Calibri"/>
          <w:bCs/>
          <w:sz w:val="20"/>
          <w:szCs w:val="20"/>
          <w:lang w:val="en-US"/>
        </w:rPr>
      </w:pPr>
    </w:p>
    <w:p w14:paraId="3B0BB6EF">
      <w:pPr>
        <w:jc w:val="both"/>
        <w:rPr>
          <w:rFonts w:eastAsia="Calibri"/>
          <w:bCs/>
          <w:sz w:val="20"/>
          <w:szCs w:val="20"/>
          <w:lang w:val="en-US"/>
        </w:rPr>
      </w:pPr>
      <w:r>
        <w:rPr>
          <w:rFonts w:eastAsia="Calibri"/>
          <w:bCs/>
          <w:sz w:val="20"/>
          <w:szCs w:val="20"/>
          <w:lang w:val="en-US"/>
        </w:rPr>
        <w:t xml:space="preserve">PyRx </w:t>
      </w:r>
      <w:r>
        <w:rPr>
          <w:rFonts w:eastAsia="Calibri"/>
          <w:bCs/>
          <w:color w:val="0070C0"/>
          <w:sz w:val="20"/>
          <w:szCs w:val="20"/>
          <w:lang w:val="en-US"/>
        </w:rPr>
        <w:t>(Radhakrishnan et al., 2024)</w:t>
      </w:r>
      <w:r>
        <w:rPr>
          <w:rFonts w:eastAsia="Calibri"/>
          <w:bCs/>
          <w:sz w:val="20"/>
          <w:szCs w:val="20"/>
          <w:lang w:val="en-US"/>
        </w:rPr>
        <w:t xml:space="preserve"> is a virtual screening tool used for docking natural compounds. It uses the AutoDock 4.2 suite with Lamarckian genetic algorithm. The tool was first evaluated using the NRAS mutant structure and the ligand phosphoaminophosphonic acid-guanylate ester, a non-hydrolyzable analog of GTP. The nucleotide is a potent stimulator of adenylate cyclase and was docked. The RMSD tolerance of 2.0 Å indicated good software stability. The grid box was set to 50 × 50 × 50 with a spacing of 0.3750 Å. All ligands were converted to pdbqt format in PyRx. AutoDock was set to run generating 10 poses per compound. Only the pose with the best binding score was tabulated in the sdf files. This yielded the best protein-ligand binding candidates for further analysis. Docking results were analysed using LigPlot+ </w:t>
      </w:r>
      <w:r>
        <w:rPr>
          <w:rFonts w:eastAsia="Calibri"/>
          <w:bCs/>
          <w:color w:val="0070C0"/>
          <w:sz w:val="20"/>
          <w:szCs w:val="20"/>
          <w:lang w:val="en-US"/>
        </w:rPr>
        <w:t>(LigPlus, 2025),</w:t>
      </w:r>
      <w:r>
        <w:rPr>
          <w:rFonts w:eastAsia="Calibri"/>
          <w:bCs/>
          <w:sz w:val="20"/>
          <w:szCs w:val="20"/>
          <w:lang w:val="en-US"/>
        </w:rPr>
        <w:t xml:space="preserve"> an advanced version of LIGPLOT for automatic generation of 2D ligand-protein interaction diagrams. The hydrophobic and hydrogen bond interactions contribute to protein-ligand complex stability and help determine the inhibitory potential of each compound on mutant NRAS.</w:t>
      </w:r>
    </w:p>
    <w:p w14:paraId="4B75C870">
      <w:pPr>
        <w:jc w:val="both"/>
        <w:rPr>
          <w:rFonts w:eastAsia="Calibri"/>
          <w:bCs/>
          <w:sz w:val="20"/>
          <w:szCs w:val="20"/>
          <w:lang w:val="en-US"/>
        </w:rPr>
      </w:pPr>
    </w:p>
    <w:p w14:paraId="0B98D727">
      <w:pPr>
        <w:jc w:val="both"/>
        <w:rPr>
          <w:rFonts w:eastAsia="Calibri"/>
          <w:b/>
          <w:bCs/>
          <w:color w:val="0070C0"/>
          <w:sz w:val="20"/>
          <w:szCs w:val="20"/>
          <w:lang w:val="en-IN"/>
        </w:rPr>
      </w:pPr>
      <w:r>
        <w:rPr>
          <w:rFonts w:ascii="Segoe UI Emoji" w:hAnsi="Segoe UI Emoji" w:eastAsia="Calibri" w:cs="Segoe UI Emoji"/>
          <w:b/>
          <w:bCs/>
          <w:color w:val="0070C0"/>
          <w:sz w:val="20"/>
          <w:szCs w:val="20"/>
          <w:lang w:val="en-IN"/>
        </w:rPr>
        <w:t>🔷</w:t>
      </w:r>
      <w:r>
        <w:rPr>
          <w:rFonts w:eastAsia="Calibri"/>
          <w:b/>
          <w:bCs/>
          <w:color w:val="0070C0"/>
          <w:sz w:val="20"/>
          <w:szCs w:val="20"/>
          <w:lang w:val="en-IN"/>
        </w:rPr>
        <w:t xml:space="preserve"> 3. RESULTS AND DISCUSSION</w:t>
      </w:r>
    </w:p>
    <w:p w14:paraId="0182A96C">
      <w:pPr>
        <w:jc w:val="both"/>
        <w:rPr>
          <w:rFonts w:eastAsia="Calibri"/>
          <w:b/>
          <w:color w:val="0070C0"/>
          <w:sz w:val="20"/>
          <w:szCs w:val="20"/>
          <w:lang w:val="en-IN"/>
        </w:rPr>
      </w:pPr>
      <w:r>
        <w:rPr>
          <w:rFonts w:eastAsia="Calibri"/>
          <w:b/>
          <w:bCs/>
          <w:color w:val="0070C0"/>
          <w:sz w:val="20"/>
          <w:szCs w:val="20"/>
          <w:lang w:val="en-IN"/>
        </w:rPr>
        <w:t>Target total word count:</w:t>
      </w:r>
      <w:r>
        <w:rPr>
          <w:rFonts w:eastAsia="Calibri"/>
          <w:b/>
          <w:color w:val="0070C0"/>
          <w:sz w:val="20"/>
          <w:szCs w:val="20"/>
          <w:lang w:val="en-IN"/>
        </w:rPr>
        <w:t xml:space="preserve"> 1,200–1,500 words</w:t>
      </w:r>
      <w:r>
        <w:rPr>
          <w:rFonts w:eastAsia="Calibri"/>
          <w:b/>
          <w:color w:val="0070C0"/>
          <w:sz w:val="20"/>
          <w:szCs w:val="20"/>
          <w:lang w:val="en-IN"/>
        </w:rPr>
        <w:br w:type="textWrapping"/>
      </w:r>
      <w:r>
        <w:rPr>
          <w:rFonts w:eastAsia="Calibri"/>
          <w:b/>
          <w:bCs/>
          <w:color w:val="0070C0"/>
          <w:sz w:val="20"/>
          <w:szCs w:val="20"/>
          <w:lang w:val="en-IN"/>
        </w:rPr>
        <w:t>Estimated writing time:</w:t>
      </w:r>
      <w:r>
        <w:rPr>
          <w:rFonts w:eastAsia="Calibri"/>
          <w:b/>
          <w:color w:val="0070C0"/>
          <w:sz w:val="20"/>
          <w:szCs w:val="20"/>
          <w:lang w:val="en-IN"/>
        </w:rPr>
        <w:t xml:space="preserve"> 6–8 hours</w:t>
      </w:r>
    </w:p>
    <w:p w14:paraId="0CAA34D5">
      <w:pPr>
        <w:jc w:val="both"/>
        <w:rPr>
          <w:rFonts w:eastAsia="Calibri"/>
          <w:b/>
          <w:color w:val="0070C0"/>
          <w:sz w:val="20"/>
          <w:szCs w:val="20"/>
          <w:lang w:val="en-IN"/>
        </w:rPr>
      </w:pPr>
      <w:r>
        <w:rPr>
          <w:rFonts w:eastAsia="Calibri"/>
          <w:b/>
          <w:color w:val="0070C0"/>
          <w:sz w:val="20"/>
          <w:szCs w:val="20"/>
          <w:lang w:val="en-IN"/>
        </w:rPr>
        <w:pict>
          <v:rect id="_x0000_i1030" o:spt="1" style="height:1.5pt;width:0pt;" fillcolor="#A0A0A0" filled="t" stroked="f" coordsize="21600,21600" o:hr="t" o:hrstd="t" o:hralign="center">
            <v:path/>
            <v:fill on="t" focussize="0,0"/>
            <v:stroke on="f"/>
            <v:imagedata o:title=""/>
            <o:lock v:ext="edit"/>
            <w10:wrap type="none"/>
            <w10:anchorlock/>
          </v:rect>
        </w:pict>
      </w:r>
    </w:p>
    <w:p w14:paraId="78B98361">
      <w:pPr>
        <w:jc w:val="both"/>
        <w:rPr>
          <w:rFonts w:eastAsia="Calibri"/>
          <w:b/>
          <w:bCs/>
          <w:color w:val="0070C0"/>
          <w:sz w:val="20"/>
          <w:szCs w:val="20"/>
          <w:lang w:val="en-IN"/>
        </w:rPr>
      </w:pPr>
      <w:r>
        <w:rPr>
          <w:rFonts w:eastAsia="Calibri"/>
          <w:b/>
          <w:bCs/>
          <w:color w:val="0070C0"/>
          <w:sz w:val="20"/>
          <w:szCs w:val="20"/>
          <w:lang w:val="en-IN"/>
        </w:rPr>
        <w:t>3.1 Validation of Mutant NRAS Models</w:t>
      </w:r>
    </w:p>
    <w:p w14:paraId="7FF207D3">
      <w:pPr>
        <w:jc w:val="both"/>
        <w:rPr>
          <w:rFonts w:eastAsia="Calibri"/>
          <w:b/>
          <w:color w:val="0070C0"/>
          <w:sz w:val="20"/>
          <w:szCs w:val="20"/>
          <w:lang w:val="en-IN"/>
        </w:rPr>
      </w:pPr>
      <w:r>
        <w:rPr>
          <w:rFonts w:eastAsia="Calibri"/>
          <w:b/>
          <w:bCs/>
          <w:color w:val="0070C0"/>
          <w:sz w:val="20"/>
          <w:szCs w:val="20"/>
          <w:lang w:val="en-IN"/>
        </w:rPr>
        <w:t>Target:</w:t>
      </w:r>
      <w:r>
        <w:rPr>
          <w:rFonts w:eastAsia="Calibri"/>
          <w:b/>
          <w:color w:val="0070C0"/>
          <w:sz w:val="20"/>
          <w:szCs w:val="20"/>
          <w:lang w:val="en-IN"/>
        </w:rPr>
        <w:t xml:space="preserve"> 300–400 words</w:t>
      </w:r>
      <w:r>
        <w:rPr>
          <w:rFonts w:eastAsia="Calibri"/>
          <w:b/>
          <w:color w:val="0070C0"/>
          <w:sz w:val="20"/>
          <w:szCs w:val="20"/>
          <w:lang w:val="en-IN"/>
        </w:rPr>
        <w:br w:type="textWrapping"/>
      </w:r>
      <w:r>
        <w:rPr>
          <w:rFonts w:eastAsia="Calibri"/>
          <w:b/>
          <w:bCs/>
          <w:color w:val="0070C0"/>
          <w:sz w:val="20"/>
          <w:szCs w:val="20"/>
          <w:lang w:val="en-IN"/>
        </w:rPr>
        <w:t>Time required:</w:t>
      </w:r>
      <w:r>
        <w:rPr>
          <w:rFonts w:eastAsia="Calibri"/>
          <w:b/>
          <w:color w:val="0070C0"/>
          <w:sz w:val="20"/>
          <w:szCs w:val="20"/>
          <w:lang w:val="en-IN"/>
        </w:rPr>
        <w:t xml:space="preserve"> 1.5–2 hours</w:t>
      </w:r>
    </w:p>
    <w:p w14:paraId="03231B53">
      <w:pPr>
        <w:jc w:val="both"/>
        <w:rPr>
          <w:rFonts w:eastAsia="Calibri"/>
          <w:b/>
          <w:color w:val="0070C0"/>
          <w:sz w:val="20"/>
          <w:szCs w:val="20"/>
          <w:lang w:val="en-IN"/>
        </w:rPr>
      </w:pPr>
      <w:r>
        <w:rPr>
          <w:rFonts w:eastAsia="Calibri"/>
          <w:b/>
          <w:color w:val="0070C0"/>
          <w:sz w:val="20"/>
          <w:szCs w:val="20"/>
          <w:lang w:val="en-IN"/>
        </w:rPr>
        <w:pict>
          <v:rect id="_x0000_i1031" o:spt="1" style="height:1.5pt;width:0pt;" fillcolor="#A0A0A0" filled="t" stroked="f" coordsize="21600,21600" o:hr="t" o:hrstd="t" o:hralign="center">
            <v:path/>
            <v:fill on="t" focussize="0,0"/>
            <v:stroke on="f"/>
            <v:imagedata o:title=""/>
            <o:lock v:ext="edit"/>
            <w10:wrap type="none"/>
            <w10:anchorlock/>
          </v:rect>
        </w:pict>
      </w:r>
    </w:p>
    <w:p w14:paraId="74DBE164">
      <w:pPr>
        <w:jc w:val="both"/>
        <w:rPr>
          <w:rFonts w:eastAsia="Calibri"/>
          <w:b/>
          <w:color w:val="0070C0"/>
          <w:sz w:val="20"/>
          <w:szCs w:val="20"/>
          <w:lang w:val="en-IN"/>
        </w:rPr>
      </w:pPr>
      <w:r>
        <w:rPr>
          <w:rFonts w:eastAsia="Calibri"/>
          <w:b/>
          <w:color w:val="0070C0"/>
          <w:sz w:val="20"/>
          <w:szCs w:val="20"/>
          <w:lang w:val="en-IN"/>
        </w:rPr>
        <w:t>The mutant NRAS variants (G12D, G13D, and Q61R) were generated using SwissPDB Viewer based on the wild-type crystal structure (PDB ID: 5UHV). Structural validation was performed prior to docking to ensure stereochemical reliability and structural integrity of the modeled proteins [Laskowski et al., 1993; Wiederstein &amp; Sippl, 2007].</w:t>
      </w:r>
    </w:p>
    <w:p w14:paraId="3262B9E9">
      <w:pPr>
        <w:jc w:val="both"/>
        <w:rPr>
          <w:rFonts w:eastAsia="Calibri"/>
          <w:b/>
          <w:color w:val="0070C0"/>
          <w:sz w:val="20"/>
          <w:szCs w:val="20"/>
          <w:lang w:val="en-IN"/>
        </w:rPr>
      </w:pPr>
      <w:r>
        <w:rPr>
          <w:rFonts w:eastAsia="Calibri"/>
          <w:b/>
          <w:color w:val="0070C0"/>
          <w:sz w:val="20"/>
          <w:szCs w:val="20"/>
          <w:lang w:val="en-IN"/>
        </w:rPr>
        <w:t>Ramachandran plot analysis demonstrated that &gt;</w:t>
      </w:r>
      <w:r>
        <w:rPr>
          <w:rFonts w:eastAsia="Calibri"/>
          <w:b/>
          <w:bCs/>
          <w:color w:val="0070C0"/>
          <w:sz w:val="20"/>
          <w:szCs w:val="20"/>
          <w:lang w:val="en-IN"/>
        </w:rPr>
        <w:t>% of residues were located within the most favored regions, with &lt;</w:t>
      </w:r>
      <w:r>
        <w:rPr>
          <w:rFonts w:eastAsia="Calibri"/>
          <w:b/>
          <w:color w:val="0070C0"/>
          <w:sz w:val="20"/>
          <w:szCs w:val="20"/>
          <w:lang w:val="en-IN"/>
        </w:rPr>
        <w:t>% in disallowed regions (Figure 1E–F). These values fall within acceptable ranges for high-quality homology models and are comparable to experimentally resolved RAS structures [Vetter &amp; Wittinghofer, 2001].</w:t>
      </w:r>
    </w:p>
    <w:p w14:paraId="1082DE83">
      <w:pPr>
        <w:jc w:val="both"/>
        <w:rPr>
          <w:rFonts w:eastAsia="Calibri"/>
          <w:b/>
          <w:color w:val="0070C0"/>
          <w:sz w:val="20"/>
          <w:szCs w:val="20"/>
          <w:lang w:val="en-IN"/>
        </w:rPr>
      </w:pPr>
      <w:r>
        <w:rPr>
          <w:rFonts w:eastAsia="Calibri"/>
          <w:b/>
          <w:color w:val="0070C0"/>
          <w:sz w:val="20"/>
          <w:szCs w:val="20"/>
          <w:lang w:val="en-IN"/>
        </w:rPr>
        <w:t>ProSA Z-scores of __ (G12D), __ (G13D), and __ (Q61R) (Figure 1C) were consistent with native proteins of similar size, indicating reliable global folding [Wiederstein &amp; Sippl, 2007]. Local quality assessment plots (Figure 1D) revealed minor deviations primarily in flexible loop regions, while the Switch I (residues 30–38) and Switch II (residues 59–67) regions remained structurally conserved. These regions are critical for nucleotide binding and effector interaction [Johnson et al., 2017].</w:t>
      </w:r>
    </w:p>
    <w:p w14:paraId="079F0A48">
      <w:pPr>
        <w:jc w:val="both"/>
        <w:rPr>
          <w:rFonts w:eastAsia="Calibri"/>
          <w:b/>
          <w:color w:val="0070C0"/>
          <w:sz w:val="20"/>
          <w:szCs w:val="20"/>
          <w:lang w:val="en-IN"/>
        </w:rPr>
      </w:pPr>
      <w:r>
        <w:rPr>
          <w:rFonts w:eastAsia="Calibri"/>
          <w:b/>
          <w:color w:val="0070C0"/>
          <w:sz w:val="20"/>
          <w:szCs w:val="20"/>
          <w:lang w:val="en-IN"/>
        </w:rPr>
        <w:t>Collectively, these validation metrics confirm that the mutant models retain structural stability and are suitable for structure-based virtual screening.</w:t>
      </w:r>
    </w:p>
    <w:p w14:paraId="7B5A1297">
      <w:pPr>
        <w:jc w:val="both"/>
        <w:rPr>
          <w:rFonts w:eastAsia="Calibri"/>
          <w:b/>
          <w:color w:val="0070C0"/>
          <w:sz w:val="20"/>
          <w:szCs w:val="20"/>
          <w:lang w:val="en-IN"/>
        </w:rPr>
      </w:pPr>
      <w:r>
        <w:rPr>
          <w:rFonts w:eastAsia="Calibri"/>
          <w:b/>
          <w:color w:val="0070C0"/>
          <w:sz w:val="20"/>
          <w:szCs w:val="20"/>
          <w:lang w:val="en-IN"/>
        </w:rPr>
        <w:pict>
          <v:rect id="_x0000_i1032" o:spt="1" style="height:1.5pt;width:0pt;" fillcolor="#A0A0A0" filled="t" stroked="f" coordsize="21600,21600" o:hr="t" o:hrstd="t" o:hralign="center">
            <v:path/>
            <v:fill on="t" focussize="0,0"/>
            <v:stroke on="f"/>
            <v:imagedata o:title=""/>
            <o:lock v:ext="edit"/>
            <w10:wrap type="none"/>
            <w10:anchorlock/>
          </v:rect>
        </w:pict>
      </w:r>
    </w:p>
    <w:p w14:paraId="49883207">
      <w:pPr>
        <w:jc w:val="both"/>
        <w:rPr>
          <w:rFonts w:eastAsia="Calibri"/>
          <w:b/>
          <w:bCs/>
          <w:color w:val="0070C0"/>
          <w:sz w:val="20"/>
          <w:szCs w:val="20"/>
          <w:lang w:val="en-IN"/>
        </w:rPr>
      </w:pPr>
      <w:r>
        <w:rPr>
          <w:rFonts w:eastAsia="Calibri"/>
          <w:b/>
          <w:bCs/>
          <w:color w:val="0070C0"/>
          <w:sz w:val="20"/>
          <w:szCs w:val="20"/>
          <w:lang w:val="en-IN"/>
        </w:rPr>
        <w:t>3.2 Virtual Screening and Docking Outcomes</w:t>
      </w:r>
    </w:p>
    <w:p w14:paraId="08F40419">
      <w:pPr>
        <w:jc w:val="both"/>
        <w:rPr>
          <w:rFonts w:eastAsia="Calibri"/>
          <w:b/>
          <w:color w:val="0070C0"/>
          <w:sz w:val="20"/>
          <w:szCs w:val="20"/>
          <w:lang w:val="en-IN"/>
        </w:rPr>
      </w:pPr>
      <w:r>
        <w:rPr>
          <w:rFonts w:eastAsia="Calibri"/>
          <w:b/>
          <w:bCs/>
          <w:color w:val="0070C0"/>
          <w:sz w:val="20"/>
          <w:szCs w:val="20"/>
          <w:lang w:val="en-IN"/>
        </w:rPr>
        <w:t>Target:</w:t>
      </w:r>
      <w:r>
        <w:rPr>
          <w:rFonts w:eastAsia="Calibri"/>
          <w:b/>
          <w:color w:val="0070C0"/>
          <w:sz w:val="20"/>
          <w:szCs w:val="20"/>
          <w:lang w:val="en-IN"/>
        </w:rPr>
        <w:t xml:space="preserve"> 400–450 words</w:t>
      </w:r>
      <w:r>
        <w:rPr>
          <w:rFonts w:eastAsia="Calibri"/>
          <w:b/>
          <w:color w:val="0070C0"/>
          <w:sz w:val="20"/>
          <w:szCs w:val="20"/>
          <w:lang w:val="en-IN"/>
        </w:rPr>
        <w:br w:type="textWrapping"/>
      </w:r>
      <w:r>
        <w:rPr>
          <w:rFonts w:eastAsia="Calibri"/>
          <w:b/>
          <w:bCs/>
          <w:color w:val="0070C0"/>
          <w:sz w:val="20"/>
          <w:szCs w:val="20"/>
          <w:lang w:val="en-IN"/>
        </w:rPr>
        <w:t>Time required:</w:t>
      </w:r>
      <w:r>
        <w:rPr>
          <w:rFonts w:eastAsia="Calibri"/>
          <w:b/>
          <w:color w:val="0070C0"/>
          <w:sz w:val="20"/>
          <w:szCs w:val="20"/>
          <w:lang w:val="en-IN"/>
        </w:rPr>
        <w:t xml:space="preserve"> 2–3 hours</w:t>
      </w:r>
    </w:p>
    <w:p w14:paraId="144DE67C">
      <w:pPr>
        <w:jc w:val="both"/>
        <w:rPr>
          <w:rFonts w:eastAsia="Calibri"/>
          <w:b/>
          <w:color w:val="0070C0"/>
          <w:sz w:val="20"/>
          <w:szCs w:val="20"/>
          <w:lang w:val="en-IN"/>
        </w:rPr>
      </w:pPr>
      <w:r>
        <w:rPr>
          <w:rFonts w:eastAsia="Calibri"/>
          <w:b/>
          <w:color w:val="0070C0"/>
          <w:sz w:val="20"/>
          <w:szCs w:val="20"/>
          <w:lang w:val="en-IN"/>
        </w:rPr>
        <w:pict>
          <v:rect id="_x0000_i1033" o:spt="1" style="height:1.5pt;width:0pt;" fillcolor="#A0A0A0" filled="t" stroked="f" coordsize="21600,21600" o:hr="t" o:hrstd="t" o:hralign="center">
            <v:path/>
            <v:fill on="t" focussize="0,0"/>
            <v:stroke on="f"/>
            <v:imagedata o:title=""/>
            <o:lock v:ext="edit"/>
            <w10:wrap type="none"/>
            <w10:anchorlock/>
          </v:rect>
        </w:pict>
      </w:r>
    </w:p>
    <w:p w14:paraId="0B8FEDC1">
      <w:pPr>
        <w:jc w:val="both"/>
        <w:rPr>
          <w:rFonts w:eastAsia="Calibri"/>
          <w:b/>
          <w:color w:val="0070C0"/>
          <w:sz w:val="20"/>
          <w:szCs w:val="20"/>
          <w:lang w:val="en-IN"/>
        </w:rPr>
      </w:pPr>
      <w:r>
        <w:rPr>
          <w:rFonts w:eastAsia="Calibri"/>
          <w:b/>
          <w:color w:val="0070C0"/>
          <w:sz w:val="20"/>
          <w:szCs w:val="20"/>
          <w:lang w:val="en-IN"/>
        </w:rPr>
        <w:t>A total of 5,322 natural compounds were retrieved from the ZINC database and filtered using FAFDrugs4 to eliminate compounds violating Lipinski’s rule of five and predicted toxicity parameters. Structure-based virtual screening was conducted using AutoDock 4.2 implemented in PyRx [Morris et al., 2009].</w:t>
      </w:r>
    </w:p>
    <w:p w14:paraId="2BA0BC43">
      <w:pPr>
        <w:jc w:val="both"/>
        <w:rPr>
          <w:rFonts w:eastAsia="Calibri"/>
          <w:b/>
          <w:color w:val="0070C0"/>
          <w:sz w:val="20"/>
          <w:szCs w:val="20"/>
          <w:lang w:val="en-IN"/>
        </w:rPr>
      </w:pPr>
      <w:r>
        <w:rPr>
          <w:rFonts w:eastAsia="Calibri"/>
          <w:b/>
          <w:color w:val="0070C0"/>
          <w:sz w:val="20"/>
          <w:szCs w:val="20"/>
          <w:lang w:val="en-IN"/>
        </w:rPr>
        <w:t>Structure-based virtual screening is a widely accepted early-stage drug discovery strategy for identifying lead candidates against challenging targets [Kitchen et al., 2004; Lionta et al., 2014]. Docking validation was performed via __ (e.g., redocking reference ligand), yielding an RMSD of __ Å, confirming the robustness of the docking protocol.</w:t>
      </w:r>
    </w:p>
    <w:p w14:paraId="50632431">
      <w:pPr>
        <w:jc w:val="both"/>
        <w:rPr>
          <w:rFonts w:eastAsia="Calibri"/>
          <w:b/>
          <w:color w:val="0070C0"/>
          <w:sz w:val="20"/>
          <w:szCs w:val="20"/>
          <w:lang w:val="en-IN"/>
        </w:rPr>
      </w:pPr>
      <w:r>
        <w:rPr>
          <w:rFonts w:eastAsia="Calibri"/>
          <w:b/>
          <w:color w:val="0070C0"/>
          <w:sz w:val="20"/>
          <w:szCs w:val="20"/>
          <w:lang w:val="en-IN"/>
        </w:rPr>
        <w:t>The top eleven compounds exhibited binding free energies ranging from __ to __ kcal/mol (Table 1). These values compare favorably with reported docking energies for small-molecule interactions targeting RAS proteins [Cox et al., 2014]. All selected ligands localized within the nucleotide-binding pocket, overlapping key functional residues involved in GTP stabilization.</w:t>
      </w:r>
    </w:p>
    <w:p w14:paraId="06703B14">
      <w:pPr>
        <w:jc w:val="both"/>
        <w:rPr>
          <w:rFonts w:eastAsia="Calibri"/>
          <w:b/>
          <w:color w:val="0070C0"/>
          <w:sz w:val="20"/>
          <w:szCs w:val="20"/>
          <w:lang w:val="en-IN"/>
        </w:rPr>
      </w:pPr>
      <w:r>
        <w:rPr>
          <w:rFonts w:eastAsia="Calibri"/>
          <w:b/>
          <w:color w:val="0070C0"/>
          <w:sz w:val="20"/>
          <w:szCs w:val="20"/>
          <w:lang w:val="en-IN"/>
        </w:rPr>
        <w:t>Natural compounds have historically provided structurally diverse scaffolds for anticancer drug discovery [Newman &amp; Cragg, 2020; Atanasov et al., 2021]. The identification of multiple natural ligands with strong predicted affinity suggests that natural product libraries remain a valuable chemical space for targeting oncogenic proteins.</w:t>
      </w:r>
    </w:p>
    <w:p w14:paraId="1A97287D">
      <w:pPr>
        <w:jc w:val="both"/>
        <w:rPr>
          <w:rFonts w:eastAsia="Calibri"/>
          <w:b/>
          <w:color w:val="0070C0"/>
          <w:sz w:val="20"/>
          <w:szCs w:val="20"/>
          <w:lang w:val="en-IN"/>
        </w:rPr>
      </w:pPr>
      <w:r>
        <w:rPr>
          <w:rFonts w:eastAsia="Calibri"/>
          <w:b/>
          <w:color w:val="0070C0"/>
          <w:sz w:val="20"/>
          <w:szCs w:val="20"/>
          <w:lang w:val="en-IN"/>
        </w:rPr>
        <w:t>Among the shortlisted molecules, ZINC02096813, ZINC02120343, and ZINC00518885 consistently demonstrated strong binding affinities and favorable interaction networks across mutant variants, warranting further investigation.</w:t>
      </w:r>
    </w:p>
    <w:p w14:paraId="33F8FC0F">
      <w:pPr>
        <w:jc w:val="both"/>
        <w:rPr>
          <w:rFonts w:eastAsia="Calibri"/>
          <w:b/>
          <w:color w:val="0070C0"/>
          <w:sz w:val="20"/>
          <w:szCs w:val="20"/>
          <w:lang w:val="en-IN"/>
        </w:rPr>
      </w:pPr>
      <w:r>
        <w:rPr>
          <w:rFonts w:eastAsia="Calibri"/>
          <w:b/>
          <w:color w:val="0070C0"/>
          <w:sz w:val="20"/>
          <w:szCs w:val="20"/>
          <w:lang w:val="en-IN"/>
        </w:rPr>
        <w:pict>
          <v:rect id="_x0000_i1034" o:spt="1" style="height:1.5pt;width:0pt;" fillcolor="#A0A0A0" filled="t" stroked="f" coordsize="21600,21600" o:hr="t" o:hrstd="t" o:hralign="center">
            <v:path/>
            <v:fill on="t" focussize="0,0"/>
            <v:stroke on="f"/>
            <v:imagedata o:title=""/>
            <o:lock v:ext="edit"/>
            <w10:wrap type="none"/>
            <w10:anchorlock/>
          </v:rect>
        </w:pict>
      </w:r>
    </w:p>
    <w:p w14:paraId="71EA8B36">
      <w:pPr>
        <w:jc w:val="both"/>
        <w:rPr>
          <w:rFonts w:eastAsia="Calibri"/>
          <w:b/>
          <w:bCs/>
          <w:color w:val="0070C0"/>
          <w:sz w:val="20"/>
          <w:szCs w:val="20"/>
          <w:lang w:val="en-IN"/>
        </w:rPr>
      </w:pPr>
      <w:r>
        <w:rPr>
          <w:rFonts w:eastAsia="Calibri"/>
          <w:b/>
          <w:bCs/>
          <w:color w:val="0070C0"/>
          <w:sz w:val="20"/>
          <w:szCs w:val="20"/>
          <w:lang w:val="en-IN"/>
        </w:rPr>
        <w:t>3.3 Conserved and Mutation-Specific Residue Interactions</w:t>
      </w:r>
    </w:p>
    <w:p w14:paraId="4DEB868F">
      <w:pPr>
        <w:jc w:val="both"/>
        <w:rPr>
          <w:rFonts w:eastAsia="Calibri"/>
          <w:b/>
          <w:color w:val="0070C0"/>
          <w:sz w:val="20"/>
          <w:szCs w:val="20"/>
          <w:lang w:val="en-IN"/>
        </w:rPr>
      </w:pPr>
      <w:r>
        <w:rPr>
          <w:rFonts w:eastAsia="Calibri"/>
          <w:b/>
          <w:bCs/>
          <w:color w:val="0070C0"/>
          <w:sz w:val="20"/>
          <w:szCs w:val="20"/>
          <w:lang w:val="en-IN"/>
        </w:rPr>
        <w:t>Target:</w:t>
      </w:r>
      <w:r>
        <w:rPr>
          <w:rFonts w:eastAsia="Calibri"/>
          <w:b/>
          <w:color w:val="0070C0"/>
          <w:sz w:val="20"/>
          <w:szCs w:val="20"/>
          <w:lang w:val="en-IN"/>
        </w:rPr>
        <w:t xml:space="preserve"> 450–500 words</w:t>
      </w:r>
      <w:r>
        <w:rPr>
          <w:rFonts w:eastAsia="Calibri"/>
          <w:b/>
          <w:color w:val="0070C0"/>
          <w:sz w:val="20"/>
          <w:szCs w:val="20"/>
          <w:lang w:val="en-IN"/>
        </w:rPr>
        <w:br w:type="textWrapping"/>
      </w:r>
      <w:r>
        <w:rPr>
          <w:rFonts w:eastAsia="Calibri"/>
          <w:b/>
          <w:bCs/>
          <w:color w:val="0070C0"/>
          <w:sz w:val="20"/>
          <w:szCs w:val="20"/>
          <w:lang w:val="en-IN"/>
        </w:rPr>
        <w:t>Time required:</w:t>
      </w:r>
      <w:r>
        <w:rPr>
          <w:rFonts w:eastAsia="Calibri"/>
          <w:b/>
          <w:color w:val="0070C0"/>
          <w:sz w:val="20"/>
          <w:szCs w:val="20"/>
          <w:lang w:val="en-IN"/>
        </w:rPr>
        <w:t xml:space="preserve"> 2–3 hours</w:t>
      </w:r>
    </w:p>
    <w:p w14:paraId="5F96042C">
      <w:pPr>
        <w:jc w:val="both"/>
        <w:rPr>
          <w:rFonts w:eastAsia="Calibri"/>
          <w:b/>
          <w:color w:val="0070C0"/>
          <w:sz w:val="20"/>
          <w:szCs w:val="20"/>
          <w:lang w:val="en-IN"/>
        </w:rPr>
      </w:pPr>
      <w:r>
        <w:rPr>
          <w:rFonts w:eastAsia="Calibri"/>
          <w:b/>
          <w:color w:val="0070C0"/>
          <w:sz w:val="20"/>
          <w:szCs w:val="20"/>
          <w:lang w:val="en-IN"/>
        </w:rPr>
        <w:pict>
          <v:rect id="_x0000_i1035" o:spt="1" style="height:1.5pt;width:0pt;" fillcolor="#A0A0A0" filled="t" stroked="f" coordsize="21600,21600" o:hr="t" o:hrstd="t" o:hralign="center">
            <v:path/>
            <v:fill on="t" focussize="0,0"/>
            <v:stroke on="f"/>
            <v:imagedata o:title=""/>
            <o:lock v:ext="edit"/>
            <w10:wrap type="none"/>
            <w10:anchorlock/>
          </v:rect>
        </w:pict>
      </w:r>
    </w:p>
    <w:p w14:paraId="192AFF3A">
      <w:pPr>
        <w:jc w:val="both"/>
        <w:rPr>
          <w:rFonts w:eastAsia="Calibri"/>
          <w:b/>
          <w:color w:val="0070C0"/>
          <w:sz w:val="20"/>
          <w:szCs w:val="20"/>
          <w:lang w:val="en-IN"/>
        </w:rPr>
      </w:pPr>
      <w:bookmarkStart w:id="1" w:name="_GoBack"/>
      <w:r>
        <w:rPr>
          <w:rFonts w:eastAsia="Calibri"/>
          <w:b/>
          <w:color w:val="0070C0"/>
          <w:sz w:val="20"/>
          <w:szCs w:val="20"/>
          <w:lang w:val="en-IN"/>
        </w:rPr>
        <w:t>Interaction analysis (Figure 2; Table 1) revealed recurrent engagement of conserved residues essential for NRAS catalytic function.</w:t>
      </w:r>
    </w:p>
    <w:p w14:paraId="218E157C">
      <w:pPr>
        <w:jc w:val="both"/>
        <w:rPr>
          <w:rFonts w:eastAsia="Calibri"/>
          <w:b/>
          <w:color w:val="0070C0"/>
          <w:sz w:val="20"/>
          <w:szCs w:val="20"/>
          <w:lang w:val="en-IN"/>
        </w:rPr>
      </w:pPr>
      <w:r>
        <w:rPr>
          <w:rFonts w:eastAsia="Calibri"/>
          <w:b/>
          <w:color w:val="0070C0"/>
          <w:sz w:val="20"/>
          <w:szCs w:val="20"/>
          <w:lang w:val="en-IN"/>
        </w:rPr>
        <w:t>Tyr-32 and Thr-35, located within the Switch I region, were frequently involved in ligand stabilization. These residues are known to coordinate Mg²⁺ and regulate effector binding [Vetter &amp; Wittinghofer, 2001]. Phe-28 contributed hydrophobic stabilization in __ complexes, consistent with its structural role in maintaining pocket integrity [Johnson et al., 2017].</w:t>
      </w:r>
    </w:p>
    <w:p w14:paraId="62DAFF7A">
      <w:pPr>
        <w:jc w:val="both"/>
        <w:rPr>
          <w:rFonts w:eastAsia="Calibri"/>
          <w:b/>
          <w:color w:val="0070C0"/>
          <w:sz w:val="20"/>
          <w:szCs w:val="20"/>
          <w:lang w:val="en-IN"/>
        </w:rPr>
      </w:pPr>
      <w:r>
        <w:rPr>
          <w:rFonts w:eastAsia="Calibri"/>
          <w:b/>
          <w:color w:val="0070C0"/>
          <w:sz w:val="20"/>
          <w:szCs w:val="20"/>
          <w:lang w:val="en-IN"/>
        </w:rPr>
        <w:t>Asp-119, implicated in nucleotide specificity, was involved in __ complexes, suggesting that ligand binding overlaps with critical catalytic regions.</w:t>
      </w:r>
    </w:p>
    <w:p w14:paraId="0687C576">
      <w:pPr>
        <w:jc w:val="both"/>
        <w:rPr>
          <w:rFonts w:eastAsia="Calibri"/>
          <w:b/>
          <w:color w:val="0070C0"/>
          <w:sz w:val="20"/>
          <w:szCs w:val="20"/>
          <w:lang w:val="en-IN"/>
        </w:rPr>
      </w:pPr>
      <w:r>
        <w:rPr>
          <w:rFonts w:eastAsia="Calibri"/>
          <w:b/>
          <w:color w:val="0070C0"/>
          <w:sz w:val="20"/>
          <w:szCs w:val="20"/>
          <w:lang w:val="en-IN"/>
        </w:rPr>
        <w:t>Importantly, oncogenic mutations at codons 12, 13, and 61 are known to impair intrinsic GTP hydrolysis, leading to constitutive activation of downstream signaling [Cox et al., 2014; McCormick, 2015]. In the present analysis, mutation-induced residues (Asp-12, Asp-13, Arg-61) established additional hydrogen bonding and electrostatic interactions. Such mutation-dependent contacts suggest local remodeling of the binding pocket, potentially generating novel interaction opportunities.</w:t>
      </w:r>
    </w:p>
    <w:p w14:paraId="21AF070D">
      <w:pPr>
        <w:jc w:val="both"/>
        <w:rPr>
          <w:rFonts w:eastAsia="Calibri"/>
          <w:b/>
          <w:color w:val="0070C0"/>
          <w:sz w:val="20"/>
          <w:szCs w:val="20"/>
          <w:lang w:val="en-IN"/>
        </w:rPr>
      </w:pPr>
      <w:r>
        <w:rPr>
          <w:rFonts w:eastAsia="Calibri"/>
          <w:b/>
          <w:color w:val="0070C0"/>
          <w:sz w:val="20"/>
          <w:szCs w:val="20"/>
          <w:lang w:val="en-IN"/>
        </w:rPr>
        <w:t>This phenomenon parallels findings in KRAS G12C targeting, where mutation-specific pockets enabled selective inhibitor development [Ostrem et al., 2013]. Although NRAS lacks a reactive cysteine, the observed interaction patterns indicate that mutation-induced structural plasticity may similarly be exploited.</w:t>
      </w:r>
    </w:p>
    <w:p w14:paraId="52AE46A1">
      <w:pPr>
        <w:jc w:val="both"/>
        <w:rPr>
          <w:rFonts w:eastAsia="Calibri"/>
          <w:b/>
          <w:color w:val="0070C0"/>
          <w:sz w:val="20"/>
          <w:szCs w:val="20"/>
          <w:lang w:val="en-IN"/>
        </w:rPr>
      </w:pPr>
      <w:r>
        <w:rPr>
          <w:rFonts w:eastAsia="Calibri"/>
          <w:b/>
          <w:color w:val="0070C0"/>
          <w:sz w:val="20"/>
          <w:szCs w:val="20"/>
          <w:lang w:val="en-IN"/>
        </w:rPr>
        <w:t>The dual engagement of conserved catalytic stabilizers and mutation-specific residues suggests a rational framework for designing selective NRAS inhibitors.</w:t>
      </w:r>
    </w:p>
    <w:bookmarkEnd w:id="1"/>
    <w:p w14:paraId="02D85E37">
      <w:pPr>
        <w:jc w:val="both"/>
        <w:rPr>
          <w:rFonts w:eastAsia="Calibri"/>
          <w:b/>
          <w:color w:val="0070C0"/>
          <w:sz w:val="20"/>
          <w:szCs w:val="20"/>
          <w:lang w:val="en-IN"/>
        </w:rPr>
      </w:pPr>
      <w:r>
        <w:rPr>
          <w:rFonts w:eastAsia="Calibri"/>
          <w:b/>
          <w:color w:val="0070C0"/>
          <w:sz w:val="20"/>
          <w:szCs w:val="20"/>
          <w:lang w:val="en-IN"/>
        </w:rPr>
        <w:pict>
          <v:rect id="_x0000_i1036" o:spt="1" style="height:1.5pt;width:0pt;" fillcolor="#A0A0A0" filled="t" stroked="f" coordsize="21600,21600" o:hr="t" o:hrstd="t" o:hralign="center">
            <v:path/>
            <v:fill on="t" focussize="0,0"/>
            <v:stroke on="f"/>
            <v:imagedata o:title=""/>
            <o:lock v:ext="edit"/>
            <w10:wrap type="none"/>
            <w10:anchorlock/>
          </v:rect>
        </w:pict>
      </w:r>
    </w:p>
    <w:p w14:paraId="41A321A6">
      <w:pPr>
        <w:jc w:val="both"/>
        <w:rPr>
          <w:rFonts w:eastAsia="Calibri"/>
          <w:b/>
          <w:bCs/>
          <w:color w:val="0070C0"/>
          <w:sz w:val="20"/>
          <w:szCs w:val="20"/>
          <w:lang w:val="en-IN"/>
        </w:rPr>
      </w:pPr>
      <w:r>
        <w:rPr>
          <w:rFonts w:ascii="Segoe UI Emoji" w:hAnsi="Segoe UI Emoji" w:eastAsia="Calibri" w:cs="Segoe UI Emoji"/>
          <w:b/>
          <w:bCs/>
          <w:color w:val="0070C0"/>
          <w:sz w:val="20"/>
          <w:szCs w:val="20"/>
          <w:lang w:val="en-IN"/>
        </w:rPr>
        <w:t>🔷</w:t>
      </w:r>
      <w:r>
        <w:rPr>
          <w:rFonts w:eastAsia="Calibri"/>
          <w:b/>
          <w:bCs/>
          <w:color w:val="0070C0"/>
          <w:sz w:val="20"/>
          <w:szCs w:val="20"/>
          <w:lang w:val="en-IN"/>
        </w:rPr>
        <w:t xml:space="preserve"> 4. DISCUSSION</w:t>
      </w:r>
    </w:p>
    <w:p w14:paraId="2A4EA397">
      <w:pPr>
        <w:jc w:val="both"/>
        <w:rPr>
          <w:rFonts w:eastAsia="Calibri"/>
          <w:b/>
          <w:color w:val="0070C0"/>
          <w:sz w:val="20"/>
          <w:szCs w:val="20"/>
          <w:lang w:val="en-IN"/>
        </w:rPr>
      </w:pPr>
      <w:r>
        <w:rPr>
          <w:rFonts w:eastAsia="Calibri"/>
          <w:b/>
          <w:bCs/>
          <w:color w:val="0070C0"/>
          <w:sz w:val="20"/>
          <w:szCs w:val="20"/>
          <w:lang w:val="en-IN"/>
        </w:rPr>
        <w:t>Target total:</w:t>
      </w:r>
      <w:r>
        <w:rPr>
          <w:rFonts w:eastAsia="Calibri"/>
          <w:b/>
          <w:color w:val="0070C0"/>
          <w:sz w:val="20"/>
          <w:szCs w:val="20"/>
          <w:lang w:val="en-IN"/>
        </w:rPr>
        <w:t xml:space="preserve"> 900–1,000 words</w:t>
      </w:r>
      <w:r>
        <w:rPr>
          <w:rFonts w:eastAsia="Calibri"/>
          <w:b/>
          <w:color w:val="0070C0"/>
          <w:sz w:val="20"/>
          <w:szCs w:val="20"/>
          <w:lang w:val="en-IN"/>
        </w:rPr>
        <w:br w:type="textWrapping"/>
      </w:r>
      <w:r>
        <w:rPr>
          <w:rFonts w:eastAsia="Calibri"/>
          <w:b/>
          <w:bCs/>
          <w:color w:val="0070C0"/>
          <w:sz w:val="20"/>
          <w:szCs w:val="20"/>
          <w:lang w:val="en-IN"/>
        </w:rPr>
        <w:t>Time required:</w:t>
      </w:r>
      <w:r>
        <w:rPr>
          <w:rFonts w:eastAsia="Calibri"/>
          <w:b/>
          <w:color w:val="0070C0"/>
          <w:sz w:val="20"/>
          <w:szCs w:val="20"/>
          <w:lang w:val="en-IN"/>
        </w:rPr>
        <w:t xml:space="preserve"> 5–6 hours</w:t>
      </w:r>
    </w:p>
    <w:p w14:paraId="25E6B0DF">
      <w:pPr>
        <w:jc w:val="both"/>
        <w:rPr>
          <w:rFonts w:eastAsia="Calibri"/>
          <w:b/>
          <w:color w:val="0070C0"/>
          <w:sz w:val="20"/>
          <w:szCs w:val="20"/>
          <w:lang w:val="en-IN"/>
        </w:rPr>
      </w:pPr>
      <w:r>
        <w:rPr>
          <w:rFonts w:eastAsia="Calibri"/>
          <w:b/>
          <w:color w:val="0070C0"/>
          <w:sz w:val="20"/>
          <w:szCs w:val="20"/>
          <w:lang w:val="en-IN"/>
        </w:rPr>
        <w:pict>
          <v:rect id="_x0000_i1037" o:spt="1" style="height:1.5pt;width:0pt;" fillcolor="#A0A0A0" filled="t" stroked="f" coordsize="21600,21600" o:hr="t" o:hrstd="t" o:hralign="center">
            <v:path/>
            <v:fill on="t" focussize="0,0"/>
            <v:stroke on="f"/>
            <v:imagedata o:title=""/>
            <o:lock v:ext="edit"/>
            <w10:wrap type="none"/>
            <w10:anchorlock/>
          </v:rect>
        </w:pict>
      </w:r>
    </w:p>
    <w:p w14:paraId="1E1C2CC3">
      <w:pPr>
        <w:jc w:val="both"/>
        <w:rPr>
          <w:rFonts w:eastAsia="Calibri"/>
          <w:b/>
          <w:bCs/>
          <w:color w:val="0070C0"/>
          <w:sz w:val="20"/>
          <w:szCs w:val="20"/>
          <w:lang w:val="en-IN"/>
        </w:rPr>
      </w:pPr>
      <w:r>
        <w:rPr>
          <w:rFonts w:eastAsia="Calibri"/>
          <w:b/>
          <w:bCs/>
          <w:color w:val="0070C0"/>
          <w:sz w:val="20"/>
          <w:szCs w:val="20"/>
          <w:lang w:val="en-IN"/>
        </w:rPr>
        <w:t>4.1 Biological and Clinical Relevance</w:t>
      </w:r>
    </w:p>
    <w:p w14:paraId="39EDEED6">
      <w:pPr>
        <w:jc w:val="both"/>
        <w:rPr>
          <w:rFonts w:eastAsia="Calibri"/>
          <w:b/>
          <w:color w:val="0070C0"/>
          <w:sz w:val="20"/>
          <w:szCs w:val="20"/>
          <w:lang w:val="en-IN"/>
        </w:rPr>
      </w:pPr>
      <w:r>
        <w:rPr>
          <w:rFonts w:eastAsia="Calibri"/>
          <w:b/>
          <w:bCs/>
          <w:color w:val="0070C0"/>
          <w:sz w:val="20"/>
          <w:szCs w:val="20"/>
          <w:lang w:val="en-IN"/>
        </w:rPr>
        <w:t>Time:</w:t>
      </w:r>
      <w:r>
        <w:rPr>
          <w:rFonts w:eastAsia="Calibri"/>
          <w:b/>
          <w:color w:val="0070C0"/>
          <w:sz w:val="20"/>
          <w:szCs w:val="20"/>
          <w:lang w:val="en-IN"/>
        </w:rPr>
        <w:t xml:space="preserve"> 1.5 hours</w:t>
      </w:r>
    </w:p>
    <w:p w14:paraId="77F051D8">
      <w:pPr>
        <w:jc w:val="both"/>
        <w:rPr>
          <w:rFonts w:eastAsia="Calibri"/>
          <w:b/>
          <w:color w:val="0070C0"/>
          <w:sz w:val="20"/>
          <w:szCs w:val="20"/>
          <w:lang w:val="en-IN"/>
        </w:rPr>
      </w:pPr>
      <w:r>
        <w:rPr>
          <w:rFonts w:eastAsia="Calibri"/>
          <w:b/>
          <w:color w:val="0070C0"/>
          <w:sz w:val="20"/>
          <w:szCs w:val="20"/>
          <w:lang w:val="en-IN"/>
        </w:rPr>
        <w:t>NRAS mutations occur in approximately 20–30% of cutaneous melanomas and are associated with aggressive disease progression [TCGA Network, 2015; Davis et al., 2019]. These mutations result in constitutive activation of the MAPK signaling pathway [Wellbrock &amp; Arozarena, 2016].</w:t>
      </w:r>
    </w:p>
    <w:p w14:paraId="5980BDF5">
      <w:pPr>
        <w:jc w:val="both"/>
        <w:rPr>
          <w:rFonts w:eastAsia="Calibri"/>
          <w:b/>
          <w:color w:val="0070C0"/>
          <w:sz w:val="20"/>
          <w:szCs w:val="20"/>
          <w:lang w:val="en-IN"/>
        </w:rPr>
      </w:pPr>
      <w:r>
        <w:rPr>
          <w:rFonts w:eastAsia="Calibri"/>
          <w:b/>
          <w:color w:val="0070C0"/>
          <w:sz w:val="20"/>
          <w:szCs w:val="20"/>
          <w:lang w:val="en-IN"/>
        </w:rPr>
        <w:t>Despite their clinical importance, direct pharmacological inhibition of NRAS remains limited.</w:t>
      </w:r>
    </w:p>
    <w:p w14:paraId="3B044ED3">
      <w:pPr>
        <w:jc w:val="both"/>
        <w:rPr>
          <w:rFonts w:eastAsia="Calibri"/>
          <w:b/>
          <w:color w:val="0070C0"/>
          <w:sz w:val="20"/>
          <w:szCs w:val="20"/>
          <w:lang w:val="en-IN"/>
        </w:rPr>
      </w:pPr>
      <w:r>
        <w:rPr>
          <w:rFonts w:eastAsia="Calibri"/>
          <w:b/>
          <w:color w:val="0070C0"/>
          <w:sz w:val="20"/>
          <w:szCs w:val="20"/>
          <w:lang w:val="en-IN"/>
        </w:rPr>
        <w:pict>
          <v:rect id="_x0000_i1038" o:spt="1" style="height:1.5pt;width:0pt;" fillcolor="#A0A0A0" filled="t" stroked="f" coordsize="21600,21600" o:hr="t" o:hrstd="t" o:hralign="center">
            <v:path/>
            <v:fill on="t" focussize="0,0"/>
            <v:stroke on="f"/>
            <v:imagedata o:title=""/>
            <o:lock v:ext="edit"/>
            <w10:wrap type="none"/>
            <w10:anchorlock/>
          </v:rect>
        </w:pict>
      </w:r>
    </w:p>
    <w:p w14:paraId="2F50C0EE">
      <w:pPr>
        <w:jc w:val="both"/>
        <w:rPr>
          <w:rFonts w:eastAsia="Calibri"/>
          <w:b/>
          <w:bCs/>
          <w:color w:val="0070C0"/>
          <w:sz w:val="20"/>
          <w:szCs w:val="20"/>
          <w:lang w:val="en-IN"/>
        </w:rPr>
      </w:pPr>
      <w:r>
        <w:rPr>
          <w:rFonts w:eastAsia="Calibri"/>
          <w:b/>
          <w:bCs/>
          <w:color w:val="0070C0"/>
          <w:sz w:val="20"/>
          <w:szCs w:val="20"/>
          <w:lang w:val="en-IN"/>
        </w:rPr>
        <w:t>4.2 Structural Challenges in Targeting NRAS</w:t>
      </w:r>
    </w:p>
    <w:p w14:paraId="480640DA">
      <w:pPr>
        <w:jc w:val="both"/>
        <w:rPr>
          <w:rFonts w:eastAsia="Calibri"/>
          <w:b/>
          <w:color w:val="0070C0"/>
          <w:sz w:val="20"/>
          <w:szCs w:val="20"/>
          <w:lang w:val="en-IN"/>
        </w:rPr>
      </w:pPr>
      <w:r>
        <w:rPr>
          <w:rFonts w:eastAsia="Calibri"/>
          <w:b/>
          <w:bCs/>
          <w:color w:val="0070C0"/>
          <w:sz w:val="20"/>
          <w:szCs w:val="20"/>
          <w:lang w:val="en-IN"/>
        </w:rPr>
        <w:t>Time:</w:t>
      </w:r>
      <w:r>
        <w:rPr>
          <w:rFonts w:eastAsia="Calibri"/>
          <w:b/>
          <w:color w:val="0070C0"/>
          <w:sz w:val="20"/>
          <w:szCs w:val="20"/>
          <w:lang w:val="en-IN"/>
        </w:rPr>
        <w:t xml:space="preserve"> 1.5 hours</w:t>
      </w:r>
    </w:p>
    <w:p w14:paraId="32F2D598">
      <w:pPr>
        <w:jc w:val="both"/>
        <w:rPr>
          <w:rFonts w:eastAsia="Calibri"/>
          <w:b/>
          <w:color w:val="0070C0"/>
          <w:sz w:val="20"/>
          <w:szCs w:val="20"/>
          <w:lang w:val="en-IN"/>
        </w:rPr>
      </w:pPr>
      <w:r>
        <w:rPr>
          <w:rFonts w:eastAsia="Calibri"/>
          <w:b/>
          <w:color w:val="0070C0"/>
          <w:sz w:val="20"/>
          <w:szCs w:val="20"/>
          <w:lang w:val="en-IN"/>
        </w:rPr>
        <w:t>RAS proteins have historically been considered “undruggable” due to their high affinity for GTP/GDP and the absence of deep hydrophobic pockets [Cox et al., 2014; McCormick, 2015]. Structural conservation across RAS isoforms further complicates selective targeting [Johnson et al., 2017].</w:t>
      </w:r>
    </w:p>
    <w:p w14:paraId="28F8FF5D">
      <w:pPr>
        <w:jc w:val="both"/>
        <w:rPr>
          <w:rFonts w:eastAsia="Calibri"/>
          <w:b/>
          <w:color w:val="0070C0"/>
          <w:sz w:val="20"/>
          <w:szCs w:val="20"/>
          <w:lang w:val="en-IN"/>
        </w:rPr>
      </w:pPr>
      <w:r>
        <w:rPr>
          <w:rFonts w:eastAsia="Calibri"/>
          <w:b/>
          <w:color w:val="0070C0"/>
          <w:sz w:val="20"/>
          <w:szCs w:val="20"/>
          <w:lang w:val="en-IN"/>
        </w:rPr>
        <w:t>The present findings suggest that mutation-induced electrostatic changes may provide exploitable binding opportunities.</w:t>
      </w:r>
    </w:p>
    <w:p w14:paraId="73694FC6">
      <w:pPr>
        <w:jc w:val="both"/>
        <w:rPr>
          <w:rFonts w:eastAsia="Calibri"/>
          <w:b/>
          <w:color w:val="0070C0"/>
          <w:sz w:val="20"/>
          <w:szCs w:val="20"/>
          <w:lang w:val="en-IN"/>
        </w:rPr>
      </w:pPr>
      <w:r>
        <w:rPr>
          <w:rFonts w:eastAsia="Calibri"/>
          <w:b/>
          <w:color w:val="0070C0"/>
          <w:sz w:val="20"/>
          <w:szCs w:val="20"/>
          <w:lang w:val="en-IN"/>
        </w:rPr>
        <w:pict>
          <v:rect id="_x0000_i1039" o:spt="1" style="height:1.5pt;width:0pt;" fillcolor="#A0A0A0" filled="t" stroked="f" coordsize="21600,21600" o:hr="t" o:hrstd="t" o:hralign="center">
            <v:path/>
            <v:fill on="t" focussize="0,0"/>
            <v:stroke on="f"/>
            <v:imagedata o:title=""/>
            <o:lock v:ext="edit"/>
            <w10:wrap type="none"/>
            <w10:anchorlock/>
          </v:rect>
        </w:pict>
      </w:r>
    </w:p>
    <w:p w14:paraId="2A265997">
      <w:pPr>
        <w:jc w:val="both"/>
        <w:rPr>
          <w:rFonts w:eastAsia="Calibri"/>
          <w:b/>
          <w:bCs/>
          <w:color w:val="0070C0"/>
          <w:sz w:val="20"/>
          <w:szCs w:val="20"/>
          <w:lang w:val="en-IN"/>
        </w:rPr>
      </w:pPr>
      <w:r>
        <w:rPr>
          <w:rFonts w:eastAsia="Calibri"/>
          <w:b/>
          <w:bCs/>
          <w:color w:val="0070C0"/>
          <w:sz w:val="20"/>
          <w:szCs w:val="20"/>
          <w:lang w:val="en-IN"/>
        </w:rPr>
        <w:t>4.3 Comparison with Current Therapeutic Strategies</w:t>
      </w:r>
    </w:p>
    <w:p w14:paraId="1C47B6AC">
      <w:pPr>
        <w:jc w:val="both"/>
        <w:rPr>
          <w:rFonts w:eastAsia="Calibri"/>
          <w:b/>
          <w:color w:val="0070C0"/>
          <w:sz w:val="20"/>
          <w:szCs w:val="20"/>
          <w:lang w:val="en-IN"/>
        </w:rPr>
      </w:pPr>
      <w:r>
        <w:rPr>
          <w:rFonts w:eastAsia="Calibri"/>
          <w:b/>
          <w:bCs/>
          <w:color w:val="0070C0"/>
          <w:sz w:val="20"/>
          <w:szCs w:val="20"/>
          <w:lang w:val="en-IN"/>
        </w:rPr>
        <w:t>Time:</w:t>
      </w:r>
      <w:r>
        <w:rPr>
          <w:rFonts w:eastAsia="Calibri"/>
          <w:b/>
          <w:color w:val="0070C0"/>
          <w:sz w:val="20"/>
          <w:szCs w:val="20"/>
          <w:lang w:val="en-IN"/>
        </w:rPr>
        <w:t xml:space="preserve"> 1 hour</w:t>
      </w:r>
    </w:p>
    <w:p w14:paraId="06379C89">
      <w:pPr>
        <w:jc w:val="both"/>
        <w:rPr>
          <w:rFonts w:eastAsia="Calibri"/>
          <w:b/>
          <w:color w:val="0070C0"/>
          <w:sz w:val="20"/>
          <w:szCs w:val="20"/>
          <w:lang w:val="en-IN"/>
        </w:rPr>
      </w:pPr>
      <w:r>
        <w:rPr>
          <w:rFonts w:eastAsia="Calibri"/>
          <w:b/>
          <w:color w:val="0070C0"/>
          <w:sz w:val="20"/>
          <w:szCs w:val="20"/>
          <w:lang w:val="en-IN"/>
        </w:rPr>
        <w:t>Current therapeutic strategies for NRAS-mutant melanoma primarily rely on downstream MEK inhibition [Johnson &amp; Puzanov, 2015]. However, clinical responses to MEK inhibitors such as binimetinib have demonstrated modest improvements in progression-free survival [Ascierto et al., 2013].</w:t>
      </w:r>
    </w:p>
    <w:p w14:paraId="1E7CE227">
      <w:pPr>
        <w:jc w:val="both"/>
        <w:rPr>
          <w:rFonts w:eastAsia="Calibri"/>
          <w:b/>
          <w:color w:val="0070C0"/>
          <w:sz w:val="20"/>
          <w:szCs w:val="20"/>
          <w:lang w:val="en-IN"/>
        </w:rPr>
      </w:pPr>
      <w:r>
        <w:rPr>
          <w:rFonts w:eastAsia="Calibri"/>
          <w:b/>
          <w:color w:val="0070C0"/>
          <w:sz w:val="20"/>
          <w:szCs w:val="20"/>
          <w:lang w:val="en-IN"/>
        </w:rPr>
        <w:t>Direct NRAS targeting, as explored in this study, may complement or enhance current therapeutic approaches.</w:t>
      </w:r>
    </w:p>
    <w:p w14:paraId="37FCB65B">
      <w:pPr>
        <w:jc w:val="both"/>
        <w:rPr>
          <w:rFonts w:eastAsia="Calibri"/>
          <w:b/>
          <w:color w:val="0070C0"/>
          <w:sz w:val="20"/>
          <w:szCs w:val="20"/>
          <w:lang w:val="en-IN"/>
        </w:rPr>
      </w:pPr>
      <w:r>
        <w:rPr>
          <w:rFonts w:eastAsia="Calibri"/>
          <w:b/>
          <w:color w:val="0070C0"/>
          <w:sz w:val="20"/>
          <w:szCs w:val="20"/>
          <w:lang w:val="en-IN"/>
        </w:rPr>
        <w:pict>
          <v:rect id="_x0000_i1040" o:spt="1" style="height:1.5pt;width:0pt;" fillcolor="#A0A0A0" filled="t" stroked="f" coordsize="21600,21600" o:hr="t" o:hrstd="t" o:hralign="center">
            <v:path/>
            <v:fill on="t" focussize="0,0"/>
            <v:stroke on="f"/>
            <v:imagedata o:title=""/>
            <o:lock v:ext="edit"/>
            <w10:wrap type="none"/>
            <w10:anchorlock/>
          </v:rect>
        </w:pict>
      </w:r>
    </w:p>
    <w:p w14:paraId="74EC7FC5">
      <w:pPr>
        <w:jc w:val="both"/>
        <w:rPr>
          <w:rFonts w:eastAsia="Calibri"/>
          <w:b/>
          <w:bCs/>
          <w:color w:val="0070C0"/>
          <w:sz w:val="20"/>
          <w:szCs w:val="20"/>
          <w:lang w:val="en-IN"/>
        </w:rPr>
      </w:pPr>
      <w:r>
        <w:rPr>
          <w:rFonts w:eastAsia="Calibri"/>
          <w:b/>
          <w:bCs/>
          <w:color w:val="0070C0"/>
          <w:sz w:val="20"/>
          <w:szCs w:val="20"/>
          <w:lang w:val="en-IN"/>
        </w:rPr>
        <w:t>4.4 Role of Natural Compounds in Oncology</w:t>
      </w:r>
    </w:p>
    <w:p w14:paraId="2FEEAA0B">
      <w:pPr>
        <w:jc w:val="both"/>
        <w:rPr>
          <w:rFonts w:eastAsia="Calibri"/>
          <w:b/>
          <w:color w:val="0070C0"/>
          <w:sz w:val="20"/>
          <w:szCs w:val="20"/>
          <w:lang w:val="en-IN"/>
        </w:rPr>
      </w:pPr>
      <w:r>
        <w:rPr>
          <w:rFonts w:eastAsia="Calibri"/>
          <w:b/>
          <w:bCs/>
          <w:color w:val="0070C0"/>
          <w:sz w:val="20"/>
          <w:szCs w:val="20"/>
          <w:lang w:val="en-IN"/>
        </w:rPr>
        <w:t>Time:</w:t>
      </w:r>
      <w:r>
        <w:rPr>
          <w:rFonts w:eastAsia="Calibri"/>
          <w:b/>
          <w:color w:val="0070C0"/>
          <w:sz w:val="20"/>
          <w:szCs w:val="20"/>
          <w:lang w:val="en-IN"/>
        </w:rPr>
        <w:t xml:space="preserve"> 1 hour</w:t>
      </w:r>
    </w:p>
    <w:p w14:paraId="71FE3D09">
      <w:pPr>
        <w:jc w:val="both"/>
        <w:rPr>
          <w:rFonts w:eastAsia="Calibri"/>
          <w:b/>
          <w:color w:val="0070C0"/>
          <w:sz w:val="20"/>
          <w:szCs w:val="20"/>
          <w:lang w:val="en-IN"/>
        </w:rPr>
      </w:pPr>
      <w:r>
        <w:rPr>
          <w:rFonts w:eastAsia="Calibri"/>
          <w:b/>
          <w:color w:val="0070C0"/>
          <w:sz w:val="20"/>
          <w:szCs w:val="20"/>
          <w:lang w:val="en-IN"/>
        </w:rPr>
        <w:t>Natural products account for a substantial proportion of approved anticancer drugs [Newman &amp; Cragg, 2020]. Their structural diversity and evolutionary optimization enable interactions with challenging protein surfaces [Harvey et al., 2015].</w:t>
      </w:r>
    </w:p>
    <w:p w14:paraId="417888B1">
      <w:pPr>
        <w:jc w:val="both"/>
        <w:rPr>
          <w:rFonts w:eastAsia="Calibri"/>
          <w:b/>
          <w:color w:val="0070C0"/>
          <w:sz w:val="20"/>
          <w:szCs w:val="20"/>
          <w:lang w:val="en-IN"/>
        </w:rPr>
      </w:pPr>
      <w:r>
        <w:rPr>
          <w:rFonts w:eastAsia="Calibri"/>
          <w:b/>
          <w:color w:val="0070C0"/>
          <w:sz w:val="20"/>
          <w:szCs w:val="20"/>
          <w:lang w:val="en-IN"/>
        </w:rPr>
        <w:t>The identified compounds may serve as promising scaffolds for further optimization.</w:t>
      </w:r>
    </w:p>
    <w:p w14:paraId="4820C30B">
      <w:pPr>
        <w:jc w:val="both"/>
        <w:rPr>
          <w:rFonts w:eastAsia="Calibri"/>
          <w:b/>
          <w:color w:val="0070C0"/>
          <w:sz w:val="20"/>
          <w:szCs w:val="20"/>
          <w:lang w:val="en-IN"/>
        </w:rPr>
      </w:pPr>
      <w:r>
        <w:rPr>
          <w:rFonts w:eastAsia="Calibri"/>
          <w:b/>
          <w:color w:val="0070C0"/>
          <w:sz w:val="20"/>
          <w:szCs w:val="20"/>
          <w:lang w:val="en-IN"/>
        </w:rPr>
        <w:pict>
          <v:rect id="_x0000_i1041" o:spt="1" style="height:1.5pt;width:0pt;" fillcolor="#A0A0A0" filled="t" stroked="f" coordsize="21600,21600" o:hr="t" o:hrstd="t" o:hralign="center">
            <v:path/>
            <v:fill on="t" focussize="0,0"/>
            <v:stroke on="f"/>
            <v:imagedata o:title=""/>
            <o:lock v:ext="edit"/>
            <w10:wrap type="none"/>
            <w10:anchorlock/>
          </v:rect>
        </w:pict>
      </w:r>
    </w:p>
    <w:p w14:paraId="2BE7678C">
      <w:pPr>
        <w:jc w:val="both"/>
        <w:rPr>
          <w:rFonts w:eastAsia="Calibri"/>
          <w:b/>
          <w:bCs/>
          <w:color w:val="0070C0"/>
          <w:sz w:val="20"/>
          <w:szCs w:val="20"/>
          <w:lang w:val="en-IN"/>
        </w:rPr>
      </w:pPr>
      <w:r>
        <w:rPr>
          <w:rFonts w:eastAsia="Calibri"/>
          <w:b/>
          <w:bCs/>
          <w:color w:val="0070C0"/>
          <w:sz w:val="20"/>
          <w:szCs w:val="20"/>
          <w:lang w:val="en-IN"/>
        </w:rPr>
        <w:t>4.5 Limitations and Future Directions</w:t>
      </w:r>
    </w:p>
    <w:p w14:paraId="677C2493">
      <w:pPr>
        <w:jc w:val="both"/>
        <w:rPr>
          <w:rFonts w:eastAsia="Calibri"/>
          <w:b/>
          <w:color w:val="0070C0"/>
          <w:sz w:val="20"/>
          <w:szCs w:val="20"/>
          <w:lang w:val="en-IN"/>
        </w:rPr>
      </w:pPr>
      <w:r>
        <w:rPr>
          <w:rFonts w:eastAsia="Calibri"/>
          <w:b/>
          <w:bCs/>
          <w:color w:val="0070C0"/>
          <w:sz w:val="20"/>
          <w:szCs w:val="20"/>
          <w:lang w:val="en-IN"/>
        </w:rPr>
        <w:t>Time:</w:t>
      </w:r>
      <w:r>
        <w:rPr>
          <w:rFonts w:eastAsia="Calibri"/>
          <w:b/>
          <w:color w:val="0070C0"/>
          <w:sz w:val="20"/>
          <w:szCs w:val="20"/>
          <w:lang w:val="en-IN"/>
        </w:rPr>
        <w:t xml:space="preserve"> 1 hour</w:t>
      </w:r>
    </w:p>
    <w:p w14:paraId="2093F684">
      <w:pPr>
        <w:jc w:val="both"/>
        <w:rPr>
          <w:rFonts w:eastAsia="Calibri"/>
          <w:b/>
          <w:color w:val="0070C0"/>
          <w:sz w:val="20"/>
          <w:szCs w:val="20"/>
          <w:lang w:val="en-IN"/>
        </w:rPr>
      </w:pPr>
      <w:r>
        <w:rPr>
          <w:rFonts w:eastAsia="Calibri"/>
          <w:b/>
          <w:color w:val="0070C0"/>
          <w:sz w:val="20"/>
          <w:szCs w:val="20"/>
          <w:lang w:val="en-IN"/>
        </w:rPr>
        <w:t>Docking provides a static approximation of protein–ligand interactions and does not fully capture conformational flexibility or solvent effects [Kitchen et al., 2004]. Future studies incorporating molecular dynamics simulations and free energy calculations (e.g., MM-PBSA) would strengthen binding predictions [Ferreira et al., 2015].</w:t>
      </w:r>
    </w:p>
    <w:p w14:paraId="6764FAFF">
      <w:pPr>
        <w:jc w:val="both"/>
        <w:rPr>
          <w:rFonts w:eastAsia="Calibri"/>
          <w:b/>
          <w:color w:val="0070C0"/>
          <w:sz w:val="20"/>
          <w:szCs w:val="20"/>
          <w:lang w:val="en-IN"/>
        </w:rPr>
      </w:pPr>
      <w:r>
        <w:rPr>
          <w:rFonts w:eastAsia="Calibri"/>
          <w:b/>
          <w:color w:val="0070C0"/>
          <w:sz w:val="20"/>
          <w:szCs w:val="20"/>
          <w:lang w:val="en-IN"/>
        </w:rPr>
        <w:t>Experimental validation through biochemical assays and melanoma cell models will be necessary to confirm inhibitory potential.</w:t>
      </w:r>
    </w:p>
    <w:p w14:paraId="27FDE8B2">
      <w:pPr>
        <w:jc w:val="both"/>
        <w:rPr>
          <w:rFonts w:eastAsia="Calibri"/>
          <w:b/>
          <w:color w:val="0070C0"/>
          <w:sz w:val="20"/>
          <w:szCs w:val="20"/>
          <w:lang w:val="en-IN"/>
        </w:rPr>
      </w:pPr>
      <w:r>
        <w:rPr>
          <w:rFonts w:eastAsia="Calibri"/>
          <w:b/>
          <w:color w:val="0070C0"/>
          <w:sz w:val="20"/>
          <w:szCs w:val="20"/>
          <w:lang w:val="en-IN"/>
        </w:rPr>
        <w:pict>
          <v:rect id="_x0000_i1042" o:spt="1" style="height:1.5pt;width:0pt;" fillcolor="#A0A0A0" filled="t" stroked="f" coordsize="21600,21600" o:hr="t" o:hrstd="t" o:hralign="center">
            <v:path/>
            <v:fill on="t" focussize="0,0"/>
            <v:stroke on="f"/>
            <v:imagedata o:title=""/>
            <o:lock v:ext="edit"/>
            <w10:wrap type="none"/>
            <w10:anchorlock/>
          </v:rect>
        </w:pict>
      </w:r>
    </w:p>
    <w:p w14:paraId="52D4C942">
      <w:pPr>
        <w:jc w:val="both"/>
        <w:rPr>
          <w:rFonts w:eastAsia="Calibri"/>
          <w:b/>
          <w:bCs/>
          <w:color w:val="0070C0"/>
          <w:sz w:val="20"/>
          <w:szCs w:val="20"/>
          <w:lang w:val="en-IN"/>
        </w:rPr>
      </w:pPr>
      <w:r>
        <w:rPr>
          <w:rFonts w:ascii="Segoe UI Emoji" w:hAnsi="Segoe UI Emoji" w:eastAsia="Calibri" w:cs="Segoe UI Emoji"/>
          <w:b/>
          <w:bCs/>
          <w:color w:val="0070C0"/>
          <w:sz w:val="20"/>
          <w:szCs w:val="20"/>
          <w:lang w:val="en-IN"/>
        </w:rPr>
        <w:t>🔷</w:t>
      </w:r>
      <w:r>
        <w:rPr>
          <w:rFonts w:eastAsia="Calibri"/>
          <w:b/>
          <w:bCs/>
          <w:color w:val="0070C0"/>
          <w:sz w:val="20"/>
          <w:szCs w:val="20"/>
          <w:lang w:val="en-IN"/>
        </w:rPr>
        <w:t xml:space="preserve"> 5. CONCLUSION</w:t>
      </w:r>
    </w:p>
    <w:p w14:paraId="4839C596">
      <w:pPr>
        <w:jc w:val="both"/>
        <w:rPr>
          <w:rFonts w:eastAsia="Calibri"/>
          <w:b/>
          <w:color w:val="0070C0"/>
          <w:sz w:val="20"/>
          <w:szCs w:val="20"/>
          <w:lang w:val="en-IN"/>
        </w:rPr>
      </w:pPr>
      <w:r>
        <w:rPr>
          <w:rFonts w:eastAsia="Calibri"/>
          <w:b/>
          <w:bCs/>
          <w:color w:val="0070C0"/>
          <w:sz w:val="20"/>
          <w:szCs w:val="20"/>
          <w:lang w:val="en-IN"/>
        </w:rPr>
        <w:t>Target:</w:t>
      </w:r>
      <w:r>
        <w:rPr>
          <w:rFonts w:eastAsia="Calibri"/>
          <w:b/>
          <w:color w:val="0070C0"/>
          <w:sz w:val="20"/>
          <w:szCs w:val="20"/>
          <w:lang w:val="en-IN"/>
        </w:rPr>
        <w:t xml:space="preserve"> 200–250 words</w:t>
      </w:r>
      <w:r>
        <w:rPr>
          <w:rFonts w:eastAsia="Calibri"/>
          <w:b/>
          <w:color w:val="0070C0"/>
          <w:sz w:val="20"/>
          <w:szCs w:val="20"/>
          <w:lang w:val="en-IN"/>
        </w:rPr>
        <w:br w:type="textWrapping"/>
      </w:r>
      <w:r>
        <w:rPr>
          <w:rFonts w:eastAsia="Calibri"/>
          <w:b/>
          <w:bCs/>
          <w:color w:val="0070C0"/>
          <w:sz w:val="20"/>
          <w:szCs w:val="20"/>
          <w:lang w:val="en-IN"/>
        </w:rPr>
        <w:t>Time required:</w:t>
      </w:r>
      <w:r>
        <w:rPr>
          <w:rFonts w:eastAsia="Calibri"/>
          <w:b/>
          <w:color w:val="0070C0"/>
          <w:sz w:val="20"/>
          <w:szCs w:val="20"/>
          <w:lang w:val="en-IN"/>
        </w:rPr>
        <w:t xml:space="preserve"> 1 hour</w:t>
      </w:r>
    </w:p>
    <w:p w14:paraId="6B5DF8CF">
      <w:pPr>
        <w:jc w:val="both"/>
        <w:rPr>
          <w:rFonts w:eastAsia="Calibri"/>
          <w:b/>
          <w:color w:val="0070C0"/>
          <w:sz w:val="20"/>
          <w:szCs w:val="20"/>
          <w:lang w:val="en-IN"/>
        </w:rPr>
      </w:pPr>
      <w:r>
        <w:rPr>
          <w:rFonts w:eastAsia="Calibri"/>
          <w:b/>
          <w:color w:val="0070C0"/>
          <w:sz w:val="20"/>
          <w:szCs w:val="20"/>
          <w:lang w:val="en-IN"/>
        </w:rPr>
        <w:pict>
          <v:rect id="_x0000_i1043" o:spt="1" style="height:1.5pt;width:0pt;" fillcolor="#A0A0A0" filled="t" stroked="f" coordsize="21600,21600" o:hr="t" o:hrstd="t" o:hralign="center">
            <v:path/>
            <v:fill on="t" focussize="0,0"/>
            <v:stroke on="f"/>
            <v:imagedata o:title=""/>
            <o:lock v:ext="edit"/>
            <w10:wrap type="none"/>
            <w10:anchorlock/>
          </v:rect>
        </w:pict>
      </w:r>
    </w:p>
    <w:p w14:paraId="0F1F1DEE">
      <w:pPr>
        <w:jc w:val="both"/>
        <w:rPr>
          <w:rFonts w:eastAsia="Calibri"/>
          <w:b/>
          <w:color w:val="0070C0"/>
          <w:sz w:val="20"/>
          <w:szCs w:val="20"/>
          <w:lang w:val="en-IN"/>
        </w:rPr>
      </w:pPr>
      <w:r>
        <w:rPr>
          <w:rFonts w:eastAsia="Calibri"/>
          <w:b/>
          <w:color w:val="0070C0"/>
          <w:sz w:val="20"/>
          <w:szCs w:val="20"/>
          <w:lang w:val="en-IN"/>
        </w:rPr>
        <w:t>This study integrates structural modeling and virtual screening to identify potential inhibitors of oncogenic NRAS variants. The mutant models demonstrated high stereochemical quality, enabling reliable docking analyses.</w:t>
      </w:r>
    </w:p>
    <w:p w14:paraId="37CBE956">
      <w:pPr>
        <w:jc w:val="both"/>
        <w:rPr>
          <w:rFonts w:eastAsia="Calibri"/>
          <w:b/>
          <w:color w:val="0070C0"/>
          <w:sz w:val="20"/>
          <w:szCs w:val="20"/>
          <w:lang w:val="en-IN"/>
        </w:rPr>
      </w:pPr>
      <w:r>
        <w:rPr>
          <w:rFonts w:eastAsia="Calibri"/>
          <w:b/>
          <w:color w:val="0070C0"/>
          <w:sz w:val="20"/>
          <w:szCs w:val="20"/>
          <w:lang w:val="en-IN"/>
        </w:rPr>
        <w:t>Among 5,322 screened natural compounds, three candidates (ZINC02096813, ZINC02120343, ZINC00518885) exhibited favorable binding profiles characterized by engagement of both conserved catalytic residues and mutation-specific contacts.</w:t>
      </w:r>
    </w:p>
    <w:p w14:paraId="24C352B9">
      <w:pPr>
        <w:jc w:val="both"/>
        <w:rPr>
          <w:rFonts w:eastAsia="Calibri"/>
          <w:b/>
          <w:color w:val="0070C0"/>
          <w:sz w:val="20"/>
          <w:szCs w:val="20"/>
          <w:lang w:val="en-IN"/>
        </w:rPr>
      </w:pPr>
      <w:r>
        <w:rPr>
          <w:rFonts w:eastAsia="Calibri"/>
          <w:b/>
          <w:color w:val="0070C0"/>
          <w:sz w:val="20"/>
          <w:szCs w:val="20"/>
          <w:lang w:val="en-IN"/>
        </w:rPr>
        <w:t>These findings suggest that mutation-induced structural plasticity within NRAS can be strategically exploited for inhibitor development. While computational in nature, the results provide a foundation for further dynamic simulations and experimental validation toward precision therapies for NRAS-driven melanoma.</w:t>
      </w:r>
    </w:p>
    <w:p w14:paraId="31EFD81B">
      <w:pPr>
        <w:jc w:val="both"/>
        <w:rPr>
          <w:rFonts w:eastAsia="Calibri"/>
          <w:b/>
          <w:color w:val="0070C0"/>
          <w:sz w:val="20"/>
          <w:szCs w:val="20"/>
          <w:lang w:val="en-US"/>
        </w:rPr>
      </w:pPr>
    </w:p>
    <w:p w14:paraId="5FAE1664">
      <w:pPr>
        <w:jc w:val="both"/>
        <w:rPr>
          <w:rFonts w:eastAsia="Calibri"/>
          <w:b/>
          <w:color w:val="0070C0"/>
          <w:sz w:val="20"/>
          <w:szCs w:val="20"/>
          <w:lang w:val="en-US"/>
        </w:rPr>
      </w:pPr>
    </w:p>
    <w:p w14:paraId="349DF164">
      <w:pPr>
        <w:jc w:val="both"/>
        <w:rPr>
          <w:rFonts w:eastAsia="Calibri"/>
          <w:b/>
          <w:color w:val="0070C0"/>
          <w:sz w:val="20"/>
          <w:szCs w:val="20"/>
          <w:lang w:val="en-US"/>
        </w:rPr>
      </w:pPr>
      <w:r>
        <w:rPr>
          <w:rFonts w:eastAsia="Calibri"/>
          <w:b/>
          <w:color w:val="0070C0"/>
          <w:sz w:val="20"/>
          <w:szCs w:val="20"/>
          <w:lang w:val="en-US"/>
        </w:rPr>
        <w:t xml:space="preserve">REFERENCES </w:t>
      </w:r>
    </w:p>
    <w:p w14:paraId="2A4254DC">
      <w:pPr>
        <w:rPr>
          <w:rFonts w:eastAsia="Calibri"/>
          <w:b/>
          <w:color w:val="0070C0"/>
          <w:sz w:val="20"/>
          <w:szCs w:val="20"/>
          <w:lang w:val="en-US"/>
        </w:rPr>
      </w:pPr>
    </w:p>
    <w:p w14:paraId="4DBE32FE">
      <w:pPr>
        <w:rPr>
          <w:color w:val="0070C0"/>
          <w:sz w:val="20"/>
          <w:lang w:val="en-US"/>
        </w:rPr>
      </w:pPr>
      <w:r>
        <w:rPr>
          <w:sz w:val="20"/>
          <w:lang w:val="en-US"/>
        </w:rPr>
        <w:t xml:space="preserve">Ahmad Najem, M., Krayem, M., Perdrix, A., Kerger, J., Awada, A., Journe, F., &amp; Ghanem, G. (2017). New drug combination strategies in melanoma: Current status and future directions. Anticancer Research, 37, 5941–5953. </w:t>
      </w:r>
      <w:r>
        <w:fldChar w:fldCharType="begin"/>
      </w:r>
      <w:r>
        <w:instrText xml:space="preserve"> HYPERLINK "https://doi.org/10.21873/anticanres.12041" </w:instrText>
      </w:r>
      <w:r>
        <w:fldChar w:fldCharType="separate"/>
      </w:r>
      <w:r>
        <w:rPr>
          <w:rStyle w:val="20"/>
          <w:color w:val="0070C0"/>
          <w:sz w:val="20"/>
          <w:lang w:val="en-US"/>
        </w:rPr>
        <w:t>https://doi.org/10.21873/anticanres.12041</w:t>
      </w:r>
      <w:r>
        <w:rPr>
          <w:rStyle w:val="20"/>
          <w:color w:val="0070C0"/>
          <w:sz w:val="20"/>
          <w:lang w:val="en-US"/>
        </w:rPr>
        <w:fldChar w:fldCharType="end"/>
      </w:r>
      <w:r>
        <w:rPr>
          <w:color w:val="0070C0"/>
          <w:sz w:val="20"/>
          <w:lang w:val="en-US"/>
        </w:rPr>
        <w:t xml:space="preserve"> </w:t>
      </w:r>
    </w:p>
    <w:p w14:paraId="14B72786">
      <w:pPr>
        <w:rPr>
          <w:sz w:val="20"/>
          <w:lang w:val="en-US"/>
        </w:rPr>
      </w:pPr>
    </w:p>
    <w:p w14:paraId="5173ECB6">
      <w:pPr>
        <w:rPr>
          <w:sz w:val="20"/>
          <w:lang w:val="en-US"/>
        </w:rPr>
      </w:pPr>
      <w:r>
        <w:rPr>
          <w:sz w:val="20"/>
          <w:lang w:val="en-US"/>
        </w:rPr>
        <w:t xml:space="preserve">Cancer.Net Editorial Board. (2025). Melanoma: Statistics. American Society of Clinical Oncology. </w:t>
      </w:r>
      <w:r>
        <w:fldChar w:fldCharType="begin"/>
      </w:r>
      <w:r>
        <w:instrText xml:space="preserve"> HYPERLINK "https://www.cancer.net/cancer-types/melanoma/statistics" </w:instrText>
      </w:r>
      <w:r>
        <w:fldChar w:fldCharType="separate"/>
      </w:r>
      <w:r>
        <w:rPr>
          <w:rStyle w:val="20"/>
          <w:sz w:val="20"/>
          <w:lang w:val="en-US"/>
        </w:rPr>
        <w:t>https://www.cancer.net/cancer-types/melanoma/statistics</w:t>
      </w:r>
      <w:r>
        <w:rPr>
          <w:rStyle w:val="20"/>
          <w:sz w:val="20"/>
          <w:lang w:val="en-US"/>
        </w:rPr>
        <w:fldChar w:fldCharType="end"/>
      </w:r>
      <w:r>
        <w:rPr>
          <w:sz w:val="20"/>
          <w:lang w:val="en-US"/>
        </w:rPr>
        <w:t xml:space="preserve">  (accessed 21 September 2025)</w:t>
      </w:r>
    </w:p>
    <w:p w14:paraId="674CE253">
      <w:pPr>
        <w:rPr>
          <w:sz w:val="20"/>
          <w:lang w:val="en-US"/>
        </w:rPr>
      </w:pPr>
    </w:p>
    <w:p w14:paraId="0B936CB0">
      <w:pPr>
        <w:rPr>
          <w:sz w:val="20"/>
          <w:lang w:val="en-US"/>
        </w:rPr>
      </w:pPr>
      <w:r>
        <w:rPr>
          <w:sz w:val="20"/>
          <w:lang w:val="en-US"/>
        </w:rPr>
        <w:t xml:space="preserve">Cancer.Net Editorial Board. (2025). Melanoma: Stages. American Society of Clinical Oncology. </w:t>
      </w:r>
      <w:r>
        <w:fldChar w:fldCharType="begin"/>
      </w:r>
      <w:r>
        <w:instrText xml:space="preserve"> HYPERLINK "https://www.cancer.net/cancer-types/melanoma/stages" </w:instrText>
      </w:r>
      <w:r>
        <w:fldChar w:fldCharType="separate"/>
      </w:r>
      <w:r>
        <w:rPr>
          <w:rStyle w:val="20"/>
          <w:sz w:val="20"/>
          <w:lang w:val="en-US"/>
        </w:rPr>
        <w:t>https://www.cancer.net/cancer-types/melanoma/stages</w:t>
      </w:r>
      <w:r>
        <w:rPr>
          <w:rStyle w:val="20"/>
          <w:sz w:val="20"/>
          <w:lang w:val="en-US"/>
        </w:rPr>
        <w:fldChar w:fldCharType="end"/>
      </w:r>
      <w:r>
        <w:rPr>
          <w:sz w:val="20"/>
          <w:lang w:val="en-US"/>
        </w:rPr>
        <w:t xml:space="preserve">  (accessed 21 September 2025)</w:t>
      </w:r>
    </w:p>
    <w:p w14:paraId="31BD49F2">
      <w:pPr>
        <w:rPr>
          <w:sz w:val="20"/>
          <w:lang w:val="en-US"/>
        </w:rPr>
      </w:pPr>
    </w:p>
    <w:p w14:paraId="45CA909F">
      <w:pPr>
        <w:rPr>
          <w:sz w:val="20"/>
          <w:lang w:val="en-US"/>
        </w:rPr>
      </w:pPr>
      <w:r>
        <w:rPr>
          <w:sz w:val="20"/>
          <w:lang w:val="en-US"/>
        </w:rPr>
        <w:t xml:space="preserve">Davis, L. E., Shalin, S. C., &amp; Tackett, A. J. (2019). Current state of melanoma diagnosis and treatment. Cancer Biology &amp; Therapy, 20(11), 1366–1379. </w:t>
      </w:r>
      <w:r>
        <w:fldChar w:fldCharType="begin"/>
      </w:r>
      <w:r>
        <w:instrText xml:space="preserve"> HYPERLINK "https://doi.org/10.1080/15384047.2019.1640032" </w:instrText>
      </w:r>
      <w:r>
        <w:fldChar w:fldCharType="separate"/>
      </w:r>
      <w:r>
        <w:rPr>
          <w:rStyle w:val="20"/>
          <w:sz w:val="20"/>
          <w:lang w:val="en-US"/>
        </w:rPr>
        <w:t>https://doi.org/10.1080/15384047.2019.1640032</w:t>
      </w:r>
      <w:r>
        <w:rPr>
          <w:rStyle w:val="20"/>
          <w:sz w:val="20"/>
          <w:lang w:val="en-US"/>
        </w:rPr>
        <w:fldChar w:fldCharType="end"/>
      </w:r>
      <w:r>
        <w:rPr>
          <w:sz w:val="20"/>
          <w:lang w:val="en-US"/>
        </w:rPr>
        <w:t xml:space="preserve"> </w:t>
      </w:r>
    </w:p>
    <w:p w14:paraId="071AF716">
      <w:pPr>
        <w:rPr>
          <w:sz w:val="20"/>
          <w:lang w:val="en-US"/>
        </w:rPr>
      </w:pPr>
    </w:p>
    <w:p w14:paraId="3085B9DF">
      <w:pPr>
        <w:rPr>
          <w:sz w:val="20"/>
          <w:lang w:val="en-US"/>
        </w:rPr>
      </w:pPr>
      <w:r>
        <w:rPr>
          <w:sz w:val="20"/>
          <w:lang w:val="en-US"/>
        </w:rPr>
        <w:t xml:space="preserve">FAF-Drugs4. (2025). ADME/Tox filtering. Université Paris-Diderot. </w:t>
      </w:r>
      <w:r>
        <w:fldChar w:fldCharType="begin"/>
      </w:r>
      <w:r>
        <w:instrText xml:space="preserve"> HYPERLINK "http://fafdrugs4.mti.univ-paris-diderot.fr/" </w:instrText>
      </w:r>
      <w:r>
        <w:fldChar w:fldCharType="separate"/>
      </w:r>
      <w:r>
        <w:rPr>
          <w:rStyle w:val="20"/>
          <w:sz w:val="20"/>
          <w:lang w:val="en-US"/>
        </w:rPr>
        <w:t>http://fafdrugs4.mti.univ-paris-diderot.fr/</w:t>
      </w:r>
      <w:r>
        <w:rPr>
          <w:rStyle w:val="20"/>
          <w:sz w:val="20"/>
          <w:lang w:val="en-US"/>
        </w:rPr>
        <w:fldChar w:fldCharType="end"/>
      </w:r>
      <w:r>
        <w:rPr>
          <w:sz w:val="20"/>
          <w:lang w:val="en-US"/>
        </w:rPr>
        <w:t xml:space="preserve">  (accessed 21 September 2025)</w:t>
      </w:r>
    </w:p>
    <w:p w14:paraId="1538604E">
      <w:pPr>
        <w:rPr>
          <w:sz w:val="20"/>
          <w:lang w:val="en-US"/>
        </w:rPr>
      </w:pPr>
    </w:p>
    <w:p w14:paraId="2ED33DF8">
      <w:pPr>
        <w:rPr>
          <w:sz w:val="20"/>
          <w:lang w:val="en-US"/>
        </w:rPr>
      </w:pPr>
      <w:r>
        <w:rPr>
          <w:sz w:val="20"/>
          <w:lang w:val="en-US"/>
        </w:rPr>
        <w:t xml:space="preserve">Johnson, C. W., Reid, D., Parker, J. A., Harrison, R. A., Weston, L., Peti, W., ... Campbell, S. L. (2017). The small GTPases K-Ras, N-Ras, and H-Ras have distinct biochemical properties determined by allosteric effects. Journal of Biological Chemistry, 292(31), 12981–12993. </w:t>
      </w:r>
      <w:r>
        <w:fldChar w:fldCharType="begin"/>
      </w:r>
      <w:r>
        <w:instrText xml:space="preserve"> HYPERLINK "https://doi.org/10.1074/jbc.M117.778886" </w:instrText>
      </w:r>
      <w:r>
        <w:fldChar w:fldCharType="separate"/>
      </w:r>
      <w:r>
        <w:rPr>
          <w:rStyle w:val="20"/>
          <w:sz w:val="20"/>
          <w:lang w:val="en-US"/>
        </w:rPr>
        <w:t>https://doi.org/10.1074/jbc.M117.778886</w:t>
      </w:r>
      <w:r>
        <w:rPr>
          <w:rStyle w:val="20"/>
          <w:sz w:val="20"/>
          <w:lang w:val="en-US"/>
        </w:rPr>
        <w:fldChar w:fldCharType="end"/>
      </w:r>
      <w:r>
        <w:rPr>
          <w:sz w:val="20"/>
          <w:lang w:val="en-US"/>
        </w:rPr>
        <w:t xml:space="preserve"> </w:t>
      </w:r>
    </w:p>
    <w:p w14:paraId="78FD1E52">
      <w:pPr>
        <w:rPr>
          <w:sz w:val="20"/>
          <w:lang w:val="en-US"/>
        </w:rPr>
      </w:pPr>
    </w:p>
    <w:p w14:paraId="218117B7">
      <w:pPr>
        <w:rPr>
          <w:sz w:val="20"/>
          <w:lang w:val="en-US"/>
        </w:rPr>
      </w:pPr>
      <w:r>
        <w:rPr>
          <w:sz w:val="20"/>
          <w:lang w:val="en-US"/>
        </w:rPr>
        <w:t xml:space="preserve">Johnson, D. B., &amp; Puzanov, I. (2015). Treatment of NRAS-mutant melanoma. Current Treatment Options in Oncology, 16(4), 15. </w:t>
      </w:r>
      <w:r>
        <w:fldChar w:fldCharType="begin"/>
      </w:r>
      <w:r>
        <w:instrText xml:space="preserve"> HYPERLINK "https://doi.org/10.1007/s11864-015-0330-z" </w:instrText>
      </w:r>
      <w:r>
        <w:fldChar w:fldCharType="separate"/>
      </w:r>
      <w:r>
        <w:rPr>
          <w:rStyle w:val="20"/>
          <w:sz w:val="20"/>
          <w:lang w:val="en-US"/>
        </w:rPr>
        <w:t>https://doi.org/10.1007/s11864-015-0330-z</w:t>
      </w:r>
      <w:r>
        <w:rPr>
          <w:rStyle w:val="20"/>
          <w:sz w:val="20"/>
          <w:lang w:val="en-US"/>
        </w:rPr>
        <w:fldChar w:fldCharType="end"/>
      </w:r>
      <w:r>
        <w:rPr>
          <w:sz w:val="20"/>
          <w:lang w:val="en-US"/>
        </w:rPr>
        <w:t xml:space="preserve"> </w:t>
      </w:r>
    </w:p>
    <w:p w14:paraId="70779EEB">
      <w:pPr>
        <w:rPr>
          <w:sz w:val="20"/>
          <w:lang w:val="en-US"/>
        </w:rPr>
      </w:pPr>
    </w:p>
    <w:p w14:paraId="38189C9A">
      <w:pPr>
        <w:rPr>
          <w:sz w:val="20"/>
          <w:lang w:val="en-US"/>
        </w:rPr>
      </w:pPr>
      <w:r>
        <w:rPr>
          <w:sz w:val="20"/>
          <w:lang w:val="en-US"/>
        </w:rPr>
        <w:t xml:space="preserve">Kanehisa, M., &amp; Goto, S. (2000). KEGG: Kyoto encyclopedia of genes and genomes. Nucleic Acids Research, 28(1), 27–30. </w:t>
      </w:r>
      <w:r>
        <w:fldChar w:fldCharType="begin"/>
      </w:r>
      <w:r>
        <w:instrText xml:space="preserve"> HYPERLINK "https://doi.org/10.1093/nar/28.1.27" </w:instrText>
      </w:r>
      <w:r>
        <w:fldChar w:fldCharType="separate"/>
      </w:r>
      <w:r>
        <w:rPr>
          <w:rStyle w:val="20"/>
          <w:sz w:val="20"/>
          <w:lang w:val="en-US"/>
        </w:rPr>
        <w:t>https://doi.org/10.1093/nar/28.1.27</w:t>
      </w:r>
      <w:r>
        <w:rPr>
          <w:rStyle w:val="20"/>
          <w:sz w:val="20"/>
          <w:lang w:val="en-US"/>
        </w:rPr>
        <w:fldChar w:fldCharType="end"/>
      </w:r>
      <w:r>
        <w:rPr>
          <w:sz w:val="20"/>
          <w:lang w:val="en-US"/>
        </w:rPr>
        <w:t xml:space="preserve"> </w:t>
      </w:r>
    </w:p>
    <w:p w14:paraId="233C83E8">
      <w:pPr>
        <w:rPr>
          <w:sz w:val="20"/>
          <w:lang w:val="en-US"/>
        </w:rPr>
      </w:pPr>
    </w:p>
    <w:p w14:paraId="639D2B74">
      <w:pPr>
        <w:rPr>
          <w:sz w:val="20"/>
          <w:lang w:val="en-US"/>
        </w:rPr>
      </w:pPr>
      <w:r>
        <w:rPr>
          <w:sz w:val="20"/>
          <w:lang w:val="en-US"/>
        </w:rPr>
        <w:t xml:space="preserve">LigPlus. (2025). Automatic generation of ligand–protein interaction diagrams. European Bioinformatics Institute. </w:t>
      </w:r>
      <w:r>
        <w:fldChar w:fldCharType="begin"/>
      </w:r>
      <w:r>
        <w:instrText xml:space="preserve"> HYPERLINK "https://www.ebi.ac.uk/thornton-srv/software/LigPlus/" </w:instrText>
      </w:r>
      <w:r>
        <w:fldChar w:fldCharType="separate"/>
      </w:r>
      <w:r>
        <w:rPr>
          <w:rStyle w:val="20"/>
          <w:sz w:val="20"/>
          <w:lang w:val="en-US"/>
        </w:rPr>
        <w:t>https://www.ebi.ac.uk/thornton-srv/software/LigPlus/</w:t>
      </w:r>
      <w:r>
        <w:rPr>
          <w:rStyle w:val="20"/>
          <w:sz w:val="20"/>
          <w:lang w:val="en-US"/>
        </w:rPr>
        <w:fldChar w:fldCharType="end"/>
      </w:r>
      <w:r>
        <w:rPr>
          <w:sz w:val="20"/>
          <w:lang w:val="en-US"/>
        </w:rPr>
        <w:t xml:space="preserve">  (accessed 21 September 2025)</w:t>
      </w:r>
    </w:p>
    <w:p w14:paraId="1F98E89E">
      <w:pPr>
        <w:rPr>
          <w:sz w:val="20"/>
          <w:lang w:val="en-US"/>
        </w:rPr>
      </w:pPr>
    </w:p>
    <w:p w14:paraId="4820C951">
      <w:pPr>
        <w:rPr>
          <w:sz w:val="20"/>
          <w:lang w:val="en-US"/>
        </w:rPr>
      </w:pPr>
      <w:r>
        <w:rPr>
          <w:sz w:val="20"/>
          <w:lang w:val="en-US"/>
        </w:rPr>
        <w:t xml:space="preserve">National Cancer Institute. (2025). The cancer genome atlas (TCGA) – Melanoma skin cancer. </w:t>
      </w:r>
      <w:r>
        <w:fldChar w:fldCharType="begin"/>
      </w:r>
      <w:r>
        <w:instrText xml:space="preserve"> HYPERLINK "https://www.cancer.gov/about-nci/organization/ccg/research/structural-genomics/tcga/studied-cancers/melanoma-skin" </w:instrText>
      </w:r>
      <w:r>
        <w:fldChar w:fldCharType="separate"/>
      </w:r>
      <w:r>
        <w:rPr>
          <w:rStyle w:val="20"/>
          <w:sz w:val="20"/>
          <w:lang w:val="en-US"/>
        </w:rPr>
        <w:t>https://www.cancer.gov/about-nci/organization/ccg/research/structural-genomics/tcga/studied-cancers/melanoma-skin</w:t>
      </w:r>
      <w:r>
        <w:rPr>
          <w:rStyle w:val="20"/>
          <w:sz w:val="20"/>
          <w:lang w:val="en-US"/>
        </w:rPr>
        <w:fldChar w:fldCharType="end"/>
      </w:r>
      <w:r>
        <w:rPr>
          <w:sz w:val="20"/>
          <w:lang w:val="en-US"/>
        </w:rPr>
        <w:t xml:space="preserve"> (accessed 21 September 2025)</w:t>
      </w:r>
    </w:p>
    <w:p w14:paraId="2CD8130D">
      <w:pPr>
        <w:rPr>
          <w:sz w:val="20"/>
          <w:lang w:val="en-US"/>
        </w:rPr>
      </w:pPr>
    </w:p>
    <w:p w14:paraId="785F9F67">
      <w:pPr>
        <w:rPr>
          <w:sz w:val="20"/>
          <w:lang w:val="en-US"/>
        </w:rPr>
      </w:pPr>
      <w:r>
        <w:rPr>
          <w:sz w:val="20"/>
          <w:lang w:val="en-US"/>
        </w:rPr>
        <w:t xml:space="preserve">PROCHECK. (2025). Stereochemical quality assessment of protein structures. European Bioinformatics Institute. </w:t>
      </w:r>
      <w:r>
        <w:fldChar w:fldCharType="begin"/>
      </w:r>
      <w:r>
        <w:instrText xml:space="preserve"> HYPERLINK "https://www.ebi.ac.uk/thornton-srv/software/PROCHECK/" </w:instrText>
      </w:r>
      <w:r>
        <w:fldChar w:fldCharType="separate"/>
      </w:r>
      <w:r>
        <w:rPr>
          <w:rStyle w:val="20"/>
          <w:sz w:val="20"/>
          <w:lang w:val="en-US"/>
        </w:rPr>
        <w:t>https://www.ebi.ac.uk/thornton-srv/software/PROCHECK/</w:t>
      </w:r>
      <w:r>
        <w:rPr>
          <w:rStyle w:val="20"/>
          <w:sz w:val="20"/>
          <w:lang w:val="en-US"/>
        </w:rPr>
        <w:fldChar w:fldCharType="end"/>
      </w:r>
      <w:r>
        <w:rPr>
          <w:sz w:val="20"/>
          <w:lang w:val="en-US"/>
        </w:rPr>
        <w:t xml:space="preserve">  (accessed 21 September 2025)</w:t>
      </w:r>
    </w:p>
    <w:p w14:paraId="07732FC7">
      <w:pPr>
        <w:rPr>
          <w:sz w:val="20"/>
          <w:lang w:val="en-US"/>
        </w:rPr>
      </w:pPr>
    </w:p>
    <w:p w14:paraId="68FC946C">
      <w:pPr>
        <w:rPr>
          <w:sz w:val="20"/>
          <w:lang w:val="en-US"/>
        </w:rPr>
      </w:pPr>
      <w:r>
        <w:rPr>
          <w:sz w:val="20"/>
          <w:lang w:val="en-US"/>
        </w:rPr>
        <w:t xml:space="preserve">ProSA. (2025). Protein structure analysis. </w:t>
      </w:r>
      <w:r>
        <w:fldChar w:fldCharType="begin"/>
      </w:r>
      <w:r>
        <w:instrText xml:space="preserve"> HYPERLINK "https://prosa.services.came.sbg.ac.at/prosa.php" </w:instrText>
      </w:r>
      <w:r>
        <w:fldChar w:fldCharType="separate"/>
      </w:r>
      <w:r>
        <w:rPr>
          <w:rStyle w:val="20"/>
          <w:sz w:val="20"/>
          <w:lang w:val="en-US"/>
        </w:rPr>
        <w:t>https://prosa.services.came.sbg.ac.at/prosa.php</w:t>
      </w:r>
      <w:r>
        <w:rPr>
          <w:rStyle w:val="20"/>
          <w:sz w:val="20"/>
          <w:lang w:val="en-US"/>
        </w:rPr>
        <w:fldChar w:fldCharType="end"/>
      </w:r>
      <w:r>
        <w:rPr>
          <w:sz w:val="20"/>
          <w:lang w:val="en-US"/>
        </w:rPr>
        <w:t xml:space="preserve">  (accessed 21 September 2025)</w:t>
      </w:r>
    </w:p>
    <w:p w14:paraId="3CD6D6BD">
      <w:pPr>
        <w:rPr>
          <w:sz w:val="20"/>
          <w:lang w:val="en-US"/>
        </w:rPr>
      </w:pPr>
    </w:p>
    <w:p w14:paraId="18F8F2E5">
      <w:pPr>
        <w:rPr>
          <w:sz w:val="20"/>
          <w:lang w:val="en-US"/>
        </w:rPr>
      </w:pPr>
      <w:r>
        <w:rPr>
          <w:sz w:val="20"/>
          <w:lang w:val="it-IT"/>
        </w:rPr>
        <w:t xml:space="preserve">Radhakrishnan, S., Menon, P., &amp; Silva, K. (2024). </w:t>
      </w:r>
      <w:r>
        <w:rPr>
          <w:sz w:val="20"/>
          <w:lang w:val="en-US"/>
        </w:rPr>
        <w:t xml:space="preserve">Python Prescription (PyRx) transforms virtual drug discovery with AI-driven tools. African Journal of Biomedical Research, 27(3s). </w:t>
      </w:r>
      <w:r>
        <w:fldChar w:fldCharType="begin"/>
      </w:r>
      <w:r>
        <w:instrText xml:space="preserve"> HYPERLINK "https://pyrx.sourceforge.io" </w:instrText>
      </w:r>
      <w:r>
        <w:fldChar w:fldCharType="separate"/>
      </w:r>
      <w:r>
        <w:rPr>
          <w:rStyle w:val="20"/>
          <w:sz w:val="20"/>
          <w:lang w:val="en-US"/>
        </w:rPr>
        <w:t>https://pyrx.sourceforge.io</w:t>
      </w:r>
      <w:r>
        <w:rPr>
          <w:rStyle w:val="20"/>
          <w:sz w:val="20"/>
          <w:lang w:val="en-US"/>
        </w:rPr>
        <w:fldChar w:fldCharType="end"/>
      </w:r>
      <w:r>
        <w:rPr>
          <w:sz w:val="20"/>
          <w:lang w:val="en-US"/>
        </w:rPr>
        <w:t xml:space="preserve">  (accessed October 2025)</w:t>
      </w:r>
    </w:p>
    <w:p w14:paraId="218AF3B1">
      <w:pPr>
        <w:rPr>
          <w:sz w:val="20"/>
          <w:lang w:val="en-US"/>
        </w:rPr>
      </w:pPr>
    </w:p>
    <w:p w14:paraId="6AB37F20">
      <w:pPr>
        <w:rPr>
          <w:sz w:val="20"/>
          <w:lang w:val="en-US"/>
        </w:rPr>
      </w:pPr>
      <w:r>
        <w:rPr>
          <w:sz w:val="20"/>
          <w:lang w:val="en-US"/>
        </w:rPr>
        <w:t xml:space="preserve">Wellbrock, C., &amp; Arozarena, I. (2016). The complexity of the ERK/MAP-kinase pathway and the treatment of melanoma skin cancer. Frontiers in Cell and Developmental Biology, 4, 33. </w:t>
      </w:r>
      <w:r>
        <w:fldChar w:fldCharType="begin"/>
      </w:r>
      <w:r>
        <w:instrText xml:space="preserve"> HYPERLINK "https://doi.org/10.3389/fcell.2016.00033" </w:instrText>
      </w:r>
      <w:r>
        <w:fldChar w:fldCharType="separate"/>
      </w:r>
      <w:r>
        <w:rPr>
          <w:rStyle w:val="20"/>
          <w:sz w:val="20"/>
          <w:lang w:val="en-US"/>
        </w:rPr>
        <w:t>https://doi.org/10.3389/fcell.2016.00033</w:t>
      </w:r>
      <w:r>
        <w:rPr>
          <w:rStyle w:val="20"/>
          <w:sz w:val="20"/>
          <w:lang w:val="en-US"/>
        </w:rPr>
        <w:fldChar w:fldCharType="end"/>
      </w:r>
      <w:r>
        <w:rPr>
          <w:sz w:val="20"/>
          <w:lang w:val="en-US"/>
        </w:rPr>
        <w:t xml:space="preserve"> </w:t>
      </w:r>
    </w:p>
    <w:p w14:paraId="0320E6D0">
      <w:pPr>
        <w:rPr>
          <w:sz w:val="20"/>
          <w:lang w:val="en-US"/>
        </w:rPr>
      </w:pPr>
    </w:p>
    <w:p w14:paraId="20437A87">
      <w:pPr>
        <w:rPr>
          <w:sz w:val="20"/>
          <w:lang w:val="en-US"/>
        </w:rPr>
      </w:pPr>
      <w:r>
        <w:rPr>
          <w:sz w:val="20"/>
          <w:lang w:val="en-US"/>
        </w:rPr>
        <w:t xml:space="preserve">ZINC Database. (2025). Ligand discovery and virtual screening. </w:t>
      </w:r>
      <w:r>
        <w:fldChar w:fldCharType="begin"/>
      </w:r>
      <w:r>
        <w:instrText xml:space="preserve"> HYPERLINK "https://zinc.docking.org/" </w:instrText>
      </w:r>
      <w:r>
        <w:fldChar w:fldCharType="separate"/>
      </w:r>
      <w:r>
        <w:rPr>
          <w:rStyle w:val="20"/>
          <w:sz w:val="20"/>
          <w:lang w:val="en-US"/>
        </w:rPr>
        <w:t>https://zinc.docking.org/</w:t>
      </w:r>
      <w:r>
        <w:rPr>
          <w:rStyle w:val="20"/>
          <w:sz w:val="20"/>
          <w:lang w:val="en-US"/>
        </w:rPr>
        <w:fldChar w:fldCharType="end"/>
      </w:r>
      <w:r>
        <w:rPr>
          <w:sz w:val="20"/>
          <w:lang w:val="en-US"/>
        </w:rPr>
        <w:t xml:space="preserve">  (accessed 21 September 2025)</w:t>
      </w:r>
    </w:p>
    <w:sectPr>
      <w:type w:val="continuous"/>
      <w:pgSz w:w="11907" w:h="16839"/>
      <w:pgMar w:top="1701" w:right="1134" w:bottom="1418" w:left="1134" w:header="709" w:footer="709" w:gutter="0"/>
      <w:pgNumType w:start="211"/>
      <w:cols w:space="567"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egoe UI Emoji">
    <w:panose1 w:val="020B0502040204020203"/>
    <w:charset w:val="00"/>
    <w:family w:val="swiss"/>
    <w:pitch w:val="default"/>
    <w:sig w:usb0="00000001" w:usb1="02000000" w:usb2="08000000" w:usb3="00000000" w:csb0="00000001" w:csb1="00000000"/>
  </w:font>
  <w:font w:name="Symbol">
    <w:panose1 w:val="05050102010706020507"/>
    <w:charset w:val="02"/>
    <w:family w:val="roman"/>
    <w:pitch w:val="default"/>
    <w:sig w:usb0="00000000" w:usb1="00000000" w:usb2="00000000" w:usb3="00000000" w:csb0="80000000" w:csb1="00000000"/>
  </w:font>
  <w:font w:name="TimesNewRomanPSMT">
    <w:altName w:val="Times New Roman"/>
    <w:panose1 w:val="00000000000000000000"/>
    <w:charset w:val="00"/>
    <w:family w:val="roman"/>
    <w:pitch w:val="default"/>
    <w:sig w:usb0="00000000" w:usb1="00000000" w:usb2="00000000" w:usb3="00000000" w:csb0="0000001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E9D70">
    <w:pPr>
      <w:pStyle w:val="16"/>
      <w:jc w:val="righ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CB329">
    <w:pPr>
      <w:pStyle w:val="17"/>
      <w:tabs>
        <w:tab w:val="right" w:pos="9639"/>
        <w:tab w:val="clear" w:pos="9072"/>
      </w:tabs>
      <w:rPr>
        <w:i/>
        <w:sz w:val="16"/>
        <w:szCs w:val="16"/>
      </w:rPr>
    </w:pPr>
  </w:p>
  <w:p w14:paraId="64420BE0">
    <w:pPr>
      <w:pStyle w:val="17"/>
      <w:tabs>
        <w:tab w:val="left" w:pos="8505"/>
        <w:tab w:val="right" w:pos="9639"/>
        <w:tab w:val="clear" w:pos="9072"/>
      </w:tabs>
      <w:rPr>
        <w:sz w:val="17"/>
        <w:szCs w:val="17"/>
      </w:rPr>
    </w:pPr>
    <w:r>
      <w:rPr>
        <w:i/>
        <w:sz w:val="17"/>
        <w:szCs w:val="17"/>
      </w:rPr>
      <w:t>Int. J. Chem. Technol.</w:t>
    </w:r>
    <w:r>
      <w:rPr>
        <w:sz w:val="17"/>
        <w:szCs w:val="17"/>
      </w:rPr>
      <w:t xml:space="preserve"> </w:t>
    </w:r>
    <w:r>
      <w:rPr>
        <w:b/>
        <w:sz w:val="17"/>
        <w:szCs w:val="17"/>
      </w:rPr>
      <w:t>202.</w:t>
    </w:r>
    <w:r>
      <w:rPr>
        <w:sz w:val="17"/>
        <w:szCs w:val="17"/>
      </w:rPr>
      <w:t xml:space="preserve">,…                                                                                                                                           author and co-workers                                        </w:t>
    </w:r>
    <w:r>
      <w:rPr>
        <w:sz w:val="17"/>
        <w:szCs w:val="17"/>
      </w:rPr>
      <w:tab/>
    </w:r>
    <w:r>
      <w:rPr>
        <w:sz w:val="17"/>
        <w:szCs w:val="17"/>
      </w:rPr>
      <w:t xml:space="preserve">        </w:t>
    </w:r>
  </w:p>
  <w:p w14:paraId="54CE845D">
    <w:pPr>
      <w:shd w:val="clear" w:color="auto" w:fill="FFFFFF"/>
      <w:rPr>
        <w:b/>
        <w:color w:val="C00000"/>
        <w:sz w:val="18"/>
        <w:szCs w:val="18"/>
        <w:u w:val="single"/>
      </w:rPr>
    </w:pPr>
    <w:r>
      <w:rPr>
        <w:b/>
        <w:bCs/>
        <w:color w:val="C00000"/>
        <w:sz w:val="18"/>
        <w:szCs w:val="18"/>
        <w:u w:val="single"/>
        <w:shd w:val="clear" w:color="auto" w:fill="FFFFFF"/>
      </w:rPr>
      <w:t>DOI: http://dx.doi.org/10.32571/ijct.</w:t>
    </w:r>
    <w:r>
      <w:rPr>
        <w:b/>
        <w:color w:val="C00000"/>
        <w:sz w:val="18"/>
        <w:szCs w:val="18"/>
        <w:u w:val="single"/>
        <w:shd w:val="clear" w:color="auto" w:fill="FFFFFF"/>
      </w:rPr>
      <w:t>.............</w:t>
    </w:r>
    <w:r>
      <w:rPr>
        <w:b/>
        <w:color w:val="C00000"/>
        <w:sz w:val="18"/>
        <w:szCs w:val="18"/>
        <w:u w:val="single"/>
        <w:shd w:val="clear" w:color="auto" w:fill="FFFFFF"/>
      </w:rPr>
      <w:tab/>
    </w:r>
    <w:r>
      <w:rPr>
        <w:b/>
        <w:color w:val="C00000"/>
        <w:sz w:val="18"/>
        <w:szCs w:val="18"/>
        <w:u w:val="single"/>
        <w:shd w:val="clear" w:color="auto" w:fill="FFFFFF"/>
      </w:rPr>
      <w:tab/>
    </w:r>
    <w:r>
      <w:rPr>
        <w:b/>
        <w:color w:val="C00000"/>
        <w:sz w:val="18"/>
        <w:szCs w:val="18"/>
        <w:u w:val="single"/>
        <w:shd w:val="clear" w:color="auto" w:fill="FFFFFF"/>
      </w:rPr>
      <w:tab/>
    </w:r>
    <w:r>
      <w:rPr>
        <w:b/>
        <w:color w:val="C00000"/>
        <w:sz w:val="18"/>
        <w:szCs w:val="18"/>
        <w:u w:val="single"/>
        <w:shd w:val="clear" w:color="auto" w:fill="FFFFFF"/>
      </w:rPr>
      <w:tab/>
    </w:r>
    <w:r>
      <w:rPr>
        <w:b/>
        <w:color w:val="0070C0"/>
        <w:sz w:val="18"/>
        <w:szCs w:val="18"/>
        <w:u w:val="single"/>
      </w:rPr>
      <w:tab/>
    </w:r>
    <w:r>
      <w:rPr>
        <w:b/>
        <w:color w:val="0070C0"/>
        <w:sz w:val="18"/>
        <w:szCs w:val="18"/>
        <w:u w:val="single"/>
      </w:rPr>
      <w:tab/>
    </w:r>
    <w:r>
      <w:rPr>
        <w:b/>
        <w:color w:val="0070C0"/>
        <w:sz w:val="18"/>
        <w:szCs w:val="18"/>
        <w:u w:val="single"/>
      </w:rPr>
      <w:t xml:space="preserve">                       E-ISSN: 2602-277X</w:t>
    </w:r>
  </w:p>
  <w:p w14:paraId="11B8C485">
    <w:pPr>
      <w:shd w:val="clear" w:color="auto" w:fill="FFFFFF"/>
      <w:rPr>
        <w:b/>
        <w:color w:val="C00000"/>
        <w:sz w:val="18"/>
        <w:szCs w:val="18"/>
        <w:u w:val="singl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D14488"/>
    <w:multiLevelType w:val="multilevel"/>
    <w:tmpl w:val="10D144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8790E73"/>
    <w:multiLevelType w:val="multilevel"/>
    <w:tmpl w:val="18790E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CE45F01"/>
    <w:multiLevelType w:val="multilevel"/>
    <w:tmpl w:val="2CE45F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1955B82"/>
    <w:multiLevelType w:val="multilevel"/>
    <w:tmpl w:val="31955B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E145CBC"/>
    <w:multiLevelType w:val="multilevel"/>
    <w:tmpl w:val="5E145C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ABC79CA"/>
    <w:multiLevelType w:val="multilevel"/>
    <w:tmpl w:val="6ABC79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4"/>
  </w:num>
  <w:num w:numId="3">
    <w:abstractNumId w:val="0"/>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7340"/>
    <w:rsid w:val="00046D01"/>
    <w:rsid w:val="00080D34"/>
    <w:rsid w:val="000C12A8"/>
    <w:rsid w:val="001112C5"/>
    <w:rsid w:val="0016299D"/>
    <w:rsid w:val="001A0B5F"/>
    <w:rsid w:val="001D5981"/>
    <w:rsid w:val="001D741B"/>
    <w:rsid w:val="001F777F"/>
    <w:rsid w:val="002031A9"/>
    <w:rsid w:val="00237BF6"/>
    <w:rsid w:val="00276D6E"/>
    <w:rsid w:val="00282360"/>
    <w:rsid w:val="002C4B44"/>
    <w:rsid w:val="002C5819"/>
    <w:rsid w:val="002D48DC"/>
    <w:rsid w:val="002F7BD4"/>
    <w:rsid w:val="00306826"/>
    <w:rsid w:val="00392614"/>
    <w:rsid w:val="00397923"/>
    <w:rsid w:val="003E5E19"/>
    <w:rsid w:val="003F3825"/>
    <w:rsid w:val="00472444"/>
    <w:rsid w:val="00481897"/>
    <w:rsid w:val="00491414"/>
    <w:rsid w:val="004A6D23"/>
    <w:rsid w:val="004B2199"/>
    <w:rsid w:val="005072DE"/>
    <w:rsid w:val="00507766"/>
    <w:rsid w:val="005130EA"/>
    <w:rsid w:val="00513BE3"/>
    <w:rsid w:val="00550E32"/>
    <w:rsid w:val="00584736"/>
    <w:rsid w:val="005B2879"/>
    <w:rsid w:val="005B4959"/>
    <w:rsid w:val="005C7A88"/>
    <w:rsid w:val="005C7F6D"/>
    <w:rsid w:val="005E24CA"/>
    <w:rsid w:val="0064055B"/>
    <w:rsid w:val="0065288D"/>
    <w:rsid w:val="00663CD3"/>
    <w:rsid w:val="006E49FA"/>
    <w:rsid w:val="006F66E4"/>
    <w:rsid w:val="007642D9"/>
    <w:rsid w:val="007D5388"/>
    <w:rsid w:val="008A3F7B"/>
    <w:rsid w:val="00901420"/>
    <w:rsid w:val="00967CC7"/>
    <w:rsid w:val="00991762"/>
    <w:rsid w:val="009B67E4"/>
    <w:rsid w:val="009E5217"/>
    <w:rsid w:val="00A02F5F"/>
    <w:rsid w:val="00A04DCB"/>
    <w:rsid w:val="00A47340"/>
    <w:rsid w:val="00A603DF"/>
    <w:rsid w:val="00AA5EE0"/>
    <w:rsid w:val="00AB01C8"/>
    <w:rsid w:val="00AC473C"/>
    <w:rsid w:val="00AC477C"/>
    <w:rsid w:val="00AE1E97"/>
    <w:rsid w:val="00B41A28"/>
    <w:rsid w:val="00B42AAB"/>
    <w:rsid w:val="00B444D3"/>
    <w:rsid w:val="00B71640"/>
    <w:rsid w:val="00BE7440"/>
    <w:rsid w:val="00BF6313"/>
    <w:rsid w:val="00C11299"/>
    <w:rsid w:val="00C15925"/>
    <w:rsid w:val="00C80032"/>
    <w:rsid w:val="00CA7852"/>
    <w:rsid w:val="00CB755B"/>
    <w:rsid w:val="00CD2DB7"/>
    <w:rsid w:val="00D138D9"/>
    <w:rsid w:val="00D1526F"/>
    <w:rsid w:val="00D231B4"/>
    <w:rsid w:val="00D41E14"/>
    <w:rsid w:val="00D77749"/>
    <w:rsid w:val="00D81A69"/>
    <w:rsid w:val="00DE1DAC"/>
    <w:rsid w:val="00DE78EE"/>
    <w:rsid w:val="00E03997"/>
    <w:rsid w:val="00E27986"/>
    <w:rsid w:val="00E906AD"/>
    <w:rsid w:val="00EC4503"/>
    <w:rsid w:val="00EF7A19"/>
    <w:rsid w:val="00F17459"/>
    <w:rsid w:val="00F25D19"/>
    <w:rsid w:val="00F61BD8"/>
    <w:rsid w:val="00FA302A"/>
    <w:rsid w:val="00FA76A2"/>
    <w:rsid w:val="08F0235E"/>
    <w:rsid w:val="0CEA4533"/>
    <w:rsid w:val="0F48456B"/>
    <w:rsid w:val="146E6BA1"/>
    <w:rsid w:val="18C96438"/>
    <w:rsid w:val="1EBF26B6"/>
    <w:rsid w:val="219B593A"/>
    <w:rsid w:val="2516217B"/>
    <w:rsid w:val="27D4248F"/>
    <w:rsid w:val="2C697CDE"/>
    <w:rsid w:val="30523761"/>
    <w:rsid w:val="3FA413A2"/>
    <w:rsid w:val="3FDC65E5"/>
    <w:rsid w:val="48E33EC8"/>
    <w:rsid w:val="4F9C0587"/>
    <w:rsid w:val="50C70A77"/>
    <w:rsid w:val="56B665AD"/>
    <w:rsid w:val="57A27353"/>
    <w:rsid w:val="5F6201AF"/>
    <w:rsid w:val="6052454E"/>
    <w:rsid w:val="60AE61AC"/>
    <w:rsid w:val="64D4322B"/>
    <w:rsid w:val="66E46287"/>
    <w:rsid w:val="79351099"/>
    <w:rsid w:val="79F33230"/>
    <w:rsid w:val="7F0642D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tr-TR" w:eastAsia="tr-TR" w:bidi="ar-SA"/>
    </w:rPr>
  </w:style>
  <w:style w:type="paragraph" w:styleId="2">
    <w:name w:val="heading 1"/>
    <w:basedOn w:val="1"/>
    <w:next w:val="1"/>
    <w:link w:val="27"/>
    <w:qFormat/>
    <w:uiPriority w:val="9"/>
    <w:pPr>
      <w:keepNext/>
      <w:keepLines/>
      <w:spacing w:before="360" w:after="80" w:line="259" w:lineRule="auto"/>
      <w:outlineLvl w:val="0"/>
    </w:pPr>
    <w:rPr>
      <w:rFonts w:asciiTheme="majorHAnsi" w:hAnsiTheme="majorHAnsi" w:eastAsiaTheme="majorEastAsia" w:cstheme="majorBidi"/>
      <w:color w:val="2F5597" w:themeColor="accent1" w:themeShade="BF"/>
      <w:kern w:val="2"/>
      <w:sz w:val="40"/>
      <w:szCs w:val="40"/>
      <w:lang w:val="en-IN" w:eastAsia="en-US"/>
      <w14:ligatures w14:val="standardContextual"/>
    </w:rPr>
  </w:style>
  <w:style w:type="paragraph" w:styleId="3">
    <w:name w:val="heading 2"/>
    <w:basedOn w:val="1"/>
    <w:next w:val="1"/>
    <w:link w:val="28"/>
    <w:semiHidden/>
    <w:unhideWhenUsed/>
    <w:qFormat/>
    <w:uiPriority w:val="9"/>
    <w:pPr>
      <w:keepNext/>
      <w:keepLines/>
      <w:spacing w:before="160" w:after="80" w:line="259" w:lineRule="auto"/>
      <w:outlineLvl w:val="1"/>
    </w:pPr>
    <w:rPr>
      <w:rFonts w:asciiTheme="majorHAnsi" w:hAnsiTheme="majorHAnsi" w:eastAsiaTheme="majorEastAsia" w:cstheme="majorBidi"/>
      <w:color w:val="2F5597" w:themeColor="accent1" w:themeShade="BF"/>
      <w:kern w:val="2"/>
      <w:sz w:val="32"/>
      <w:szCs w:val="32"/>
      <w:lang w:val="en-IN" w:eastAsia="en-US"/>
      <w14:ligatures w14:val="standardContextual"/>
    </w:rPr>
  </w:style>
  <w:style w:type="paragraph" w:styleId="4">
    <w:name w:val="heading 3"/>
    <w:basedOn w:val="1"/>
    <w:next w:val="1"/>
    <w:link w:val="29"/>
    <w:semiHidden/>
    <w:unhideWhenUsed/>
    <w:qFormat/>
    <w:uiPriority w:val="9"/>
    <w:pPr>
      <w:keepNext/>
      <w:keepLines/>
      <w:spacing w:before="160" w:after="80" w:line="259" w:lineRule="auto"/>
      <w:outlineLvl w:val="2"/>
    </w:pPr>
    <w:rPr>
      <w:rFonts w:asciiTheme="minorHAnsi" w:hAnsiTheme="minorHAnsi" w:eastAsiaTheme="majorEastAsia" w:cstheme="majorBidi"/>
      <w:color w:val="2F5597" w:themeColor="accent1" w:themeShade="BF"/>
      <w:kern w:val="2"/>
      <w:sz w:val="28"/>
      <w:szCs w:val="28"/>
      <w:lang w:val="en-IN" w:eastAsia="en-US"/>
      <w14:ligatures w14:val="standardContextual"/>
    </w:rPr>
  </w:style>
  <w:style w:type="paragraph" w:styleId="5">
    <w:name w:val="heading 4"/>
    <w:basedOn w:val="1"/>
    <w:next w:val="1"/>
    <w:link w:val="30"/>
    <w:semiHidden/>
    <w:unhideWhenUsed/>
    <w:qFormat/>
    <w:uiPriority w:val="9"/>
    <w:pPr>
      <w:keepNext/>
      <w:keepLines/>
      <w:spacing w:before="80" w:after="40" w:line="259" w:lineRule="auto"/>
      <w:outlineLvl w:val="3"/>
    </w:pPr>
    <w:rPr>
      <w:rFonts w:asciiTheme="minorHAnsi" w:hAnsiTheme="minorHAnsi" w:eastAsiaTheme="majorEastAsia" w:cstheme="majorBidi"/>
      <w:i/>
      <w:iCs/>
      <w:color w:val="2F5597" w:themeColor="accent1" w:themeShade="BF"/>
      <w:kern w:val="2"/>
      <w:sz w:val="22"/>
      <w:szCs w:val="22"/>
      <w:lang w:val="en-IN" w:eastAsia="en-US"/>
      <w14:ligatures w14:val="standardContextual"/>
    </w:rPr>
  </w:style>
  <w:style w:type="paragraph" w:styleId="6">
    <w:name w:val="heading 5"/>
    <w:basedOn w:val="1"/>
    <w:next w:val="1"/>
    <w:link w:val="31"/>
    <w:unhideWhenUsed/>
    <w:qFormat/>
    <w:uiPriority w:val="0"/>
    <w:pPr>
      <w:keepNext/>
      <w:keepLines/>
      <w:spacing w:before="80" w:after="40" w:line="259" w:lineRule="auto"/>
      <w:outlineLvl w:val="4"/>
    </w:pPr>
    <w:rPr>
      <w:rFonts w:asciiTheme="minorHAnsi" w:hAnsiTheme="minorHAnsi" w:eastAsiaTheme="majorEastAsia" w:cstheme="majorBidi"/>
      <w:color w:val="2F5597" w:themeColor="accent1" w:themeShade="BF"/>
      <w:kern w:val="2"/>
      <w:sz w:val="22"/>
      <w:szCs w:val="22"/>
      <w:lang w:val="en-IN" w:eastAsia="en-US"/>
      <w14:ligatures w14:val="standardContextual"/>
    </w:rPr>
  </w:style>
  <w:style w:type="paragraph" w:styleId="7">
    <w:name w:val="heading 6"/>
    <w:basedOn w:val="1"/>
    <w:next w:val="1"/>
    <w:link w:val="32"/>
    <w:semiHidden/>
    <w:unhideWhenUsed/>
    <w:qFormat/>
    <w:uiPriority w:val="9"/>
    <w:pPr>
      <w:keepNext/>
      <w:keepLines/>
      <w:spacing w:before="40" w:line="259" w:lineRule="auto"/>
      <w:outlineLvl w:val="5"/>
    </w:pPr>
    <w:rPr>
      <w:rFonts w:asciiTheme="minorHAnsi" w:hAnsiTheme="minorHAnsi" w:eastAsiaTheme="majorEastAsia" w:cstheme="majorBidi"/>
      <w:i/>
      <w:iCs/>
      <w:color w:val="595959" w:themeColor="text1" w:themeTint="A6"/>
      <w:kern w:val="2"/>
      <w:sz w:val="22"/>
      <w:szCs w:val="22"/>
      <w:lang w:val="en-IN" w:eastAsia="en-US"/>
      <w14:textFill>
        <w14:solidFill>
          <w14:schemeClr w14:val="tx1">
            <w14:lumMod w14:val="65000"/>
            <w14:lumOff w14:val="35000"/>
          </w14:schemeClr>
        </w14:solidFill>
      </w14:textFill>
      <w14:ligatures w14:val="standardContextual"/>
    </w:rPr>
  </w:style>
  <w:style w:type="paragraph" w:styleId="8">
    <w:name w:val="heading 7"/>
    <w:basedOn w:val="1"/>
    <w:next w:val="1"/>
    <w:link w:val="33"/>
    <w:semiHidden/>
    <w:unhideWhenUsed/>
    <w:qFormat/>
    <w:uiPriority w:val="9"/>
    <w:pPr>
      <w:keepNext/>
      <w:keepLines/>
      <w:spacing w:before="40" w:line="259" w:lineRule="auto"/>
      <w:outlineLvl w:val="6"/>
    </w:pPr>
    <w:rPr>
      <w:rFonts w:asciiTheme="minorHAnsi" w:hAnsiTheme="minorHAnsi" w:eastAsiaTheme="majorEastAsia" w:cstheme="majorBidi"/>
      <w:color w:val="595959" w:themeColor="text1" w:themeTint="A6"/>
      <w:kern w:val="2"/>
      <w:sz w:val="22"/>
      <w:szCs w:val="22"/>
      <w:lang w:val="en-IN" w:eastAsia="en-US"/>
      <w14:textFill>
        <w14:solidFill>
          <w14:schemeClr w14:val="tx1">
            <w14:lumMod w14:val="65000"/>
            <w14:lumOff w14:val="35000"/>
          </w14:schemeClr>
        </w14:solidFill>
      </w14:textFill>
      <w14:ligatures w14:val="standardContextual"/>
    </w:rPr>
  </w:style>
  <w:style w:type="paragraph" w:styleId="9">
    <w:name w:val="heading 8"/>
    <w:basedOn w:val="1"/>
    <w:next w:val="1"/>
    <w:link w:val="34"/>
    <w:semiHidden/>
    <w:unhideWhenUsed/>
    <w:qFormat/>
    <w:uiPriority w:val="9"/>
    <w:pPr>
      <w:keepNext/>
      <w:keepLines/>
      <w:spacing w:line="259" w:lineRule="auto"/>
      <w:outlineLvl w:val="7"/>
    </w:pPr>
    <w:rPr>
      <w:rFonts w:asciiTheme="minorHAnsi" w:hAnsiTheme="minorHAnsi" w:eastAsiaTheme="majorEastAsia" w:cstheme="majorBidi"/>
      <w:i/>
      <w:iCs/>
      <w:color w:val="262626" w:themeColor="text1" w:themeTint="D9"/>
      <w:kern w:val="2"/>
      <w:sz w:val="22"/>
      <w:szCs w:val="22"/>
      <w:lang w:val="en-IN" w:eastAsia="en-US"/>
      <w14:textFill>
        <w14:solidFill>
          <w14:schemeClr w14:val="tx1">
            <w14:lumMod w14:val="85000"/>
            <w14:lumOff w14:val="15000"/>
          </w14:schemeClr>
        </w14:solidFill>
      </w14:textFill>
      <w14:ligatures w14:val="standardContextual"/>
    </w:rPr>
  </w:style>
  <w:style w:type="paragraph" w:styleId="10">
    <w:name w:val="heading 9"/>
    <w:basedOn w:val="1"/>
    <w:next w:val="1"/>
    <w:link w:val="35"/>
    <w:semiHidden/>
    <w:unhideWhenUsed/>
    <w:qFormat/>
    <w:uiPriority w:val="9"/>
    <w:pPr>
      <w:keepNext/>
      <w:keepLines/>
      <w:spacing w:line="259" w:lineRule="auto"/>
      <w:outlineLvl w:val="8"/>
    </w:pPr>
    <w:rPr>
      <w:rFonts w:asciiTheme="minorHAnsi" w:hAnsiTheme="minorHAnsi" w:eastAsiaTheme="majorEastAsia" w:cstheme="majorBidi"/>
      <w:color w:val="262626" w:themeColor="text1" w:themeTint="D9"/>
      <w:kern w:val="2"/>
      <w:sz w:val="22"/>
      <w:szCs w:val="22"/>
      <w:lang w:val="en-IN" w:eastAsia="en-US"/>
      <w14:textFill>
        <w14:solidFill>
          <w14:schemeClr w14:val="tx1">
            <w14:lumMod w14:val="85000"/>
            <w14:lumOff w14:val="15000"/>
          </w14:schemeClr>
        </w14:solidFill>
      </w14:textFill>
      <w14:ligatures w14:val="standardContextua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annotation reference"/>
    <w:semiHidden/>
    <w:qFormat/>
    <w:uiPriority w:val="99"/>
    <w:rPr>
      <w:sz w:val="16"/>
    </w:rPr>
  </w:style>
  <w:style w:type="paragraph" w:styleId="14">
    <w:name w:val="annotation text"/>
    <w:basedOn w:val="1"/>
    <w:link w:val="49"/>
    <w:semiHidden/>
    <w:qFormat/>
    <w:uiPriority w:val="99"/>
    <w:pPr>
      <w:ind w:firstLine="567"/>
      <w:jc w:val="both"/>
    </w:pPr>
    <w:rPr>
      <w:sz w:val="20"/>
      <w:szCs w:val="20"/>
      <w:lang w:val="en-GB" w:eastAsia="en-US"/>
    </w:rPr>
  </w:style>
  <w:style w:type="character" w:styleId="15">
    <w:name w:val="Emphasis"/>
    <w:basedOn w:val="11"/>
    <w:qFormat/>
    <w:uiPriority w:val="20"/>
    <w:rPr>
      <w:i/>
      <w:iCs/>
    </w:rPr>
  </w:style>
  <w:style w:type="paragraph" w:styleId="16">
    <w:name w:val="footer"/>
    <w:basedOn w:val="1"/>
    <w:link w:val="46"/>
    <w:unhideWhenUsed/>
    <w:qFormat/>
    <w:uiPriority w:val="99"/>
    <w:pPr>
      <w:tabs>
        <w:tab w:val="center" w:pos="4536"/>
        <w:tab w:val="right" w:pos="9072"/>
      </w:tabs>
    </w:pPr>
  </w:style>
  <w:style w:type="paragraph" w:styleId="17">
    <w:name w:val="header"/>
    <w:basedOn w:val="1"/>
    <w:link w:val="45"/>
    <w:unhideWhenUsed/>
    <w:qFormat/>
    <w:uiPriority w:val="99"/>
    <w:pPr>
      <w:tabs>
        <w:tab w:val="center" w:pos="4536"/>
        <w:tab w:val="right" w:pos="9072"/>
      </w:tabs>
    </w:pPr>
  </w:style>
  <w:style w:type="character" w:styleId="18">
    <w:name w:val="HTML Code"/>
    <w:basedOn w:val="11"/>
    <w:semiHidden/>
    <w:unhideWhenUsed/>
    <w:qFormat/>
    <w:uiPriority w:val="99"/>
    <w:rPr>
      <w:rFonts w:ascii="Courier New" w:hAnsi="Courier New" w:cs="Courier New"/>
      <w:sz w:val="20"/>
      <w:szCs w:val="20"/>
    </w:rPr>
  </w:style>
  <w:style w:type="paragraph" w:styleId="19">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20">
    <w:name w:val="Hyperlink"/>
    <w:basedOn w:val="11"/>
    <w:unhideWhenUsed/>
    <w:qFormat/>
    <w:uiPriority w:val="99"/>
    <w:rPr>
      <w:color w:val="0563C1" w:themeColor="hyperlink"/>
      <w:u w:val="single"/>
      <w14:textFill>
        <w14:solidFill>
          <w14:schemeClr w14:val="hlink"/>
        </w14:solidFill>
      </w14:textFill>
    </w:rPr>
  </w:style>
  <w:style w:type="paragraph" w:styleId="21">
    <w:name w:val="Normal (Web)"/>
    <w:basedOn w:val="1"/>
    <w:semiHidden/>
    <w:unhideWhenUsed/>
    <w:qFormat/>
    <w:uiPriority w:val="99"/>
  </w:style>
  <w:style w:type="paragraph" w:styleId="22">
    <w:name w:val="Plain Text"/>
    <w:basedOn w:val="1"/>
    <w:link w:val="47"/>
    <w:qFormat/>
    <w:uiPriority w:val="0"/>
    <w:rPr>
      <w:rFonts w:ascii="Courier New" w:hAnsi="Courier New"/>
      <w:sz w:val="20"/>
      <w:szCs w:val="20"/>
      <w:lang w:val="en-US" w:eastAsia="en-US"/>
    </w:rPr>
  </w:style>
  <w:style w:type="character" w:styleId="23">
    <w:name w:val="Strong"/>
    <w:basedOn w:val="11"/>
    <w:qFormat/>
    <w:uiPriority w:val="22"/>
    <w:rPr>
      <w:b/>
      <w:bCs/>
    </w:rPr>
  </w:style>
  <w:style w:type="paragraph" w:styleId="24">
    <w:name w:val="Subtitle"/>
    <w:basedOn w:val="1"/>
    <w:next w:val="1"/>
    <w:link w:val="37"/>
    <w:qFormat/>
    <w:uiPriority w:val="11"/>
    <w:pPr>
      <w:spacing w:after="160" w:line="259" w:lineRule="auto"/>
    </w:pPr>
    <w:rPr>
      <w:rFonts w:asciiTheme="minorHAnsi" w:hAnsiTheme="minorHAnsi" w:eastAsiaTheme="majorEastAsia" w:cstheme="majorBidi"/>
      <w:color w:val="595959" w:themeColor="text1" w:themeTint="A6"/>
      <w:spacing w:val="15"/>
      <w:kern w:val="2"/>
      <w:sz w:val="28"/>
      <w:szCs w:val="28"/>
      <w:lang w:val="en-IN" w:eastAsia="en-US"/>
      <w14:textFill>
        <w14:solidFill>
          <w14:schemeClr w14:val="tx1">
            <w14:lumMod w14:val="65000"/>
            <w14:lumOff w14:val="35000"/>
          </w14:schemeClr>
        </w14:solidFill>
      </w14:textFill>
      <w14:ligatures w14:val="standardContextual"/>
    </w:rPr>
  </w:style>
  <w:style w:type="table" w:styleId="25">
    <w:name w:val="Table Grid"/>
    <w:basedOn w:val="12"/>
    <w:qFormat/>
    <w:uiPriority w:val="39"/>
    <w:rPr>
      <w:lang w:val="tr-T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itle"/>
    <w:basedOn w:val="1"/>
    <w:next w:val="1"/>
    <w:link w:val="36"/>
    <w:qFormat/>
    <w:uiPriority w:val="10"/>
    <w:pPr>
      <w:spacing w:after="80"/>
      <w:contextualSpacing/>
    </w:pPr>
    <w:rPr>
      <w:rFonts w:asciiTheme="majorHAnsi" w:hAnsiTheme="majorHAnsi" w:eastAsiaTheme="majorEastAsia" w:cstheme="majorBidi"/>
      <w:spacing w:val="-10"/>
      <w:kern w:val="28"/>
      <w:sz w:val="56"/>
      <w:szCs w:val="56"/>
      <w:lang w:val="en-IN" w:eastAsia="en-US"/>
      <w14:ligatures w14:val="standardContextual"/>
    </w:rPr>
  </w:style>
  <w:style w:type="character" w:customStyle="1" w:styleId="2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30">
    <w:name w:val="Heading 4 Char"/>
    <w:basedOn w:val="11"/>
    <w:link w:val="5"/>
    <w:semiHidden/>
    <w:qFormat/>
    <w:uiPriority w:val="9"/>
    <w:rPr>
      <w:rFonts w:eastAsiaTheme="majorEastAsia" w:cstheme="majorBidi"/>
      <w:i/>
      <w:iCs/>
      <w:color w:val="2F5597" w:themeColor="accent1" w:themeShade="BF"/>
    </w:rPr>
  </w:style>
  <w:style w:type="character" w:customStyle="1" w:styleId="31">
    <w:name w:val="Heading 5 Char"/>
    <w:basedOn w:val="11"/>
    <w:link w:val="6"/>
    <w:qFormat/>
    <w:uiPriority w:val="0"/>
    <w:rPr>
      <w:rFonts w:eastAsiaTheme="majorEastAsia" w:cstheme="majorBidi"/>
      <w:color w:val="2F5597" w:themeColor="accent1" w:themeShade="BF"/>
    </w:rPr>
  </w:style>
  <w:style w:type="character" w:customStyle="1" w:styleId="3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6">
    <w:name w:val="Title Char"/>
    <w:basedOn w:val="11"/>
    <w:link w:val="26"/>
    <w:qFormat/>
    <w:uiPriority w:val="10"/>
    <w:rPr>
      <w:rFonts w:asciiTheme="majorHAnsi" w:hAnsiTheme="majorHAnsi" w:eastAsiaTheme="majorEastAsia" w:cstheme="majorBidi"/>
      <w:spacing w:val="-10"/>
      <w:kern w:val="28"/>
      <w:sz w:val="56"/>
      <w:szCs w:val="56"/>
    </w:rPr>
  </w:style>
  <w:style w:type="character" w:customStyle="1" w:styleId="37">
    <w:name w:val="Subtitle Char"/>
    <w:basedOn w:val="11"/>
    <w:link w:val="2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after="160" w:line="259" w:lineRule="auto"/>
      <w:jc w:val="center"/>
    </w:pPr>
    <w:rPr>
      <w:rFonts w:asciiTheme="minorHAnsi" w:hAnsiTheme="minorHAnsi" w:eastAsiaTheme="minorHAnsi" w:cstheme="minorBidi"/>
      <w:i/>
      <w:iCs/>
      <w:color w:val="404040" w:themeColor="text1" w:themeTint="BF"/>
      <w:kern w:val="2"/>
      <w:sz w:val="22"/>
      <w:szCs w:val="22"/>
      <w:lang w:val="en-IN" w:eastAsia="en-US"/>
      <w14:textFill>
        <w14:solidFill>
          <w14:schemeClr w14:val="tx1">
            <w14:lumMod w14:val="75000"/>
            <w14:lumOff w14:val="25000"/>
          </w14:schemeClr>
        </w14:solidFill>
      </w14:textFill>
      <w14:ligatures w14:val="standardContextual"/>
    </w:rPr>
  </w:style>
  <w:style w:type="character" w:customStyle="1" w:styleId="39">
    <w:name w:val="Quote Char"/>
    <w:basedOn w:val="11"/>
    <w:link w:val="38"/>
    <w:qFormat/>
    <w:uiPriority w:val="29"/>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34"/>
    <w:pPr>
      <w:spacing w:after="160" w:line="259" w:lineRule="auto"/>
      <w:ind w:left="720"/>
      <w:contextualSpacing/>
    </w:pPr>
    <w:rPr>
      <w:rFonts w:asciiTheme="minorHAnsi" w:hAnsiTheme="minorHAnsi" w:eastAsiaTheme="minorHAnsi" w:cstheme="minorBidi"/>
      <w:kern w:val="2"/>
      <w:sz w:val="22"/>
      <w:szCs w:val="22"/>
      <w:lang w:val="en-IN" w:eastAsia="en-US"/>
      <w14:ligatures w14:val="standardContextual"/>
    </w:rPr>
  </w:style>
  <w:style w:type="character" w:customStyle="1" w:styleId="41">
    <w:name w:val="Intense Emphasis1"/>
    <w:basedOn w:val="11"/>
    <w:qFormat/>
    <w:uiPriority w:val="21"/>
    <w:rPr>
      <w:i/>
      <w:iCs/>
      <w:color w:val="2F5597" w:themeColor="accent1" w:themeShade="BF"/>
    </w:rPr>
  </w:style>
  <w:style w:type="paragraph" w:styleId="42">
    <w:name w:val="Intense Quote"/>
    <w:basedOn w:val="1"/>
    <w:next w:val="1"/>
    <w:link w:val="43"/>
    <w:qFormat/>
    <w:uiPriority w:val="30"/>
    <w:pPr>
      <w:pBdr>
        <w:top w:val="single" w:color="2F5496" w:themeColor="accent1" w:themeShade="BF" w:sz="4" w:space="10"/>
        <w:bottom w:val="single" w:color="2F5496" w:themeColor="accent1" w:themeShade="BF" w:sz="4" w:space="10"/>
      </w:pBdr>
      <w:spacing w:before="360" w:after="360" w:line="259" w:lineRule="auto"/>
      <w:ind w:left="864" w:right="864"/>
      <w:jc w:val="center"/>
    </w:pPr>
    <w:rPr>
      <w:rFonts w:asciiTheme="minorHAnsi" w:hAnsiTheme="minorHAnsi" w:eastAsiaTheme="minorHAnsi" w:cstheme="minorBidi"/>
      <w:i/>
      <w:iCs/>
      <w:color w:val="2F5597" w:themeColor="accent1" w:themeShade="BF"/>
      <w:kern w:val="2"/>
      <w:sz w:val="22"/>
      <w:szCs w:val="22"/>
      <w:lang w:val="en-IN" w:eastAsia="en-US"/>
      <w14:ligatures w14:val="standardContextual"/>
    </w:rPr>
  </w:style>
  <w:style w:type="character" w:customStyle="1" w:styleId="43">
    <w:name w:val="Intense Quote Char"/>
    <w:basedOn w:val="11"/>
    <w:link w:val="42"/>
    <w:qFormat/>
    <w:uiPriority w:val="30"/>
    <w:rPr>
      <w:i/>
      <w:iCs/>
      <w:color w:val="2F5597" w:themeColor="accent1" w:themeShade="BF"/>
    </w:rPr>
  </w:style>
  <w:style w:type="character" w:customStyle="1" w:styleId="44">
    <w:name w:val="Intense Reference1"/>
    <w:basedOn w:val="11"/>
    <w:qFormat/>
    <w:uiPriority w:val="32"/>
    <w:rPr>
      <w:b/>
      <w:bCs/>
      <w:smallCaps/>
      <w:color w:val="2F5597" w:themeColor="accent1" w:themeShade="BF"/>
      <w:spacing w:val="5"/>
    </w:rPr>
  </w:style>
  <w:style w:type="character" w:customStyle="1" w:styleId="45">
    <w:name w:val="Header Char"/>
    <w:basedOn w:val="11"/>
    <w:link w:val="17"/>
    <w:qFormat/>
    <w:uiPriority w:val="99"/>
    <w:rPr>
      <w:rFonts w:ascii="Times New Roman" w:hAnsi="Times New Roman" w:eastAsia="Times New Roman" w:cs="Times New Roman"/>
      <w:kern w:val="0"/>
      <w:sz w:val="24"/>
      <w:szCs w:val="24"/>
      <w:lang w:val="tr-TR" w:eastAsia="tr-TR"/>
      <w14:ligatures w14:val="none"/>
    </w:rPr>
  </w:style>
  <w:style w:type="character" w:customStyle="1" w:styleId="46">
    <w:name w:val="Footer Char"/>
    <w:basedOn w:val="11"/>
    <w:link w:val="16"/>
    <w:qFormat/>
    <w:uiPriority w:val="99"/>
    <w:rPr>
      <w:rFonts w:ascii="Times New Roman" w:hAnsi="Times New Roman" w:eastAsia="Times New Roman" w:cs="Times New Roman"/>
      <w:kern w:val="0"/>
      <w:sz w:val="24"/>
      <w:szCs w:val="24"/>
      <w:lang w:val="tr-TR" w:eastAsia="tr-TR"/>
      <w14:ligatures w14:val="none"/>
    </w:rPr>
  </w:style>
  <w:style w:type="character" w:customStyle="1" w:styleId="47">
    <w:name w:val="Plain Text Char"/>
    <w:basedOn w:val="11"/>
    <w:link w:val="22"/>
    <w:qFormat/>
    <w:uiPriority w:val="0"/>
    <w:rPr>
      <w:rFonts w:ascii="Courier New" w:hAnsi="Courier New" w:eastAsia="Times New Roman" w:cs="Times New Roman"/>
      <w:kern w:val="0"/>
      <w:sz w:val="20"/>
      <w:szCs w:val="20"/>
      <w:lang w:val="en-US"/>
      <w14:ligatures w14:val="none"/>
    </w:rPr>
  </w:style>
  <w:style w:type="paragraph" w:customStyle="1" w:styleId="48">
    <w:name w:val="Default"/>
    <w:qFormat/>
    <w:uiPriority w:val="0"/>
    <w:pPr>
      <w:autoSpaceDE w:val="0"/>
      <w:autoSpaceDN w:val="0"/>
      <w:adjustRightInd w:val="0"/>
    </w:pPr>
    <w:rPr>
      <w:rFonts w:ascii="Times New Roman" w:hAnsi="Times New Roman" w:eastAsia="Times New Roman" w:cs="Times New Roman"/>
      <w:color w:val="000000"/>
      <w:sz w:val="24"/>
      <w:szCs w:val="24"/>
      <w:lang w:val="tr-TR" w:eastAsia="tr-TR" w:bidi="ar-SA"/>
    </w:rPr>
  </w:style>
  <w:style w:type="character" w:customStyle="1" w:styleId="49">
    <w:name w:val="Comment Text Char"/>
    <w:basedOn w:val="11"/>
    <w:link w:val="14"/>
    <w:semiHidden/>
    <w:qFormat/>
    <w:uiPriority w:val="99"/>
    <w:rPr>
      <w:rFonts w:ascii="Times New Roman" w:hAnsi="Times New Roman" w:eastAsia="Times New Roman" w:cs="Times New Roman"/>
      <w:kern w:val="0"/>
      <w:sz w:val="20"/>
      <w:szCs w:val="20"/>
      <w:lang w:val="en-GB"/>
      <w14:ligatures w14:val="none"/>
    </w:rPr>
  </w:style>
  <w:style w:type="paragraph" w:styleId="50">
    <w:name w:val="No Spacing"/>
    <w:qFormat/>
    <w:uiPriority w:val="1"/>
    <w:rPr>
      <w:rFonts w:asciiTheme="minorHAnsi" w:hAnsiTheme="minorHAnsi" w:eastAsiaTheme="minorHAnsi" w:cstheme="minorBidi"/>
      <w:sz w:val="22"/>
      <w:szCs w:val="22"/>
      <w:lang w:val="tr-TR" w:eastAsia="en-US" w:bidi="ar-SA"/>
    </w:rPr>
  </w:style>
  <w:style w:type="paragraph" w:customStyle="1" w:styleId="51">
    <w:name w:val="EndNote Bibliography"/>
    <w:basedOn w:val="1"/>
    <w:link w:val="52"/>
    <w:qFormat/>
    <w:uiPriority w:val="0"/>
    <w:pPr>
      <w:spacing w:after="200"/>
      <w:jc w:val="both"/>
    </w:pPr>
    <w:rPr>
      <w:rFonts w:ascii="Calibri" w:hAnsi="Calibri" w:eastAsiaTheme="minorHAnsi" w:cstheme="minorBidi"/>
      <w:sz w:val="22"/>
      <w:szCs w:val="22"/>
      <w:lang w:val="en-US" w:eastAsia="en-US"/>
    </w:rPr>
  </w:style>
  <w:style w:type="character" w:customStyle="1" w:styleId="52">
    <w:name w:val="EndNote Bibliography Char"/>
    <w:basedOn w:val="11"/>
    <w:link w:val="51"/>
    <w:qFormat/>
    <w:uiPriority w:val="0"/>
    <w:rPr>
      <w:rFonts w:ascii="Calibri" w:hAnsi="Calibri"/>
      <w:kern w:val="0"/>
      <w:lang w:val="en-US"/>
      <w14:ligatures w14:val="none"/>
    </w:rPr>
  </w:style>
  <w:style w:type="character" w:customStyle="1" w:styleId="53">
    <w:name w:val="Unresolved Mention1"/>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yperlink" Target="https://orcid.org/0000-0001-9746-444X" TargetMode="External"/><Relationship Id="rId8" Type="http://schemas.openxmlformats.org/officeDocument/2006/relationships/image" Target="media/image2.png"/><Relationship Id="rId7" Type="http://schemas.openxmlformats.org/officeDocument/2006/relationships/hyperlink" Target="https://orcid.org/0000-0001-8855-1058" TargetMode="Externa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GI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3070</Words>
  <Characters>17501</Characters>
  <Lines>145</Lines>
  <Paragraphs>41</Paragraphs>
  <TotalTime>386</TotalTime>
  <ScaleCrop>false</ScaleCrop>
  <LinksUpToDate>false</LinksUpToDate>
  <CharactersWithSpaces>20530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2026-02-11T20:15:00Z</dcterms:created>
  <dc:creator>Nayanika Das</dc:creator>
  <cp:lastModifiedBy>Nayanika</cp:lastModifiedBy>
  <cp:lastPrinted>2025-09-14T16:49:00Z</cp:lastPrinted>
  <dcterms:modified xsi:type="dcterms:W3CDTF">2026-02-13T18:21:14Z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ce6f8098-f843-40b0-96a6-825e379825a6</vt:lpwstr>
  </property>
  <property fmtid="{D5CDD505-2E9C-101B-9397-08002B2CF9AE}" pid="3" name="KSOProductBuildVer">
    <vt:lpwstr>1033-12.2.0.23155</vt:lpwstr>
  </property>
  <property fmtid="{D5CDD505-2E9C-101B-9397-08002B2CF9AE}" pid="4" name="ICV">
    <vt:lpwstr>6683E4E2190841338EEF65DEAFD75351_12</vt:lpwstr>
  </property>
</Properties>
</file>