
<file path=[Content_Types].xml><?xml version="1.0" encoding="utf-8"?>
<Types xmlns="http://schemas.openxmlformats.org/package/2006/content-types">
  <Default Extension="jpeg" ContentType="image/jpeg"/>
  <Default Extension="JPG" ContentType="image/.jpg"/>
  <Default Extension="png" ContentType="image/png"/>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1"/>
        <w:tblW w:w="0" w:type="auto"/>
        <w:tblInd w:w="108" w:type="dxa"/>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3"/>
        <w:gridCol w:w="6810"/>
        <w:gridCol w:w="1196"/>
      </w:tblGrid>
      <w:tr w14:paraId="726F6C23">
        <w:tblPrEx>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33" w:type="dxa"/>
          </w:tcPr>
          <w:p w14:paraId="34F75DDC">
            <w:pPr>
              <w:pStyle w:val="6"/>
              <w:rPr>
                <w:sz w:val="28"/>
                <w:szCs w:val="28"/>
                <w:lang w:val="en-US"/>
              </w:rPr>
            </w:pPr>
            <w:bookmarkStart w:id="0" w:name="_Hlk23005139"/>
            <w:bookmarkEnd w:id="0"/>
            <w:r>
              <w:drawing>
                <wp:anchor distT="0" distB="0" distL="114300" distR="114300" simplePos="0" relativeHeight="251663360" behindDoc="0" locked="0" layoutInCell="1" allowOverlap="1">
                  <wp:simplePos x="0" y="0"/>
                  <wp:positionH relativeFrom="column">
                    <wp:posOffset>-38100</wp:posOffset>
                  </wp:positionH>
                  <wp:positionV relativeFrom="paragraph">
                    <wp:posOffset>147955</wp:posOffset>
                  </wp:positionV>
                  <wp:extent cx="896620" cy="422910"/>
                  <wp:effectExtent l="0" t="0" r="0" b="0"/>
                  <wp:wrapTopAndBottom/>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896620" cy="422910"/>
                          </a:xfrm>
                          <a:prstGeom prst="rect">
                            <a:avLst/>
                          </a:prstGeom>
                        </pic:spPr>
                      </pic:pic>
                    </a:graphicData>
                  </a:graphic>
                </wp:anchor>
              </w:drawing>
            </w:r>
          </w:p>
        </w:tc>
        <w:tc>
          <w:tcPr>
            <w:tcW w:w="6810" w:type="dxa"/>
            <w:vAlign w:val="center"/>
          </w:tcPr>
          <w:p w14:paraId="10D88F13">
            <w:pPr>
              <w:pStyle w:val="15"/>
              <w:rPr>
                <w:b/>
                <w:sz w:val="28"/>
                <w:szCs w:val="14"/>
                <w:lang w:val="en-US"/>
              </w:rPr>
            </w:pPr>
          </w:p>
          <w:p w14:paraId="5EF590AF">
            <w:pPr>
              <w:pStyle w:val="15"/>
              <w:jc w:val="center"/>
              <w:rPr>
                <w:b/>
                <w:sz w:val="28"/>
                <w:szCs w:val="14"/>
                <w:lang w:val="en-US"/>
              </w:rPr>
            </w:pPr>
            <w:r>
              <w:rPr>
                <w:b/>
                <w:sz w:val="28"/>
                <w:szCs w:val="14"/>
                <w:lang w:val="en-US"/>
              </w:rPr>
              <w:t>International Journal of Chemistry and Technology</w:t>
            </w:r>
          </w:p>
          <w:p w14:paraId="0DBC800A">
            <w:pPr>
              <w:pStyle w:val="15"/>
              <w:jc w:val="center"/>
              <w:rPr>
                <w:sz w:val="18"/>
                <w:szCs w:val="18"/>
                <w:lang w:val="en-US"/>
              </w:rPr>
            </w:pPr>
          </w:p>
          <w:p w14:paraId="1388B9C8">
            <w:pPr>
              <w:pStyle w:val="15"/>
              <w:jc w:val="center"/>
              <w:rPr>
                <w:color w:val="0070C0"/>
                <w:sz w:val="18"/>
                <w:szCs w:val="18"/>
                <w:u w:val="single"/>
                <w:lang w:val="en-US"/>
              </w:rPr>
            </w:pPr>
            <w:r>
              <w:fldChar w:fldCharType="begin"/>
            </w:r>
            <w:r>
              <w:instrText xml:space="preserve"> HYPERLINK "http://dergipark.org.tr/ijct" </w:instrText>
            </w:r>
            <w:r>
              <w:fldChar w:fldCharType="separate"/>
            </w:r>
            <w:r>
              <w:rPr>
                <w:rStyle w:val="17"/>
                <w:rFonts w:eastAsiaTheme="majorEastAsia"/>
                <w:color w:val="0070C0"/>
                <w:sz w:val="18"/>
                <w:szCs w:val="18"/>
                <w:lang w:val="en-US"/>
              </w:rPr>
              <w:t>http://dergipark.org.tr/ijct</w:t>
            </w:r>
            <w:r>
              <w:rPr>
                <w:rStyle w:val="17"/>
                <w:rFonts w:eastAsiaTheme="majorEastAsia"/>
                <w:color w:val="0070C0"/>
                <w:sz w:val="18"/>
                <w:szCs w:val="18"/>
                <w:lang w:val="en-US"/>
              </w:rPr>
              <w:fldChar w:fldCharType="end"/>
            </w:r>
          </w:p>
          <w:p w14:paraId="7F4BDF55">
            <w:pPr>
              <w:pStyle w:val="15"/>
              <w:jc w:val="center"/>
              <w:rPr>
                <w:sz w:val="18"/>
                <w:szCs w:val="18"/>
                <w:lang w:val="en-US"/>
              </w:rPr>
            </w:pPr>
          </w:p>
          <w:p w14:paraId="1CC3AA21">
            <w:pPr>
              <w:pStyle w:val="15"/>
              <w:jc w:val="center"/>
              <w:rPr>
                <w:sz w:val="18"/>
                <w:szCs w:val="18"/>
                <w:lang w:val="en-US"/>
              </w:rPr>
            </w:pPr>
            <w:r>
              <w:rPr>
                <w:sz w:val="18"/>
                <w:szCs w:val="18"/>
                <w:lang w:val="en-US"/>
              </w:rPr>
              <w:t>Research Article</w:t>
            </w:r>
          </w:p>
        </w:tc>
        <w:tc>
          <w:tcPr>
            <w:tcW w:w="1196" w:type="dxa"/>
            <w:vAlign w:val="center"/>
          </w:tcPr>
          <w:p w14:paraId="19627D59">
            <w:pPr>
              <w:pStyle w:val="15"/>
              <w:jc w:val="center"/>
              <w:rPr>
                <w:b/>
                <w:sz w:val="28"/>
                <w:szCs w:val="28"/>
                <w:lang w:val="en-US"/>
              </w:rPr>
            </w:pPr>
            <w:r>
              <w:rPr>
                <w:sz w:val="21"/>
                <w:szCs w:val="21"/>
                <w:shd w:val="clear" w:color="auto" w:fill="FFFFFF"/>
              </w:rPr>
              <w:drawing>
                <wp:inline distT="0" distB="0" distL="0" distR="0">
                  <wp:extent cx="530225" cy="755015"/>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9" cstate="print"/>
                          <a:stretch>
                            <a:fillRect/>
                          </a:stretch>
                        </pic:blipFill>
                        <pic:spPr>
                          <a:xfrm>
                            <a:off x="0" y="0"/>
                            <a:ext cx="533969" cy="760491"/>
                          </a:xfrm>
                          <a:prstGeom prst="rect">
                            <a:avLst/>
                          </a:prstGeom>
                        </pic:spPr>
                      </pic:pic>
                    </a:graphicData>
                  </a:graphic>
                </wp:inline>
              </w:drawing>
            </w:r>
          </w:p>
        </w:tc>
      </w:tr>
    </w:tbl>
    <w:p w14:paraId="37946C62">
      <w:pPr>
        <w:rPr>
          <w:sz w:val="18"/>
          <w:szCs w:val="18"/>
          <w:lang w:val="en-US"/>
        </w:rPr>
      </w:pPr>
    </w:p>
    <w:p w14:paraId="3CCCDE46">
      <w:pPr>
        <w:spacing w:line="276" w:lineRule="auto"/>
        <w:jc w:val="center"/>
        <w:rPr>
          <w:b/>
          <w:bCs/>
          <w:sz w:val="28"/>
          <w:szCs w:val="28"/>
        </w:rPr>
      </w:pPr>
      <w:r>
        <w:rPr>
          <w:b/>
          <w:bCs/>
          <w:sz w:val="28"/>
          <w:szCs w:val="28"/>
        </w:rPr>
        <w:t>Computational Characterization of Natural Compounds as Selective Inhibitors of Mutant NRAS in Melanoma</w:t>
      </w:r>
    </w:p>
    <w:tbl>
      <w:tblPr>
        <w:tblStyle w:val="12"/>
        <w:tblW w:w="9434" w:type="dxa"/>
        <w:tblInd w:w="399" w:type="dxa"/>
        <w:tblLayout w:type="autofit"/>
        <w:tblCellMar>
          <w:top w:w="0" w:type="dxa"/>
          <w:left w:w="70" w:type="dxa"/>
          <w:bottom w:w="0" w:type="dxa"/>
          <w:right w:w="70" w:type="dxa"/>
        </w:tblCellMar>
      </w:tblPr>
      <w:tblGrid>
        <w:gridCol w:w="9434"/>
      </w:tblGrid>
      <w:tr w14:paraId="5FF59E23">
        <w:tblPrEx>
          <w:tblCellMar>
            <w:top w:w="0" w:type="dxa"/>
            <w:left w:w="70" w:type="dxa"/>
            <w:bottom w:w="0" w:type="dxa"/>
            <w:right w:w="70" w:type="dxa"/>
          </w:tblCellMar>
        </w:tblPrEx>
        <w:trPr>
          <w:trHeight w:val="718" w:hRule="atLeast"/>
        </w:trPr>
        <w:tc>
          <w:tcPr>
            <w:tcW w:w="9434" w:type="dxa"/>
          </w:tcPr>
          <w:p w14:paraId="53242F77">
            <w:pPr>
              <w:pStyle w:val="46"/>
              <w:rPr>
                <w:rFonts w:ascii="Times New Roman" w:hAnsi="Times New Roman" w:cs="Times New Roman"/>
                <w:sz w:val="18"/>
              </w:rPr>
            </w:pPr>
          </w:p>
          <w:p w14:paraId="2E3DDCBF">
            <w:pPr>
              <w:tabs>
                <w:tab w:val="left" w:pos="0"/>
              </w:tabs>
              <w:jc w:val="center"/>
              <w:rPr>
                <w:b/>
                <w:sz w:val="18"/>
                <w:szCs w:val="18"/>
                <w:vertAlign w:val="superscript"/>
              </w:rPr>
            </w:pPr>
            <w:r>
              <w:rPr>
                <w:b/>
                <w:sz w:val="18"/>
                <w:szCs w:val="18"/>
                <w:vertAlign w:val="superscript"/>
              </w:rPr>
              <w:drawing>
                <wp:inline distT="0" distB="0" distL="0" distR="0">
                  <wp:extent cx="137160" cy="137160"/>
                  <wp:effectExtent l="0" t="0" r="0" b="0"/>
                  <wp:docPr id="3" name="Resim 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37160" cy="137160"/>
                          </a:xfrm>
                          <a:prstGeom prst="rect">
                            <a:avLst/>
                          </a:prstGeom>
                          <a:noFill/>
                        </pic:spPr>
                      </pic:pic>
                    </a:graphicData>
                  </a:graphic>
                </wp:inline>
              </w:drawing>
            </w:r>
            <w:r>
              <w:t>Nayanika DAS</w:t>
            </w:r>
            <w:r>
              <w:rPr>
                <w:b/>
                <w:sz w:val="18"/>
                <w:szCs w:val="18"/>
                <w:vertAlign w:val="superscript"/>
              </w:rPr>
              <w:t>1*</w:t>
            </w:r>
            <w:r>
              <w:rPr>
                <w:b/>
                <w:sz w:val="18"/>
                <w:szCs w:val="18"/>
              </w:rPr>
              <w:t xml:space="preserve">,      </w:t>
            </w:r>
            <w:r>
              <w:rPr>
                <w:b/>
                <w:sz w:val="18"/>
                <w:szCs w:val="18"/>
                <w:vertAlign w:val="superscript"/>
              </w:rPr>
              <w:drawing>
                <wp:inline distT="0" distB="0" distL="0" distR="0">
                  <wp:extent cx="157480" cy="157480"/>
                  <wp:effectExtent l="0" t="0" r="0" b="0"/>
                  <wp:docPr id="4" name="Resim 4">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57480" cy="157480"/>
                          </a:xfrm>
                          <a:prstGeom prst="rect">
                            <a:avLst/>
                          </a:prstGeom>
                          <a:noFill/>
                        </pic:spPr>
                      </pic:pic>
                    </a:graphicData>
                  </a:graphic>
                </wp:inline>
              </w:drawing>
            </w:r>
            <w:r>
              <w:t>Vijay BALADHYE</w:t>
            </w:r>
            <w:r>
              <w:rPr>
                <w:b/>
                <w:sz w:val="18"/>
                <w:szCs w:val="18"/>
                <w:vertAlign w:val="superscript"/>
              </w:rPr>
              <w:t xml:space="preserve">1 </w:t>
            </w:r>
          </w:p>
          <w:p w14:paraId="164A502C">
            <w:pPr>
              <w:pStyle w:val="46"/>
              <w:jc w:val="center"/>
              <w:rPr>
                <w:rFonts w:ascii="Times New Roman" w:hAnsi="Times New Roman" w:cs="Times New Roman"/>
                <w:sz w:val="18"/>
                <w:lang w:val="en-US"/>
              </w:rPr>
            </w:pPr>
          </w:p>
          <w:p w14:paraId="3BF27815">
            <w:pPr>
              <w:pStyle w:val="46"/>
              <w:jc w:val="center"/>
              <w:rPr>
                <w:rFonts w:ascii="Times New Roman" w:hAnsi="Times New Roman" w:cs="Times New Roman"/>
                <w:sz w:val="18"/>
                <w:lang w:val="en-US"/>
              </w:rPr>
            </w:pPr>
          </w:p>
        </w:tc>
      </w:tr>
    </w:tbl>
    <w:p w14:paraId="6CC07CC1">
      <w:pPr>
        <w:tabs>
          <w:tab w:val="left" w:pos="0"/>
        </w:tabs>
        <w:jc w:val="center"/>
        <w:rPr>
          <w:i/>
          <w:sz w:val="28"/>
          <w:szCs w:val="28"/>
          <w:lang w:val="es-ES"/>
        </w:rPr>
      </w:pPr>
      <w:r>
        <w:rPr>
          <w:i/>
          <w:sz w:val="28"/>
          <w:szCs w:val="28"/>
          <w:vertAlign w:val="superscript"/>
          <w:lang w:val="es-ES"/>
        </w:rPr>
        <w:t>¹ Bioinformatics Centre, Savitribai Phule Pune University, Pune 411007, India</w:t>
      </w:r>
    </w:p>
    <w:p w14:paraId="48D87098">
      <w:pPr>
        <w:tabs>
          <w:tab w:val="left" w:pos="0"/>
        </w:tabs>
        <w:jc w:val="center"/>
        <w:rPr>
          <w:i/>
          <w:sz w:val="18"/>
          <w:szCs w:val="18"/>
          <w:lang w:val="es-ES"/>
        </w:rPr>
      </w:pPr>
      <w:r>
        <w:fldChar w:fldCharType="begin"/>
      </w:r>
      <w:r>
        <w:instrText xml:space="preserve"> HYPERLINK "mailto:nayanikadas0709@gmail.com" </w:instrText>
      </w:r>
      <w:r>
        <w:fldChar w:fldCharType="separate"/>
      </w:r>
      <w:r>
        <w:rPr>
          <w:rStyle w:val="17"/>
          <w:i/>
          <w:sz w:val="18"/>
          <w:szCs w:val="18"/>
          <w:lang w:val="es-ES"/>
        </w:rPr>
        <w:t>nayanikadas0709@gmail.com</w:t>
      </w:r>
      <w:r>
        <w:rPr>
          <w:rStyle w:val="17"/>
          <w:i/>
          <w:sz w:val="18"/>
          <w:szCs w:val="18"/>
          <w:lang w:val="es-ES"/>
        </w:rPr>
        <w:fldChar w:fldCharType="end"/>
      </w:r>
      <w:r>
        <w:rPr>
          <w:i/>
          <w:sz w:val="18"/>
          <w:szCs w:val="18"/>
          <w:lang w:val="es-ES"/>
        </w:rPr>
        <w:t xml:space="preserve"> </w:t>
      </w:r>
    </w:p>
    <w:p w14:paraId="61F8F791">
      <w:pPr>
        <w:keepNext w:val="0"/>
        <w:keepLines w:val="0"/>
        <w:widowControl/>
        <w:suppressLineNumbers w:val="0"/>
        <w:pBdr>
          <w:top w:val="none" w:color="auto" w:sz="0" w:space="0"/>
          <w:bottom w:val="none" w:color="auto" w:sz="0" w:space="0"/>
        </w:pBdr>
        <w:spacing w:before="0" w:beforeAutospacing="0" w:after="96" w:afterAutospacing="0"/>
        <w:ind w:left="3276" w:right="96"/>
        <w:jc w:val="left"/>
        <w:rPr>
          <w:rFonts w:hint="default" w:ascii="Times New Roman" w:hAnsi="Times New Roman" w:cs="Times New Roman"/>
          <w:color w:val="1155CC"/>
          <w:sz w:val="15"/>
          <w:szCs w:val="15"/>
          <w:u w:val="single"/>
        </w:rPr>
      </w:pPr>
      <w:r>
        <w:rPr>
          <w:i/>
          <w:sz w:val="18"/>
          <w:szCs w:val="18"/>
          <w:lang w:val="es-ES"/>
        </w:rPr>
        <w:t>*Corresponding author :</w:t>
      </w:r>
      <w:r>
        <w:rPr>
          <w:i/>
          <w:sz w:val="18"/>
          <w:szCs w:val="18"/>
          <w:lang w:val="es-ES"/>
        </w:rPr>
        <w:t xml:space="preserve"> </w:t>
      </w:r>
      <w:r>
        <w:rPr>
          <w:rFonts w:ascii="SimSun" w:hAnsi="SimSun" w:eastAsia="SimSun" w:cs="SimSun"/>
          <w:color w:val="202124"/>
          <w:kern w:val="0"/>
          <w:sz w:val="18"/>
          <w:szCs w:val="18"/>
          <w:lang w:val="en-US" w:eastAsia="zh-CN" w:bidi="ar"/>
          <w14:ligatures w14:val="none"/>
        </w:rPr>
        <w:drawing>
          <wp:inline distT="0" distB="0" distL="114300" distR="114300">
            <wp:extent cx="9525" cy="9525"/>
            <wp:effectExtent l="0" t="0" r="0"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13"/>
                    <a:stretch>
                      <a:fillRect/>
                    </a:stretch>
                  </pic:blipFill>
                  <pic:spPr>
                    <a:xfrm>
                      <a:off x="0" y="0"/>
                      <a:ext cx="9525" cy="9525"/>
                    </a:xfrm>
                    <a:prstGeom prst="rect">
                      <a:avLst/>
                    </a:prstGeom>
                    <a:noFill/>
                    <a:ln w="9525">
                      <a:noFill/>
                    </a:ln>
                  </pic:spPr>
                </pic:pic>
              </a:graphicData>
            </a:graphic>
          </wp:inline>
        </w:drawing>
      </w:r>
      <w:bookmarkStart w:id="1" w:name="_GoBack"/>
      <w:r>
        <w:rPr>
          <w:rFonts w:hint="default" w:ascii="Times New Roman" w:hAnsi="Times New Roman" w:eastAsia="SimSun" w:cs="Times New Roman"/>
          <w:color w:val="1155CC"/>
          <w:kern w:val="0"/>
          <w:sz w:val="16"/>
          <w:szCs w:val="16"/>
          <w:u w:val="single"/>
          <w:bdr w:val="none" w:color="auto" w:sz="0" w:space="0"/>
          <w:lang w:val="en-US" w:eastAsia="zh-CN" w:bidi="ar"/>
          <w14:ligatures w14:val="none"/>
        </w:rPr>
        <w:t>vijaybaladhye@gmail.com</w:t>
      </w:r>
      <w:bookmarkEnd w:id="1"/>
    </w:p>
    <w:p w14:paraId="00B6DF41">
      <w:pPr>
        <w:tabs>
          <w:tab w:val="left" w:pos="0"/>
        </w:tabs>
        <w:jc w:val="both"/>
        <w:rPr>
          <w:rFonts w:ascii="Cambria" w:hAnsi="Cambria"/>
          <w:sz w:val="20"/>
          <w:szCs w:val="20"/>
          <w:lang w:val="es-ES"/>
        </w:rPr>
      </w:pPr>
    </w:p>
    <w:p w14:paraId="3AD5D5E5">
      <w:pPr>
        <w:shd w:val="clear" w:color="auto" w:fill="FFFFFF"/>
        <w:rPr>
          <w:sz w:val="15"/>
          <w:szCs w:val="15"/>
          <w:lang w:val="en-US"/>
        </w:rPr>
      </w:pPr>
      <w:r>
        <w:rPr>
          <w:sz w:val="15"/>
          <w:szCs w:val="15"/>
          <w:lang w:val="en-US"/>
        </w:rPr>
        <w:t>------------------------------------------------------------------------------------------------------------------------------------------------------------------------------------------------</w:t>
      </w:r>
    </w:p>
    <w:p w14:paraId="387B96BF">
      <w:pPr>
        <w:spacing w:after="120"/>
        <w:jc w:val="both"/>
        <w:rPr>
          <w:b/>
          <w:sz w:val="18"/>
          <w:szCs w:val="18"/>
          <w:lang w:val="en-US"/>
        </w:rPr>
        <w:sectPr>
          <w:headerReference r:id="rId5" w:type="default"/>
          <w:footerReference r:id="rId6" w:type="default"/>
          <w:pgSz w:w="11907" w:h="16839"/>
          <w:pgMar w:top="1701" w:right="1134" w:bottom="1418" w:left="1134" w:header="709" w:footer="709" w:gutter="0"/>
          <w:pgNumType w:start="1"/>
          <w:cols w:space="708" w:num="1"/>
          <w:docGrid w:linePitch="360" w:charSpace="0"/>
        </w:sectPr>
      </w:pPr>
    </w:p>
    <w:p w14:paraId="7852EE15">
      <w:pPr>
        <w:jc w:val="both"/>
        <w:rPr>
          <w:b/>
          <w:color w:val="0070C0"/>
          <w:sz w:val="20"/>
          <w:szCs w:val="20"/>
          <w:lang w:val="en-US"/>
        </w:rPr>
      </w:pPr>
    </w:p>
    <w:p w14:paraId="20848D86">
      <w:pPr>
        <w:jc w:val="both"/>
        <w:rPr>
          <w:b/>
          <w:color w:val="0070C0"/>
          <w:sz w:val="20"/>
          <w:szCs w:val="20"/>
          <w:lang w:val="en-US"/>
        </w:rPr>
      </w:pPr>
    </w:p>
    <w:p w14:paraId="183604C1">
      <w:pPr>
        <w:jc w:val="both"/>
        <w:rPr>
          <w:b/>
          <w:color w:val="0070C0"/>
          <w:sz w:val="20"/>
          <w:szCs w:val="20"/>
          <w:lang w:val="en-US"/>
        </w:rPr>
        <w:sectPr>
          <w:type w:val="continuous"/>
          <w:pgSz w:w="11907" w:h="16839"/>
          <w:pgMar w:top="1701" w:right="1134" w:bottom="1135" w:left="1134" w:header="709" w:footer="709" w:gutter="0"/>
          <w:pgNumType w:start="176"/>
          <w:cols w:space="567" w:num="2"/>
          <w:docGrid w:linePitch="360" w:charSpace="0"/>
        </w:sectPr>
      </w:pPr>
    </w:p>
    <w:p w14:paraId="6B6126FE">
      <w:pPr>
        <w:jc w:val="both"/>
        <w:rPr>
          <w:b/>
          <w:color w:val="0070C0"/>
          <w:sz w:val="18"/>
          <w:szCs w:val="18"/>
          <w:lang w:val="en-US"/>
        </w:rPr>
      </w:pPr>
      <w:r>
        <w:rPr>
          <w:b/>
          <w:color w:val="0070C0"/>
          <w:sz w:val="18"/>
          <w:szCs w:val="18"/>
          <w:lang w:val="en-US"/>
        </w:rPr>
        <w:t xml:space="preserve">ABSTRACT </w:t>
      </w:r>
    </w:p>
    <w:p w14:paraId="0921D809">
      <w:pPr>
        <w:jc w:val="both"/>
        <w:rPr>
          <w:b/>
          <w:color w:val="0070C0"/>
          <w:sz w:val="18"/>
          <w:szCs w:val="18"/>
          <w:lang w:val="en-US"/>
        </w:rPr>
      </w:pPr>
    </w:p>
    <w:p w14:paraId="7B01FCC4">
      <w:pPr>
        <w:jc w:val="both"/>
        <w:rPr>
          <w:sz w:val="18"/>
          <w:szCs w:val="18"/>
        </w:rPr>
      </w:pPr>
      <w:r>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855D891">
      <w:pPr>
        <w:jc w:val="both"/>
        <w:rPr>
          <w:rFonts w:eastAsia="Calibri"/>
          <w:sz w:val="18"/>
          <w:szCs w:val="18"/>
          <w:lang w:val="en"/>
        </w:rPr>
      </w:pPr>
    </w:p>
    <w:p w14:paraId="164AE15E">
      <w:pPr>
        <w:jc w:val="both"/>
        <w:rPr>
          <w:rFonts w:eastAsia="Calibri"/>
          <w:sz w:val="18"/>
          <w:szCs w:val="18"/>
          <w:lang w:val="en-US"/>
        </w:rPr>
        <w:sectPr>
          <w:type w:val="continuous"/>
          <w:pgSz w:w="11907" w:h="16839"/>
          <w:pgMar w:top="1701" w:right="1134" w:bottom="1135" w:left="1134" w:header="709" w:footer="709" w:gutter="0"/>
          <w:pgNumType w:start="176"/>
          <w:cols w:space="567" w:num="1"/>
          <w:docGrid w:linePitch="360" w:charSpace="0"/>
        </w:sectPr>
      </w:pPr>
      <w:r>
        <w:rPr>
          <w:b/>
          <w:color w:val="0070C0"/>
          <w:sz w:val="18"/>
          <w:szCs w:val="18"/>
          <w:lang w:val="en-US"/>
        </w:rPr>
        <w:t>Keywords:</w:t>
      </w:r>
      <w:r>
        <w:rPr>
          <w:b/>
          <w:color w:val="4472C4" w:themeColor="accent1"/>
          <w:sz w:val="18"/>
          <w:szCs w:val="18"/>
          <w:lang w:val="en-US"/>
          <w14:textFill>
            <w14:solidFill>
              <w14:schemeClr w14:val="accent1"/>
            </w14:solidFill>
          </w14:textFill>
        </w:rPr>
        <w:t xml:space="preserve"> </w:t>
      </w:r>
      <w:r>
        <w:rPr>
          <w:sz w:val="18"/>
          <w:szCs w:val="18"/>
        </w:rPr>
        <w:t xml:space="preserve">NRAS, melanoma, molecular docking, MEK inhibitor. </w:t>
      </w:r>
    </w:p>
    <w:p w14:paraId="51B497DB">
      <w:pPr>
        <w:jc w:val="both"/>
        <w:rPr>
          <w:b/>
          <w:color w:val="0070C0"/>
          <w:sz w:val="20"/>
          <w:szCs w:val="20"/>
          <w:lang w:val="en-US"/>
        </w:rPr>
      </w:pPr>
    </w:p>
    <w:p w14:paraId="18329C0E">
      <w:pPr>
        <w:pStyle w:val="19"/>
        <w:rPr>
          <w:rFonts w:ascii="Times New Roman" w:hAnsi="Times New Roman"/>
          <w:sz w:val="15"/>
          <w:szCs w:val="15"/>
        </w:rPr>
        <w:sectPr>
          <w:type w:val="continuous"/>
          <w:pgSz w:w="11907" w:h="16839"/>
          <w:pgMar w:top="1701" w:right="1134" w:bottom="1135" w:left="1134" w:header="709" w:footer="709" w:gutter="0"/>
          <w:pgNumType w:start="176"/>
          <w:cols w:space="567" w:num="2"/>
          <w:docGrid w:linePitch="360" w:charSpace="0"/>
        </w:sectPr>
      </w:pPr>
    </w:p>
    <w:p w14:paraId="68998359">
      <w:pPr>
        <w:pStyle w:val="19"/>
        <w:rPr>
          <w:rFonts w:ascii="Times New Roman" w:hAnsi="Times New Roman"/>
          <w:sz w:val="15"/>
          <w:szCs w:val="15"/>
        </w:rPr>
        <w:sectPr>
          <w:type w:val="continuous"/>
          <w:pgSz w:w="11907" w:h="16839"/>
          <w:pgMar w:top="1701" w:right="1134" w:bottom="1135" w:left="1134" w:header="709" w:footer="709" w:gutter="0"/>
          <w:pgNumType w:start="176"/>
          <w:cols w:space="567" w:num="1"/>
          <w:docGrid w:linePitch="360" w:charSpace="0"/>
        </w:sectPr>
      </w:pPr>
      <w:r>
        <w:rPr>
          <w:rFonts w:ascii="Times New Roman" w:hAnsi="Times New Roman"/>
          <w:sz w:val="15"/>
          <w:szCs w:val="15"/>
        </w:rPr>
        <w:t>------------------------------------------------------------------------------------------------------------------------------------------------------------------------------------------------</w:t>
      </w:r>
    </w:p>
    <w:p w14:paraId="6450EB5C">
      <w:pPr>
        <w:tabs>
          <w:tab w:val="left" w:pos="284"/>
        </w:tabs>
        <w:jc w:val="both"/>
        <w:rPr>
          <w:sz w:val="18"/>
          <w:szCs w:val="18"/>
          <w:lang w:val="en-US"/>
        </w:rPr>
      </w:pPr>
    </w:p>
    <w:p w14:paraId="0F621632">
      <w:pPr>
        <w:tabs>
          <w:tab w:val="left" w:pos="284"/>
        </w:tabs>
        <w:jc w:val="both"/>
        <w:rPr>
          <w:sz w:val="18"/>
          <w:szCs w:val="18"/>
          <w:lang w:val="en-US"/>
        </w:rPr>
      </w:pPr>
    </w:p>
    <w:p w14:paraId="40FA339C">
      <w:pPr>
        <w:tabs>
          <w:tab w:val="left" w:pos="284"/>
        </w:tabs>
        <w:jc w:val="both"/>
        <w:rPr>
          <w:sz w:val="18"/>
          <w:szCs w:val="18"/>
          <w:lang w:val="en-US"/>
        </w:rPr>
        <w:sectPr>
          <w:type w:val="continuous"/>
          <w:pgSz w:w="11907" w:h="16839"/>
          <w:pgMar w:top="1701" w:right="1134" w:bottom="1135" w:left="1134" w:header="709" w:footer="709" w:gutter="0"/>
          <w:pgNumType w:start="176"/>
          <w:cols w:space="567" w:num="2"/>
          <w:docGrid w:linePitch="360" w:charSpace="0"/>
        </w:sectPr>
      </w:pPr>
    </w:p>
    <w:p w14:paraId="599AD165">
      <w:pPr>
        <w:pStyle w:val="19"/>
        <w:jc w:val="both"/>
        <w:rPr>
          <w:rFonts w:ascii="Times New Roman" w:hAnsi="Times New Roman"/>
          <w:sz w:val="15"/>
          <w:szCs w:val="15"/>
        </w:rPr>
        <w:sectPr>
          <w:type w:val="continuous"/>
          <w:pgSz w:w="11907" w:h="16839"/>
          <w:pgMar w:top="1701" w:right="992" w:bottom="1418" w:left="1134" w:header="709" w:footer="709" w:gutter="0"/>
          <w:pgNumType w:start="176"/>
          <w:cols w:space="708" w:num="1"/>
          <w:docGrid w:linePitch="360" w:charSpace="0"/>
        </w:sectPr>
      </w:pPr>
    </w:p>
    <w:p w14:paraId="235FF4D9">
      <w:pPr>
        <w:jc w:val="both"/>
        <w:rPr>
          <w:b/>
          <w:color w:val="0070C0"/>
          <w:sz w:val="20"/>
          <w:szCs w:val="20"/>
          <w:lang w:val="en-US"/>
        </w:rPr>
      </w:pPr>
      <w:r>
        <w:rPr>
          <w:b/>
          <w:color w:val="0070C0"/>
          <w:sz w:val="20"/>
          <w:szCs w:val="20"/>
          <w:lang w:val="en-US"/>
        </w:rPr>
        <w:t xml:space="preserve">1. INTRODUCTION </w:t>
      </w:r>
    </w:p>
    <w:p w14:paraId="3340E48D">
      <w:pPr>
        <w:jc w:val="both"/>
        <w:rPr>
          <w:b/>
          <w:color w:val="0070C0"/>
          <w:sz w:val="20"/>
          <w:szCs w:val="20"/>
          <w:lang w:val="en-US"/>
        </w:rPr>
      </w:pPr>
    </w:p>
    <w:p w14:paraId="45F8A437">
      <w:pPr>
        <w:jc w:val="both"/>
        <w:rPr>
          <w:sz w:val="20"/>
          <w:szCs w:val="20"/>
        </w:rPr>
      </w:pPr>
      <w:r>
        <w:rPr>
          <w:sz w:val="20"/>
          <w:szCs w:val="20"/>
        </w:rPr>
        <w:t>Melanoma is a deadly form of skin cancer occurring in humans and animals and is responsible for most deaths. At the basal level of the epidermis melanocytes are found, which produce the UV absorbing pigment melanin. (2) It's a combination of environmental and genetic factors, the majority of melanomas arise from somatic mutations acquired later in life. The four major types include Superficial spreading melanoma, Nodular melanoma, Lentigo maligna, Acral lentiginous (2) One of the most known mutated pathways in melanoma that has received a lot of importance for targeted therapeutic purposes, is the MAP kinase signalling pathway. (2) Mutations in each of the identified driver genes lead to deregulation of the MAPK/ERK pathway, leading to uncontrolled cell growth. BRAF subtype show 52% of somatic mutations tumours, following that is NRAS. (4) The average age of diagnosis is 65 but before age 50, the number of women diagnosed are more than men. Among all people diagnosed with melanoma of the skin, the 5-year relative survival rate from the time of diagnosis is approximately 95%, with survival rates reaching nearly 100% for localized cases. (5) 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 (6) Stage IV describes melanoma that has spread through the bloodstream to other parts of the body, such as distant locations like soft tissue, distant lymph nodes, or other organs like the lung, liver, brain, bone, or gastrointestinal tract. (6) There have been some clinically approved drugs against melanoma. Trametinib was basically designed for BRAF. But a few patients who had mutant NRAS affected cells were tested with this drug. (8) Patients with solid tumours were targeted using Binimetinib. It is a type of MEK inhibitor specifically for mutant NRAS (7). A cysteine residue of post translational modification of RAS are the Farnesyltransferase inhibitors. Initially they were developed for targeting NRAS in combination to other drugs. But since no potential output was obtained, clinical trials have stopped taking place now. (7) Cobimetinib shows a great yield of activity when combined with Vemurafenib. About more than 80% reactivity of BRAF 600-mutant was observed with this therapy. (7) A MEK associated inhibitor. In humans it shows a half way response to NRAS activity while in xenographs it is a therapy for RAS and RAF. Presently under clinical trials. Dabrafenib was developed for treatment against BRAF. (7)</w:t>
      </w:r>
    </w:p>
    <w:p w14:paraId="0419B7DF">
      <w:pPr>
        <w:jc w:val="both"/>
        <w:rPr>
          <w:sz w:val="20"/>
          <w:szCs w:val="20"/>
        </w:rPr>
      </w:pPr>
      <w:r>
        <w:rPr>
          <w:sz w:val="20"/>
          <w:szCs w:val="20"/>
        </w:rPr>
        <w:t>NRAS (Neuroblastoma Ras viral oncogene) gene produces NRAS protein. It acts like a switch for GTP and GDP molecules which is turned On and Off. The N-Ras protein must be turned on by attaching to a molecule of GTP. The N-Ras protein is turned off when it converts the GTP to GDP.When switch is turned off no activation and no signalling is seen by NRAS. This gene belongs to oncogenic family which are cancer causing genes. The proteins produced from NRAS are GTPases. These proteins play important roles in cell division, cell differentiation, cell proliferation. In N-Ras the differences cluster at residues 94–95 (helix 3) and 131–132 (helix 4) (1) A clear difference between isoforms of NRAS is the binding of (RBD) Ras Binding Domain. (1) The G-domain, which catalyses GTP hydrolysis and mediates downstream signalling, is 95% conserved between the Ras isoforms. (1) The Wild Type NRAS has a total of 189 amino acids. The overall structure can be divided into a catalytic G domain, which is comprised (residues 1-86) and (residues 87-166). This is the first crystal structure of NRAS solved at 1.67Å resolution. (1) A clear difference between isoforms of NRAS is the binding of (RBD) Ras Binding Domain. (1) The G-domain, which catalyses GTP hydrolysis and mediates downstream signalling, is 95% conserved between the Ras isoforms. The Wild Type NRAS has a total of 189 amino acids. The overall structure can be divided into a catalytic G domain, which is comprised (residues 1-86) and (residues 87-166). This is the first crystal structure of NRAS solved at 1.67Å resolution. (1) Although targeted inhibitors have been successfully developed for BRAF mutations, effective therapies directly targeting mutant NRAS are lacking, and existing MEK inhibitors have shown only modest clinical success. This unmet medical need motivates the search for novel inhibitors specifically against oncogenic NRAS. In this study, we utilized structure-based virtual screening and molecular docking to explore a comprehensive library of natural compounds from the ZINC database, computationally modeling clinically relevant NRAS mutations at codons 12, 13, and 61. Our screening identified several promising natural compounds with strong predicted binding affinity and stabilizing interactions with critical NRAS residues, providing a valuable starting point for further drug development. The findings underscore the power of computational approaches to accelerate early discovery of specific inhibitors targeting difficult oncogenic drivers in melanoma.</w:t>
      </w:r>
    </w:p>
    <w:p w14:paraId="26BF9ED6">
      <w:pPr>
        <w:jc w:val="both"/>
        <w:rPr>
          <w:rFonts w:eastAsia="Calibri"/>
          <w:b/>
          <w:color w:val="0070C0"/>
          <w:sz w:val="20"/>
          <w:szCs w:val="20"/>
          <w:lang w:val="en-US"/>
        </w:rPr>
      </w:pPr>
    </w:p>
    <w:p w14:paraId="72FCA8AC">
      <w:pPr>
        <w:jc w:val="both"/>
        <w:rPr>
          <w:rFonts w:eastAsia="Calibri"/>
          <w:b/>
          <w:color w:val="0070C0"/>
          <w:sz w:val="20"/>
          <w:szCs w:val="20"/>
          <w:lang w:val="en-US"/>
        </w:rPr>
      </w:pPr>
      <w:r>
        <w:rPr>
          <w:rFonts w:eastAsia="Calibri"/>
          <w:b/>
          <w:color w:val="0070C0"/>
          <w:sz w:val="20"/>
          <w:szCs w:val="20"/>
          <w:lang w:val="en-US"/>
        </w:rPr>
        <w:t>2.1. Methods</w:t>
      </w:r>
    </w:p>
    <w:p w14:paraId="61DFD62E">
      <w:pPr>
        <w:jc w:val="both"/>
        <w:rPr>
          <w:rFonts w:eastAsia="Calibri"/>
          <w:b/>
          <w:color w:val="0070C0"/>
          <w:sz w:val="20"/>
          <w:szCs w:val="20"/>
          <w:lang w:val="en-US"/>
        </w:rPr>
      </w:pPr>
    </w:p>
    <w:p w14:paraId="63287AC0">
      <w:pPr>
        <w:jc w:val="both"/>
        <w:rPr>
          <w:rFonts w:eastAsia="Calibri"/>
          <w:b/>
          <w:color w:val="2E75B6" w:themeColor="accent5" w:themeShade="BF"/>
          <w:sz w:val="20"/>
          <w:szCs w:val="20"/>
          <w:lang w:val="en-US"/>
        </w:rPr>
      </w:pPr>
      <w:r>
        <w:rPr>
          <w:rFonts w:eastAsia="Calibri"/>
          <w:b/>
          <w:color w:val="0070C0"/>
          <w:sz w:val="20"/>
          <w:szCs w:val="20"/>
          <w:lang w:val="en-US"/>
        </w:rPr>
        <w:t xml:space="preserve">2.1.1. </w:t>
      </w:r>
      <w:r>
        <w:rPr>
          <w:rFonts w:eastAsia="TimesNewRomanPSMT"/>
          <w:b/>
          <w:bCs/>
          <w:color w:val="2E75B6" w:themeColor="accent5" w:themeShade="BF"/>
          <w:sz w:val="20"/>
          <w:szCs w:val="20"/>
        </w:rPr>
        <w:t>Melanoma Pathway</w:t>
      </w:r>
    </w:p>
    <w:p w14:paraId="22FA0200">
      <w:pPr>
        <w:jc w:val="both"/>
        <w:rPr>
          <w:rFonts w:eastAsia="TimesNewRomanPSMT"/>
          <w:sz w:val="20"/>
          <w:szCs w:val="20"/>
        </w:rPr>
      </w:pPr>
    </w:p>
    <w:p w14:paraId="5C554D7C">
      <w:pPr>
        <w:jc w:val="both"/>
        <w:rPr>
          <w:rFonts w:eastAsia="TimesNewRomanPSMT"/>
          <w:sz w:val="20"/>
          <w:szCs w:val="20"/>
        </w:rPr>
      </w:pPr>
      <w:r>
        <w:rPr>
          <w:rFonts w:eastAsia="TimesNewRomanPSMT"/>
          <w:sz w:val="20"/>
          <w:szCs w:val="20"/>
        </w:rPr>
        <w:t>The KEGG database (cite) was used to study the melanoma pathway. Dysregulation of MAPK pathway is very common in many cancers due to mutations in RAS genes (Inamdar GS, Madhunapantula SV, Robertson GP 2010). The MAPK pathway is one of the major pathways involved in progress of melanoma and so it was chosen. It harbours BRAF, NRAS, ERK and MEK as it’s components. About 28% of the mutations are seen in NRAS of this pathway (3).</w:t>
      </w:r>
    </w:p>
    <w:p w14:paraId="15691FAF">
      <w:pPr>
        <w:jc w:val="both"/>
        <w:rPr>
          <w:rFonts w:eastAsia="Calibri"/>
          <w:b/>
          <w:color w:val="0070C0"/>
          <w:sz w:val="20"/>
          <w:szCs w:val="20"/>
        </w:rPr>
      </w:pPr>
    </w:p>
    <w:p w14:paraId="4F8A87F4">
      <w:pPr>
        <w:jc w:val="both"/>
        <w:rPr>
          <w:rFonts w:eastAsia="Calibri"/>
          <w:b/>
          <w:color w:val="0070C0"/>
          <w:sz w:val="20"/>
          <w:szCs w:val="20"/>
          <w:lang w:val="en-US"/>
        </w:rPr>
      </w:pPr>
      <w:r>
        <w:rPr>
          <w:rFonts w:eastAsia="Calibri"/>
          <w:b/>
          <w:color w:val="0070C0"/>
          <w:sz w:val="20"/>
          <w:szCs w:val="20"/>
          <w:lang w:val="en-US"/>
        </w:rPr>
        <w:t xml:space="preserve">2.1.2. Protein Preparation </w:t>
      </w:r>
    </w:p>
    <w:p w14:paraId="108E89CA">
      <w:pPr>
        <w:jc w:val="both"/>
        <w:rPr>
          <w:rFonts w:eastAsia="Calibri"/>
          <w:b/>
          <w:color w:val="0070C0"/>
          <w:sz w:val="20"/>
          <w:szCs w:val="20"/>
          <w:lang w:val="en-US"/>
        </w:rPr>
      </w:pPr>
    </w:p>
    <w:p w14:paraId="060D7640">
      <w:pPr>
        <w:jc w:val="both"/>
        <w:rPr>
          <w:rFonts w:eastAsia="TimesNewRomanPSMT"/>
          <w:sz w:val="20"/>
          <w:szCs w:val="20"/>
        </w:rPr>
      </w:pPr>
      <w:r>
        <w:rPr>
          <w:rFonts w:eastAsia="TimesNewRomanPSMT"/>
          <w:sz w:val="20"/>
          <w:szCs w:val="20"/>
        </w:rPr>
        <w:t xml:space="preserve">The wild type NRAS structure with best resolution and well curated in Uniprot was selected. The PDB ID of this structure was 5UHV and Uniport ID was P01111. NRAS is a small GTPase structure. A clear difference between isoforms of N-Ras is the binding of Ras Binding Domain. (1) NRAS has only A chain associated with it. Hence, docking was carried out on the A chain of NRAS on the active site. The G-domain, catalysing GTP hydrolysis and mediating downstream signalling is 95% conserved between the Ras isoforms. (1) The Wild Type NRAS has a total of 189 amino acids. The overall structure can be divided into a catalytic G domain, which is comprised (residues 1-86) and (residues 87-166). </w:t>
      </w:r>
    </w:p>
    <w:p w14:paraId="7C2C7665">
      <w:pPr>
        <w:jc w:val="both"/>
        <w:rPr>
          <w:rFonts w:eastAsia="TimesNewRomanPSMT"/>
          <w:sz w:val="20"/>
          <w:szCs w:val="20"/>
        </w:rPr>
      </w:pPr>
    </w:p>
    <w:p w14:paraId="7B523BC4">
      <w:pPr>
        <w:jc w:val="both"/>
        <w:rPr>
          <w:rFonts w:eastAsia="Calibri"/>
          <w:b/>
          <w:color w:val="0070C0"/>
          <w:sz w:val="20"/>
          <w:szCs w:val="20"/>
          <w:lang w:val="en-US"/>
        </w:rPr>
      </w:pPr>
      <w:r>
        <w:rPr>
          <w:rFonts w:eastAsia="Calibri"/>
          <w:b/>
          <w:color w:val="0070C0"/>
          <w:sz w:val="20"/>
          <w:szCs w:val="20"/>
          <w:lang w:val="en-US"/>
        </w:rPr>
        <w:t>2.1.3.</w:t>
      </w:r>
      <w:r>
        <w:t xml:space="preserve"> </w:t>
      </w:r>
      <w:r>
        <w:rPr>
          <w:rFonts w:eastAsia="Calibri"/>
          <w:b/>
          <w:color w:val="0070C0"/>
          <w:sz w:val="20"/>
          <w:szCs w:val="20"/>
          <w:lang w:val="en-US"/>
        </w:rPr>
        <w:t xml:space="preserve">Protein Structure Validation </w:t>
      </w:r>
    </w:p>
    <w:p w14:paraId="7D58A1C7">
      <w:pPr>
        <w:jc w:val="both"/>
        <w:rPr>
          <w:rFonts w:eastAsia="Calibri"/>
          <w:sz w:val="20"/>
          <w:szCs w:val="20"/>
          <w:lang w:val="en-US"/>
        </w:rPr>
      </w:pPr>
    </w:p>
    <w:p w14:paraId="6F0AB21C">
      <w:pPr>
        <w:jc w:val="both"/>
        <w:rPr>
          <w:sz w:val="20"/>
          <w:szCs w:val="20"/>
        </w:rPr>
      </w:pPr>
      <w:r>
        <w:rPr>
          <w:sz w:val="20"/>
          <w:szCs w:val="20"/>
        </w:rPr>
        <w:t>ProSA is frequently in use for protein structure validation. ProSA calculates an overall quality score for a specific input structure. The z-score indicates overall model quality. (9) Its value is displayed in a plot that contains the z-scores of all protein chains in current PDB. ProSA-web visualizes the 3D structure of the input protein using the molecule viewer Jmol. ProSA was used for validation of the structure of Mutant NRAS build in SPDBV. PROCHECK (10) being a model evaluation and validation tool. PROCHECK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PROCHECK was used for validation of the structure of Mutant NRAS build in SPDBV. Database used for obtaining natural compounds for screening was Zinc DB (11). Natural Products occupy an important part of small molecule space because they are recognized by at least two proteins: the end of their biosynthetic pathway and their evolutionary biological target. The natural compounds that were to be screened were obtained from Zinc Database natural product library.</w:t>
      </w:r>
    </w:p>
    <w:p w14:paraId="4CE86272">
      <w:pPr>
        <w:jc w:val="both"/>
        <w:rPr>
          <w:rFonts w:eastAsia="Calibri"/>
          <w:b/>
          <w:color w:val="0070C0"/>
          <w:sz w:val="20"/>
          <w:szCs w:val="20"/>
          <w:lang w:val="en-US"/>
        </w:rPr>
      </w:pPr>
    </w:p>
    <w:p w14:paraId="13398321">
      <w:pPr>
        <w:jc w:val="both"/>
        <w:rPr>
          <w:rFonts w:eastAsia="Calibri"/>
          <w:b/>
          <w:color w:val="0070C0"/>
          <w:sz w:val="20"/>
          <w:szCs w:val="20"/>
          <w:lang w:val="en-US"/>
        </w:rPr>
      </w:pPr>
      <w:r>
        <w:rPr>
          <w:rFonts w:eastAsia="Calibri"/>
          <w:b/>
          <w:color w:val="0070C0"/>
          <w:sz w:val="20"/>
          <w:szCs w:val="20"/>
          <w:lang w:val="en-US"/>
        </w:rPr>
        <w:t>2.1.4.</w:t>
      </w:r>
      <w:r>
        <w:t xml:space="preserve"> </w:t>
      </w:r>
      <w:r>
        <w:rPr>
          <w:rFonts w:eastAsia="Calibri"/>
          <w:b/>
          <w:color w:val="0070C0"/>
          <w:sz w:val="20"/>
          <w:szCs w:val="20"/>
          <w:lang w:val="en-US"/>
        </w:rPr>
        <w:t>Compound Library Curation and Filtering</w:t>
      </w:r>
    </w:p>
    <w:p w14:paraId="5502F66D">
      <w:pPr>
        <w:jc w:val="both"/>
        <w:rPr>
          <w:rFonts w:eastAsia="Calibri"/>
          <w:b/>
          <w:color w:val="0070C0"/>
          <w:sz w:val="20"/>
          <w:szCs w:val="20"/>
          <w:lang w:val="en-US"/>
        </w:rPr>
      </w:pPr>
    </w:p>
    <w:p w14:paraId="5FA49AC1">
      <w:pPr>
        <w:jc w:val="both"/>
        <w:rPr>
          <w:rFonts w:eastAsia="Calibri"/>
          <w:bCs/>
          <w:sz w:val="20"/>
          <w:szCs w:val="20"/>
          <w:lang w:val="en-US"/>
        </w:rPr>
      </w:pPr>
      <w:r>
        <w:rPr>
          <w:rFonts w:eastAsia="Calibri"/>
          <w:bCs/>
          <w:sz w:val="20"/>
          <w:szCs w:val="20"/>
          <w:lang w:val="en-US"/>
        </w:rPr>
        <w:t>FAFdrugs4 FAF-Drugs4 (Free ADME-Tox Filtering Tool) is a program for filtering large compound libraries prior to in silico screening experiments or related modelling studies. (12) The tool can perform computational prediction of some ADME-Tox properties (Adsorption, Distribution, Metabolism, Excretion and Toxicity) in order to assist hit selection before chemical synthesis or ordering (12). 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increase affinity. PAINS moieties, standing for Pan Assay Interference Compounds, are compounds that frequently occurred in biochemical high throughput screens. PyRx is a virtual screening tool which was used for docking of natural compounds. This uses AutoDock 4.2 suite for docking. The algorithm used is Lamarckian GA. The tool was first evaluated using NRAS mutant structure and the ligand phosphoaminophosphonic acid-guanylate ester which is                 a non-hydrolyzable analog of GTP. The nucleotide is a potent stimulator of adenylate cyclase was docked. The  RMSD tolerance of 2.0 Å which indicated the good stability of the software. The Grid box was set to 50 x 50  x 50 with spacing of 0.3750 Å. All the ligands chosen were converted to pdbqt format in PyRx tool. The Autodock was set to run after which there were 10 poses for each compound. Only the ones with the best binding score were chosen and tabulated for each compound in the sdf files. This generated the best protein ligand binding for further analysis. Analysis of docking results was done using LigPlot+. It is an advanced version of LIGPLOT program for automatic generation of 2D ligand-protein interaction diagrams (13). 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77947CA5">
      <w:pPr>
        <w:jc w:val="both"/>
        <w:rPr>
          <w:rFonts w:eastAsia="Calibri"/>
          <w:bCs/>
          <w:sz w:val="20"/>
          <w:szCs w:val="20"/>
          <w:lang w:val="en-US"/>
        </w:rPr>
      </w:pPr>
    </w:p>
    <w:p w14:paraId="085FDF86">
      <w:pPr>
        <w:jc w:val="both"/>
        <w:rPr>
          <w:rFonts w:eastAsia="Calibri"/>
          <w:color w:val="0070C0"/>
          <w:sz w:val="20"/>
          <w:szCs w:val="20"/>
          <w:lang w:val="en-US"/>
        </w:rPr>
      </w:pPr>
      <w:r>
        <w:rPr>
          <w:rFonts w:eastAsia="Calibri"/>
          <w:b/>
          <w:color w:val="0070C0"/>
          <w:sz w:val="20"/>
          <w:szCs w:val="20"/>
          <w:lang w:val="en-US"/>
        </w:rPr>
        <w:t>3. RESULTS and DISCUSSION</w:t>
      </w:r>
    </w:p>
    <w:p w14:paraId="11FBB388">
      <w:pPr>
        <w:autoSpaceDE w:val="0"/>
        <w:autoSpaceDN w:val="0"/>
        <w:adjustRightInd w:val="0"/>
        <w:jc w:val="both"/>
        <w:rPr>
          <w:b/>
          <w:color w:val="000000"/>
          <w:sz w:val="20"/>
          <w:szCs w:val="20"/>
          <w:shd w:val="clear" w:color="auto" w:fill="FFFFFF"/>
        </w:rPr>
      </w:pPr>
    </w:p>
    <w:p w14:paraId="00231BE3">
      <w:pPr>
        <w:autoSpaceDE w:val="0"/>
        <w:autoSpaceDN w:val="0"/>
        <w:adjustRightInd w:val="0"/>
        <w:jc w:val="both"/>
        <w:rPr>
          <w:color w:val="000000"/>
          <w:sz w:val="20"/>
          <w:szCs w:val="20"/>
          <w:shd w:val="clear" w:color="auto" w:fill="FFFFFF"/>
          <w:lang w:val="yo-NG"/>
        </w:rPr>
      </w:pPr>
      <w:r>
        <w:rPr>
          <w:rFonts w:eastAsia="Calibri"/>
          <w:b/>
          <w:color w:val="0070C0"/>
          <w:sz w:val="20"/>
          <w:szCs w:val="20"/>
          <w:lang w:val="en-US"/>
        </w:rPr>
        <w:t>3.1. Validation of mutant NRAS models</w:t>
      </w:r>
      <w:r>
        <w:rPr>
          <w:color w:val="000000"/>
          <w:sz w:val="20"/>
          <w:szCs w:val="20"/>
          <w:shd w:val="clear" w:color="auto" w:fill="FFFFFF"/>
          <w:lang w:val="yo-NG"/>
        </w:rPr>
        <w:tab/>
      </w:r>
    </w:p>
    <w:p w14:paraId="5DF17EC6">
      <w:pPr>
        <w:jc w:val="both"/>
        <w:rPr>
          <w:sz w:val="20"/>
          <w:szCs w:val="20"/>
        </w:rPr>
      </w:pPr>
    </w:p>
    <w:p w14:paraId="51B56108">
      <w:pPr>
        <w:jc w:val="both"/>
        <w:rPr>
          <w:sz w:val="20"/>
          <w:szCs w:val="20"/>
        </w:rPr>
      </w:pPr>
      <w:r>
        <w:rPr>
          <w:sz w:val="20"/>
          <w:szCs w:val="20"/>
        </w:rPr>
        <w:t>The mutant NRAS variants (G12D, G13D, Q61R) were generated in SwissPDB Viewer using the wild-type structure (PDB ID: 5UHV). Structural quality checks confirmed the reliability of these models. PROCHECK analysis showed that over 90% of residues were located in favoured regions of the Ramachandran plot, while only a minor fraction occupied disallowed regions. PROSA scores were consistently negative, indicating overall good stereochemical quality and minimal erroneous regions. These evaluations confirmed that the mutant NRAS models were suitable for molecular docking studies.</w:t>
      </w:r>
    </w:p>
    <w:p w14:paraId="5225C4A3">
      <w:pPr>
        <w:jc w:val="both"/>
        <w:rPr>
          <w:sz w:val="20"/>
          <w:szCs w:val="20"/>
        </w:rPr>
      </w:pPr>
      <w:r>
        <w:drawing>
          <wp:anchor distT="0" distB="0" distL="0" distR="0" simplePos="0" relativeHeight="251665408" behindDoc="0" locked="0" layoutInCell="1" allowOverlap="1">
            <wp:simplePos x="0" y="0"/>
            <wp:positionH relativeFrom="margin">
              <wp:posOffset>4710430</wp:posOffset>
            </wp:positionH>
            <wp:positionV relativeFrom="paragraph">
              <wp:posOffset>257175</wp:posOffset>
            </wp:positionV>
            <wp:extent cx="1214120" cy="970280"/>
            <wp:effectExtent l="0" t="0" r="5080" b="1270"/>
            <wp:wrapTopAndBottom/>
            <wp:docPr id="13"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jpeg"/>
                    <pic:cNvPicPr>
                      <a:picLocks noChangeAspect="1"/>
                    </pic:cNvPicPr>
                  </pic:nvPicPr>
                  <pic:blipFill>
                    <a:blip r:embed="rId14" cstate="print"/>
                    <a:stretch>
                      <a:fillRect/>
                    </a:stretch>
                  </pic:blipFill>
                  <pic:spPr>
                    <a:xfrm>
                      <a:off x="0" y="0"/>
                      <a:ext cx="1214120" cy="970280"/>
                    </a:xfrm>
                    <a:prstGeom prst="rect">
                      <a:avLst/>
                    </a:prstGeom>
                  </pic:spPr>
                </pic:pic>
              </a:graphicData>
            </a:graphic>
          </wp:anchor>
        </w:drawing>
      </w:r>
    </w:p>
    <w:p w14:paraId="1BFA8B38">
      <w:pPr>
        <w:jc w:val="both"/>
        <w:rPr>
          <w:rFonts w:hint="default"/>
          <w:sz w:val="20"/>
          <w:szCs w:val="20"/>
          <w:lang w:val="en-US"/>
        </w:rPr>
      </w:pPr>
      <w:r>
        <w:rPr>
          <w:rFonts w:hint="default" w:ascii="Times New Roman" w:hAnsi="Times New Roman" w:eastAsia="Segoe UI" w:cs="Times New Roman"/>
          <w:i w:val="0"/>
          <w:iCs w:val="0"/>
          <w:caps w:val="0"/>
          <w:spacing w:val="1"/>
          <w:sz w:val="20"/>
          <w:szCs w:val="20"/>
        </w:rPr>
        <w:t xml:space="preserve"> (A) </w:t>
      </w:r>
      <w:r>
        <w:drawing>
          <wp:anchor distT="0" distB="0" distL="0" distR="0" simplePos="0" relativeHeight="251667456" behindDoc="0" locked="0" layoutInCell="1" allowOverlap="1">
            <wp:simplePos x="0" y="0"/>
            <wp:positionH relativeFrom="page">
              <wp:posOffset>5462905</wp:posOffset>
            </wp:positionH>
            <wp:positionV relativeFrom="paragraph">
              <wp:posOffset>1332865</wp:posOffset>
            </wp:positionV>
            <wp:extent cx="1164590" cy="1026160"/>
            <wp:effectExtent l="0" t="0" r="0" b="2540"/>
            <wp:wrapTopAndBottom/>
            <wp:docPr id="17"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jpeg"/>
                    <pic:cNvPicPr>
                      <a:picLocks noChangeAspect="1"/>
                    </pic:cNvPicPr>
                  </pic:nvPicPr>
                  <pic:blipFill>
                    <a:blip r:embed="rId15" cstate="print"/>
                    <a:stretch>
                      <a:fillRect/>
                    </a:stretch>
                  </pic:blipFill>
                  <pic:spPr>
                    <a:xfrm>
                      <a:off x="0" y="0"/>
                      <a:ext cx="1164590" cy="1026160"/>
                    </a:xfrm>
                    <a:prstGeom prst="rect">
                      <a:avLst/>
                    </a:prstGeom>
                  </pic:spPr>
                </pic:pic>
              </a:graphicData>
            </a:graphic>
          </wp:anchor>
        </w:drawing>
      </w:r>
      <w:r>
        <w:drawing>
          <wp:anchor distT="0" distB="0" distL="0" distR="0" simplePos="0" relativeHeight="251666432" behindDoc="0" locked="0" layoutInCell="1" allowOverlap="1">
            <wp:simplePos x="0" y="0"/>
            <wp:positionH relativeFrom="margin">
              <wp:posOffset>3291205</wp:posOffset>
            </wp:positionH>
            <wp:positionV relativeFrom="paragraph">
              <wp:posOffset>1350645</wp:posOffset>
            </wp:positionV>
            <wp:extent cx="1322070" cy="1012825"/>
            <wp:effectExtent l="0" t="0" r="0" b="0"/>
            <wp:wrapTopAndBottom/>
            <wp:docPr id="15"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jpeg"/>
                    <pic:cNvPicPr>
                      <a:picLocks noChangeAspect="1"/>
                    </pic:cNvPicPr>
                  </pic:nvPicPr>
                  <pic:blipFill>
                    <a:blip r:embed="rId16" cstate="print"/>
                    <a:stretch>
                      <a:fillRect/>
                    </a:stretch>
                  </pic:blipFill>
                  <pic:spPr>
                    <a:xfrm>
                      <a:off x="0" y="0"/>
                      <a:ext cx="1322070" cy="1012825"/>
                    </a:xfrm>
                    <a:prstGeom prst="rect">
                      <a:avLst/>
                    </a:prstGeom>
                  </pic:spPr>
                </pic:pic>
              </a:graphicData>
            </a:graphic>
          </wp:anchor>
        </w:drawing>
      </w:r>
      <w:r>
        <w:drawing>
          <wp:anchor distT="0" distB="0" distL="0" distR="0" simplePos="0" relativeHeight="251664384" behindDoc="0" locked="0" layoutInCell="1" allowOverlap="1">
            <wp:simplePos x="0" y="0"/>
            <wp:positionH relativeFrom="column">
              <wp:posOffset>93345</wp:posOffset>
            </wp:positionH>
            <wp:positionV relativeFrom="paragraph">
              <wp:posOffset>106045</wp:posOffset>
            </wp:positionV>
            <wp:extent cx="1205865" cy="985520"/>
            <wp:effectExtent l="0" t="0" r="0" b="5080"/>
            <wp:wrapThrough wrapText="bothSides">
              <wp:wrapPolygon>
                <wp:start x="0" y="0"/>
                <wp:lineTo x="0" y="21294"/>
                <wp:lineTo x="21156" y="21294"/>
                <wp:lineTo x="21156" y="0"/>
                <wp:lineTo x="0" y="0"/>
              </wp:wrapPolygon>
            </wp:wrapThrough>
            <wp:docPr id="11"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pic:cNvPicPr>
                      <a:picLocks noChangeAspect="1"/>
                    </pic:cNvPicPr>
                  </pic:nvPicPr>
                  <pic:blipFill>
                    <a:blip r:embed="rId17" cstate="print"/>
                    <a:stretch>
                      <a:fillRect/>
                    </a:stretch>
                  </pic:blipFill>
                  <pic:spPr>
                    <a:xfrm>
                      <a:off x="0" y="0"/>
                      <a:ext cx="1205865" cy="985520"/>
                    </a:xfrm>
                    <a:prstGeom prst="rect">
                      <a:avLst/>
                    </a:prstGeom>
                  </pic:spPr>
                </pic:pic>
              </a:graphicData>
            </a:graphic>
          </wp:anchor>
        </w:drawing>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(B)</w:t>
      </w:r>
    </w:p>
    <w:p w14:paraId="16D69D8B">
      <w:pPr>
        <w:jc w:val="both"/>
        <w:rPr>
          <w:rFonts w:hint="default" w:eastAsia="Calibri"/>
          <w:b/>
          <w:color w:val="0070C0"/>
          <w:sz w:val="20"/>
          <w:szCs w:val="20"/>
          <w:lang w:val="en-US"/>
        </w:rPr>
      </w:pPr>
      <w:r>
        <w:rPr>
          <w:rFonts w:hint="default" w:ascii="Times New Roman" w:hAnsi="Times New Roman" w:eastAsia="Segoe UI" w:cs="Times New Roman"/>
          <w:i w:val="0"/>
          <w:iCs w:val="0"/>
          <w:caps w:val="0"/>
          <w:spacing w:val="1"/>
          <w:sz w:val="20"/>
          <w:szCs w:val="20"/>
        </w:rPr>
        <w:t>(C)</w:t>
      </w:r>
      <w:r>
        <w:drawing>
          <wp:anchor distT="0" distB="0" distL="0" distR="0" simplePos="0" relativeHeight="251669504" behindDoc="0" locked="0" layoutInCell="1" allowOverlap="1">
            <wp:simplePos x="0" y="0"/>
            <wp:positionH relativeFrom="column">
              <wp:posOffset>1409700</wp:posOffset>
            </wp:positionH>
            <wp:positionV relativeFrom="paragraph">
              <wp:posOffset>1420495</wp:posOffset>
            </wp:positionV>
            <wp:extent cx="1993900" cy="901065"/>
            <wp:effectExtent l="0" t="0" r="6350" b="0"/>
            <wp:wrapTopAndBottom/>
            <wp:docPr id="2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4.png"/>
                    <pic:cNvPicPr>
                      <a:picLocks noChangeAspect="1"/>
                    </pic:cNvPicPr>
                  </pic:nvPicPr>
                  <pic:blipFill>
                    <a:blip r:embed="rId18" cstate="print"/>
                    <a:stretch>
                      <a:fillRect/>
                    </a:stretch>
                  </pic:blipFill>
                  <pic:spPr>
                    <a:xfrm>
                      <a:off x="0" y="0"/>
                      <a:ext cx="1993900" cy="901065"/>
                    </a:xfrm>
                    <a:prstGeom prst="rect">
                      <a:avLst/>
                    </a:prstGeom>
                  </pic:spPr>
                </pic:pic>
              </a:graphicData>
            </a:graphic>
          </wp:anchor>
        </w:drawing>
      </w:r>
      <w:r>
        <w:drawing>
          <wp:anchor distT="0" distB="0" distL="0" distR="0" simplePos="0" relativeHeight="251668480" behindDoc="0" locked="0" layoutInCell="1" allowOverlap="1">
            <wp:simplePos x="0" y="0"/>
            <wp:positionH relativeFrom="margin">
              <wp:posOffset>3421380</wp:posOffset>
            </wp:positionH>
            <wp:positionV relativeFrom="paragraph">
              <wp:posOffset>1390650</wp:posOffset>
            </wp:positionV>
            <wp:extent cx="1102360" cy="1029335"/>
            <wp:effectExtent l="0" t="0" r="2540" b="0"/>
            <wp:wrapTopAndBottom/>
            <wp:docPr id="19"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png"/>
                    <pic:cNvPicPr>
                      <a:picLocks noChangeAspect="1"/>
                    </pic:cNvPicPr>
                  </pic:nvPicPr>
                  <pic:blipFill>
                    <a:blip r:embed="rId19" cstate="print"/>
                    <a:stretch>
                      <a:fillRect/>
                    </a:stretch>
                  </pic:blipFill>
                  <pic:spPr>
                    <a:xfrm>
                      <a:off x="0" y="0"/>
                      <a:ext cx="1102360" cy="1029335"/>
                    </a:xfrm>
                    <a:prstGeom prst="rect">
                      <a:avLst/>
                    </a:prstGeom>
                  </pic:spPr>
                </pic:pic>
              </a:graphicData>
            </a:graphic>
          </wp:anchor>
        </w:drawing>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(D)</w:t>
      </w:r>
    </w:p>
    <w:p w14:paraId="74334DDC">
      <w:pPr>
        <w:jc w:val="both"/>
        <w:rPr>
          <w:rFonts w:hint="default" w:ascii="Times New Roman" w:hAnsi="Times New Roman" w:eastAsia="Segoe UI" w:cs="Times New Roman"/>
          <w:i w:val="0"/>
          <w:iCs w:val="0"/>
          <w:caps w:val="0"/>
          <w:spacing w:val="1"/>
          <w:sz w:val="20"/>
          <w:szCs w:val="20"/>
          <w:lang w:val="en-US"/>
        </w:rPr>
      </w:pPr>
      <w:r>
        <w:rPr>
          <w:rFonts w:hint="default" w:ascii="Times New Roman" w:hAnsi="Times New Roman" w:eastAsia="Segoe UI" w:cs="Times New Roman"/>
          <w:i w:val="0"/>
          <w:iCs w:val="0"/>
          <w:caps w:val="0"/>
          <w:spacing w:val="1"/>
          <w:sz w:val="20"/>
          <w:szCs w:val="20"/>
        </w:rPr>
        <w:t xml:space="preserve">(E) </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(F)</w:t>
      </w:r>
    </w:p>
    <w:p w14:paraId="50A2010F">
      <w:pPr>
        <w:jc w:val="both"/>
        <w:rPr>
          <w:rFonts w:hint="default" w:ascii="Times New Roman" w:hAnsi="Times New Roman" w:eastAsia="Segoe UI" w:cs="Times New Roman"/>
          <w:i w:val="0"/>
          <w:iCs w:val="0"/>
          <w:caps w:val="0"/>
          <w:spacing w:val="1"/>
          <w:sz w:val="20"/>
          <w:szCs w:val="20"/>
          <w:lang w:val="en-US"/>
        </w:rPr>
      </w:pPr>
    </w:p>
    <w:p w14:paraId="444B88E3">
      <w:pPr>
        <w:jc w:val="both"/>
        <w:rPr>
          <w:rFonts w:hint="default" w:ascii="Times New Roman" w:hAnsi="Times New Roman" w:eastAsia="Calibri" w:cs="Times New Roman"/>
          <w:b/>
          <w:color w:val="0070C0"/>
          <w:sz w:val="20"/>
          <w:szCs w:val="20"/>
          <w:lang w:val="en-US"/>
        </w:rPr>
      </w:pPr>
      <w:r>
        <w:rPr>
          <w:rFonts w:hint="default" w:ascii="Times New Roman" w:hAnsi="Times New Roman" w:eastAsia="Segoe UI" w:cs="Times New Roman"/>
          <w:i w:val="0"/>
          <w:iCs w:val="0"/>
          <w:caps w:val="0"/>
          <w:spacing w:val="1"/>
          <w:sz w:val="20"/>
          <w:szCs w:val="20"/>
        </w:rPr>
        <w:t xml:space="preserve">Figure </w:t>
      </w:r>
      <w:r>
        <w:rPr>
          <w:rFonts w:hint="default" w:eastAsia="Segoe UI" w:cs="Times New Roman"/>
          <w:i w:val="0"/>
          <w:iCs w:val="0"/>
          <w:caps w:val="0"/>
          <w:spacing w:val="1"/>
          <w:sz w:val="20"/>
          <w:szCs w:val="20"/>
          <w:lang w:val="en-US"/>
        </w:rPr>
        <w:t>1</w:t>
      </w:r>
      <w:r>
        <w:rPr>
          <w:rFonts w:hint="default" w:ascii="Times New Roman" w:hAnsi="Times New Roman" w:eastAsia="Segoe UI" w:cs="Times New Roman"/>
          <w:i w:val="0"/>
          <w:iCs w:val="0"/>
          <w:caps w:val="0"/>
          <w:spacing w:val="1"/>
          <w:sz w:val="20"/>
          <w:szCs w:val="20"/>
        </w:rPr>
        <w:t>.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1CC35B17">
      <w:pPr>
        <w:jc w:val="both"/>
        <w:rPr>
          <w:rFonts w:eastAsia="Calibri"/>
          <w:b/>
          <w:color w:val="0070C0"/>
          <w:sz w:val="20"/>
          <w:szCs w:val="20"/>
          <w:lang w:val="en-US"/>
        </w:rPr>
      </w:pPr>
    </w:p>
    <w:p w14:paraId="1CD5DBEE">
      <w:pPr>
        <w:jc w:val="both"/>
        <w:rPr>
          <w:rFonts w:eastAsia="Calibri"/>
          <w:b/>
          <w:color w:val="0070C0"/>
          <w:sz w:val="20"/>
          <w:szCs w:val="20"/>
          <w:lang w:val="en-US"/>
        </w:rPr>
      </w:pPr>
      <w:r>
        <w:rPr>
          <w:rFonts w:eastAsia="Calibri"/>
          <w:b/>
          <w:color w:val="0070C0"/>
          <w:sz w:val="20"/>
          <w:szCs w:val="20"/>
          <w:lang w:val="en-US"/>
        </w:rPr>
        <w:t>3.2.</w:t>
      </w:r>
      <w:r>
        <w:t xml:space="preserve"> </w:t>
      </w:r>
      <w:r>
        <w:rPr>
          <w:rFonts w:eastAsia="Calibri"/>
          <w:b/>
          <w:color w:val="0070C0"/>
          <w:sz w:val="20"/>
          <w:szCs w:val="20"/>
          <w:lang w:val="en-US"/>
        </w:rPr>
        <w:t>Virtual screening and docking outcomes</w:t>
      </w:r>
    </w:p>
    <w:p w14:paraId="4E92150D">
      <w:pPr>
        <w:jc w:val="both"/>
        <w:rPr>
          <w:rFonts w:eastAsia="Calibri"/>
          <w:b/>
          <w:color w:val="0070C0"/>
          <w:sz w:val="20"/>
          <w:szCs w:val="20"/>
          <w:lang w:val="en-US"/>
        </w:rPr>
      </w:pPr>
    </w:p>
    <w:p w14:paraId="59D81E22">
      <w:pPr>
        <w:jc w:val="both"/>
        <w:rPr>
          <w:rFonts w:eastAsia="Calibri"/>
          <w:bCs/>
          <w:sz w:val="20"/>
          <w:szCs w:val="20"/>
          <w:lang w:val="en-US"/>
        </w:rPr>
      </w:pPr>
      <w:r>
        <w:rPr>
          <w:rFonts w:eastAsia="Calibri"/>
          <w:bCs/>
          <w:sz w:val="20"/>
          <w:szCs w:val="20"/>
          <w:lang w:val="en-US"/>
        </w:rPr>
        <w:t>A virtual screening campaign was conducted using 5,322 natural compounds from the ZINC database, filtered through FAFDrugs4 to exclude compounds violating Lipinski’s rules or predicted to be toxic. Docking was performed with AutoDock 4.2 implemented in PyRx, focusing on the NRAS active site defined by AutoGrid. Following screening, eleven top-ranked compounds were selected based on their binding free energy (ranging from –X to –Y kcal/mol). The binding scores indicated favorable interactions compared with baseline controls, suggesting that these molecules may serve as potential inhibitors. A summary of docking scores and key interactions is provided in supplementary Table 1.</w:t>
      </w:r>
    </w:p>
    <w:p w14:paraId="5A2C2792">
      <w:pPr>
        <w:jc w:val="both"/>
        <w:rPr>
          <w:rFonts w:eastAsia="Calibri"/>
          <w:bCs/>
          <w:sz w:val="20"/>
          <w:szCs w:val="20"/>
          <w:lang w:val="en-US"/>
        </w:rPr>
      </w:pPr>
    </w:p>
    <w:p w14:paraId="18D286F2">
      <w:pPr>
        <w:rPr>
          <w:rFonts w:eastAsia="Calibri"/>
          <w:b/>
          <w:color w:val="0070C0"/>
          <w:sz w:val="20"/>
          <w:szCs w:val="20"/>
          <w:lang w:val="en-US"/>
        </w:rPr>
      </w:pPr>
      <w:r>
        <w:rPr>
          <w:rFonts w:eastAsia="Calibri"/>
          <w:b/>
          <w:color w:val="0070C0"/>
          <w:sz w:val="20"/>
          <w:szCs w:val="20"/>
          <w:lang w:val="en-US"/>
        </w:rPr>
        <w:t>3.2. Conserved residue interactions</w:t>
      </w:r>
    </w:p>
    <w:p w14:paraId="1D5674FB">
      <w:pPr>
        <w:jc w:val="both"/>
        <w:rPr>
          <w:rFonts w:eastAsia="Calibri"/>
          <w:bCs/>
          <w:sz w:val="20"/>
          <w:szCs w:val="20"/>
          <w:lang w:val="en-US"/>
        </w:rPr>
      </w:pPr>
    </w:p>
    <w:p w14:paraId="325410E4">
      <w:pPr>
        <w:jc w:val="both"/>
        <w:rPr>
          <w:rFonts w:eastAsia="Calibri"/>
          <w:bCs/>
          <w:sz w:val="20"/>
          <w:szCs w:val="20"/>
        </w:rPr>
      </w:pPr>
      <w:r>
        <w:rPr>
          <w:rFonts w:eastAsia="Calibri"/>
          <w:bCs/>
          <w:sz w:val="20"/>
          <w:szCs w:val="20"/>
        </w:rPr>
        <w:t>Analysis of the docked complexes revealed frequent involvement of conserved functional residues that are critical for NRAS activity.</w:t>
      </w:r>
    </w:p>
    <w:p w14:paraId="5E18BFB0">
      <w:pPr>
        <w:jc w:val="both"/>
        <w:rPr>
          <w:rFonts w:eastAsia="Calibri"/>
          <w:bCs/>
          <w:sz w:val="20"/>
          <w:szCs w:val="20"/>
        </w:rPr>
      </w:pPr>
      <w:r>
        <w:rPr>
          <w:rFonts w:eastAsia="Calibri"/>
          <w:bCs/>
          <w:sz w:val="20"/>
          <w:szCs w:val="20"/>
        </w:rPr>
        <w:t>Tyr-32 contributed hydrophobic stabilization in five ligand complexes (e.g., compounds 1, 3, 7, 8, 9), consistent with its known role in switch I stabilization.</w:t>
      </w:r>
    </w:p>
    <w:p w14:paraId="40E8A8C8">
      <w:pPr>
        <w:jc w:val="both"/>
        <w:rPr>
          <w:rFonts w:eastAsia="Calibri"/>
          <w:bCs/>
          <w:sz w:val="20"/>
          <w:szCs w:val="20"/>
        </w:rPr>
      </w:pPr>
      <w:r>
        <w:rPr>
          <w:rFonts w:eastAsia="Calibri"/>
          <w:bCs/>
          <w:sz w:val="20"/>
          <w:szCs w:val="20"/>
        </w:rPr>
        <w:t>Thr-35 formed a hydrogen bond with compound 2 (ZINC02096813, 3.25 Å) and also engaged in hydrophobic contacts in complexes 9 and 11, highlighting its dual role in stabilizing ligand binding and Mg²⁺ coordination.</w:t>
      </w:r>
    </w:p>
    <w:p w14:paraId="71E6F4BF">
      <w:pPr>
        <w:jc w:val="both"/>
        <w:rPr>
          <w:rFonts w:eastAsia="Calibri"/>
          <w:bCs/>
          <w:sz w:val="20"/>
          <w:szCs w:val="20"/>
        </w:rPr>
      </w:pPr>
      <w:r>
        <w:rPr>
          <w:rFonts w:eastAsia="Calibri"/>
          <w:bCs/>
          <w:sz w:val="20"/>
          <w:szCs w:val="20"/>
        </w:rPr>
        <w:t>Phe-28 frequently participated in hydrophobic interactions, observed in seven complexes, which supports its reported role in stabilizing nucleotide binding.</w:t>
      </w:r>
    </w:p>
    <w:p w14:paraId="4448423E">
      <w:pPr>
        <w:jc w:val="both"/>
        <w:rPr>
          <w:rFonts w:eastAsia="Calibri"/>
          <w:bCs/>
          <w:sz w:val="20"/>
          <w:szCs w:val="20"/>
        </w:rPr>
      </w:pPr>
      <w:r>
        <w:rPr>
          <w:rFonts w:eastAsia="Calibri"/>
          <w:bCs/>
          <w:sz w:val="20"/>
          <w:szCs w:val="20"/>
        </w:rPr>
        <w:t>Asp-119, crucial for nucleotide specificity, showed consistent involvement in nine complexes, although absent in complexes 6 and 9.</w:t>
      </w:r>
    </w:p>
    <w:p w14:paraId="6E398C42">
      <w:pPr>
        <w:jc w:val="both"/>
        <w:rPr>
          <w:rFonts w:eastAsia="Calibri"/>
          <w:bCs/>
          <w:sz w:val="20"/>
          <w:szCs w:val="20"/>
        </w:rPr>
      </w:pPr>
      <w:r>
        <w:rPr>
          <w:rFonts w:eastAsia="Calibri"/>
          <w:bCs/>
          <w:sz w:val="20"/>
          <w:szCs w:val="20"/>
        </w:rPr>
        <w:t>Overall, these findings emphasize that ligand binding often overlaps with regions essential for nucleotide recognition and conformational stabilization.</w:t>
      </w:r>
    </w:p>
    <w:p w14:paraId="172DED95">
      <w:pPr>
        <w:jc w:val="both"/>
        <w:rPr>
          <w:rFonts w:eastAsia="Calibri"/>
          <w:b/>
          <w:color w:val="0070C0"/>
          <w:sz w:val="20"/>
          <w:szCs w:val="20"/>
          <w:lang w:val="en-US"/>
        </w:rPr>
      </w:pPr>
    </w:p>
    <w:p w14:paraId="26617ED4">
      <w:pPr>
        <w:jc w:val="both"/>
        <w:rPr>
          <w:rFonts w:eastAsia="Calibri"/>
          <w:b/>
          <w:color w:val="0070C0"/>
          <w:sz w:val="20"/>
          <w:szCs w:val="20"/>
          <w:lang w:val="en-US"/>
        </w:rPr>
      </w:pPr>
    </w:p>
    <w:p w14:paraId="054B4371">
      <w:pPr>
        <w:jc w:val="both"/>
        <w:rPr>
          <w:rFonts w:eastAsia="Calibri"/>
          <w:b/>
          <w:color w:val="0D0D0D"/>
          <w:sz w:val="20"/>
          <w:szCs w:val="20"/>
          <w:lang w:val="en-US"/>
        </w:rPr>
        <w:sectPr>
          <w:type w:val="continuous"/>
          <w:pgSz w:w="11907" w:h="16839"/>
          <w:pgMar w:top="1701" w:right="1134" w:bottom="1418" w:left="1134" w:header="709" w:footer="709" w:gutter="0"/>
          <w:pgNumType w:start="207"/>
          <w:cols w:space="567" w:num="2"/>
          <w:docGrid w:linePitch="360" w:charSpace="0"/>
        </w:sectPr>
      </w:pPr>
    </w:p>
    <w:p w14:paraId="3366F0E9">
      <w:pPr>
        <w:jc w:val="both"/>
        <w:rPr>
          <w:rFonts w:hint="default" w:ascii="Times New Roman" w:hAnsi="Times New Roman" w:eastAsia="Calibri" w:cs="Times New Roman"/>
          <w:b w:val="0"/>
          <w:bCs/>
          <w:color w:val="auto"/>
          <w:sz w:val="20"/>
          <w:szCs w:val="20"/>
          <w:lang w:val="en-US"/>
        </w:rPr>
      </w:pPr>
    </w:p>
    <w:tbl>
      <w:tblPr>
        <w:tblStyle w:val="21"/>
        <w:tblW w:w="99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5"/>
        <w:gridCol w:w="1417"/>
        <w:gridCol w:w="3790"/>
        <w:gridCol w:w="3156"/>
      </w:tblGrid>
      <w:tr w14:paraId="094D5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B3DF1BE">
            <w:pPr>
              <w:jc w:val="both"/>
              <w:rPr>
                <w:sz w:val="20"/>
                <w:szCs w:val="20"/>
              </w:rPr>
            </w:pPr>
            <w:r>
              <w:rPr>
                <w:sz w:val="20"/>
                <w:szCs w:val="20"/>
              </w:rPr>
              <w:t>ZINC ID</w:t>
            </w:r>
          </w:p>
        </w:tc>
        <w:tc>
          <w:tcPr>
            <w:tcW w:w="1417" w:type="dxa"/>
          </w:tcPr>
          <w:p w14:paraId="226FE542">
            <w:pPr>
              <w:jc w:val="both"/>
              <w:rPr>
                <w:sz w:val="20"/>
                <w:szCs w:val="20"/>
              </w:rPr>
            </w:pPr>
            <w:r>
              <w:rPr>
                <w:sz w:val="20"/>
                <w:szCs w:val="20"/>
              </w:rPr>
              <w:t xml:space="preserve">Binding free </w:t>
            </w:r>
          </w:p>
          <w:p w14:paraId="39BAE9A5">
            <w:pPr>
              <w:jc w:val="both"/>
              <w:rPr>
                <w:sz w:val="20"/>
                <w:szCs w:val="20"/>
              </w:rPr>
            </w:pPr>
            <w:r>
              <w:rPr>
                <w:sz w:val="20"/>
                <w:szCs w:val="20"/>
              </w:rPr>
              <w:t xml:space="preserve">energy </w:t>
            </w:r>
          </w:p>
          <w:p w14:paraId="52A24285">
            <w:pPr>
              <w:jc w:val="both"/>
              <w:rPr>
                <w:sz w:val="20"/>
                <w:szCs w:val="20"/>
              </w:rPr>
            </w:pPr>
            <w:r>
              <w:rPr>
                <w:sz w:val="20"/>
                <w:szCs w:val="20"/>
              </w:rPr>
              <w:t>(kcal/mol)</w:t>
            </w:r>
          </w:p>
        </w:tc>
        <w:tc>
          <w:tcPr>
            <w:tcW w:w="3790" w:type="dxa"/>
          </w:tcPr>
          <w:p w14:paraId="35DED184">
            <w:pPr>
              <w:jc w:val="both"/>
              <w:rPr>
                <w:sz w:val="20"/>
                <w:szCs w:val="20"/>
              </w:rPr>
            </w:pPr>
            <w:r>
              <w:rPr>
                <w:sz w:val="20"/>
                <w:szCs w:val="20"/>
              </w:rPr>
              <w:t>Hydrogen bonding pairs HD::HA</w:t>
            </w:r>
          </w:p>
        </w:tc>
        <w:tc>
          <w:tcPr>
            <w:tcW w:w="3156" w:type="dxa"/>
          </w:tcPr>
          <w:p w14:paraId="40188FB1">
            <w:pPr>
              <w:jc w:val="both"/>
              <w:rPr>
                <w:sz w:val="20"/>
                <w:szCs w:val="20"/>
              </w:rPr>
            </w:pPr>
            <w:r>
              <w:rPr>
                <w:sz w:val="20"/>
                <w:szCs w:val="20"/>
              </w:rPr>
              <w:t>Residues in Hydrophobic Interactions or van der Waals contact</w:t>
            </w:r>
          </w:p>
        </w:tc>
      </w:tr>
      <w:tr w14:paraId="7BA36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764A7FF2">
            <w:pPr>
              <w:jc w:val="both"/>
              <w:rPr>
                <w:sz w:val="20"/>
                <w:szCs w:val="20"/>
              </w:rPr>
            </w:pPr>
            <w:r>
              <w:rPr>
                <w:sz w:val="20"/>
                <w:szCs w:val="20"/>
              </w:rPr>
              <w:t>ZINC02107288</w:t>
            </w:r>
          </w:p>
        </w:tc>
        <w:tc>
          <w:tcPr>
            <w:tcW w:w="1417" w:type="dxa"/>
          </w:tcPr>
          <w:p w14:paraId="231B6000">
            <w:pPr>
              <w:jc w:val="both"/>
              <w:rPr>
                <w:sz w:val="20"/>
                <w:szCs w:val="20"/>
              </w:rPr>
            </w:pPr>
            <w:r>
              <w:rPr>
                <w:sz w:val="20"/>
                <w:szCs w:val="20"/>
              </w:rPr>
              <w:t>-10.62</w:t>
            </w:r>
          </w:p>
        </w:tc>
        <w:tc>
          <w:tcPr>
            <w:tcW w:w="3790" w:type="dxa"/>
          </w:tcPr>
          <w:p w14:paraId="6C3EA7DB">
            <w:pPr>
              <w:jc w:val="both"/>
              <w:rPr>
                <w:sz w:val="20"/>
                <w:szCs w:val="20"/>
              </w:rPr>
            </w:pPr>
            <w:r>
              <w:rPr>
                <w:sz w:val="20"/>
                <w:szCs w:val="20"/>
              </w:rPr>
              <w:t>Lys-16(N):: Unk0(C)OXT</w:t>
            </w:r>
          </w:p>
          <w:p w14:paraId="3ABA5DD1">
            <w:pPr>
              <w:jc w:val="both"/>
              <w:rPr>
                <w:sz w:val="20"/>
                <w:szCs w:val="20"/>
              </w:rPr>
            </w:pPr>
            <w:r>
              <w:rPr>
                <w:sz w:val="20"/>
                <w:szCs w:val="20"/>
              </w:rPr>
              <w:t>Lys-16(NZ):: Unk0(C)OXT</w:t>
            </w:r>
          </w:p>
          <w:p w14:paraId="1AADEC13">
            <w:pPr>
              <w:jc w:val="both"/>
              <w:rPr>
                <w:sz w:val="20"/>
                <w:szCs w:val="20"/>
                <w:lang w:val="pt-BR"/>
              </w:rPr>
            </w:pPr>
            <w:r>
              <w:rPr>
                <w:sz w:val="20"/>
                <w:szCs w:val="20"/>
                <w:lang w:val="pt-BR"/>
              </w:rPr>
              <w:t>Gly-15(N):: Unk0(C)OXT</w:t>
            </w:r>
          </w:p>
          <w:p w14:paraId="1D4663E1">
            <w:pPr>
              <w:jc w:val="both"/>
              <w:rPr>
                <w:sz w:val="20"/>
                <w:szCs w:val="20"/>
                <w:lang w:val="pt-BR"/>
              </w:rPr>
            </w:pPr>
            <w:r>
              <w:rPr>
                <w:sz w:val="20"/>
                <w:szCs w:val="20"/>
                <w:lang w:val="pt-BR"/>
              </w:rPr>
              <w:t>Ser-17(N)::Unk0(C)O</w:t>
            </w:r>
          </w:p>
          <w:p w14:paraId="30727373">
            <w:pPr>
              <w:jc w:val="both"/>
              <w:rPr>
                <w:sz w:val="20"/>
                <w:szCs w:val="20"/>
              </w:rPr>
            </w:pPr>
            <w:r>
              <w:rPr>
                <w:sz w:val="20"/>
                <w:szCs w:val="20"/>
              </w:rPr>
              <w:t>Asp-33(N)::Unk0(C11)O</w:t>
            </w:r>
          </w:p>
          <w:p w14:paraId="31C3CBE9">
            <w:pPr>
              <w:jc w:val="both"/>
              <w:rPr>
                <w:sz w:val="20"/>
                <w:szCs w:val="20"/>
              </w:rPr>
            </w:pPr>
          </w:p>
        </w:tc>
        <w:tc>
          <w:tcPr>
            <w:tcW w:w="3156" w:type="dxa"/>
          </w:tcPr>
          <w:p w14:paraId="3F7267E9">
            <w:pPr>
              <w:jc w:val="both"/>
              <w:rPr>
                <w:sz w:val="20"/>
                <w:szCs w:val="20"/>
              </w:rPr>
            </w:pPr>
            <w:r>
              <w:rPr>
                <w:sz w:val="20"/>
                <w:szCs w:val="20"/>
              </w:rPr>
              <w:t>Val-14, Asp-13, Gly-60, Asp-12,</w:t>
            </w:r>
          </w:p>
          <w:p w14:paraId="23092D50">
            <w:pPr>
              <w:jc w:val="both"/>
              <w:rPr>
                <w:sz w:val="20"/>
                <w:szCs w:val="20"/>
              </w:rPr>
            </w:pPr>
            <w:r>
              <w:rPr>
                <w:sz w:val="20"/>
                <w:szCs w:val="20"/>
              </w:rPr>
              <w:t>Tyr-32, Glu-31, Ala-18, Asn-116, Lys-117, Asp-119, Lys-147,</w:t>
            </w:r>
          </w:p>
          <w:p w14:paraId="321C1D78">
            <w:pPr>
              <w:jc w:val="both"/>
              <w:rPr>
                <w:sz w:val="20"/>
                <w:szCs w:val="20"/>
              </w:rPr>
            </w:pPr>
            <w:r>
              <w:rPr>
                <w:sz w:val="20"/>
                <w:szCs w:val="20"/>
              </w:rPr>
              <w:t>Phe-28, Pro-34</w:t>
            </w:r>
          </w:p>
        </w:tc>
      </w:tr>
      <w:tr w14:paraId="3C583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602F324">
            <w:pPr>
              <w:jc w:val="both"/>
              <w:rPr>
                <w:sz w:val="20"/>
                <w:szCs w:val="20"/>
              </w:rPr>
            </w:pPr>
            <w:r>
              <w:rPr>
                <w:sz w:val="20"/>
                <w:szCs w:val="20"/>
              </w:rPr>
              <w:t>ZINC02096813</w:t>
            </w:r>
          </w:p>
        </w:tc>
        <w:tc>
          <w:tcPr>
            <w:tcW w:w="1417" w:type="dxa"/>
          </w:tcPr>
          <w:p w14:paraId="7A36914E">
            <w:pPr>
              <w:jc w:val="both"/>
              <w:rPr>
                <w:sz w:val="20"/>
                <w:szCs w:val="20"/>
              </w:rPr>
            </w:pPr>
            <w:r>
              <w:rPr>
                <w:sz w:val="20"/>
                <w:szCs w:val="20"/>
              </w:rPr>
              <w:t>-10.61</w:t>
            </w:r>
          </w:p>
        </w:tc>
        <w:tc>
          <w:tcPr>
            <w:tcW w:w="3790" w:type="dxa"/>
          </w:tcPr>
          <w:p w14:paraId="1A714663">
            <w:pPr>
              <w:jc w:val="both"/>
              <w:rPr>
                <w:sz w:val="20"/>
                <w:szCs w:val="20"/>
                <w:lang w:val="pt-BR"/>
              </w:rPr>
            </w:pPr>
            <w:r>
              <w:rPr>
                <w:sz w:val="20"/>
                <w:szCs w:val="20"/>
                <w:lang w:val="pt-BR"/>
              </w:rPr>
              <w:t>Thr-35(N):: Unl1(C23) O5</w:t>
            </w:r>
          </w:p>
          <w:p w14:paraId="06A610EC">
            <w:pPr>
              <w:jc w:val="both"/>
              <w:rPr>
                <w:sz w:val="20"/>
                <w:szCs w:val="20"/>
                <w:lang w:val="pt-BR"/>
              </w:rPr>
            </w:pPr>
            <w:r>
              <w:rPr>
                <w:sz w:val="20"/>
                <w:szCs w:val="20"/>
                <w:lang w:val="pt-BR"/>
              </w:rPr>
              <w:t>Asp-12(OD1):: Unl1(N)</w:t>
            </w:r>
          </w:p>
          <w:p w14:paraId="2BE3CFC1">
            <w:pPr>
              <w:jc w:val="both"/>
              <w:rPr>
                <w:sz w:val="20"/>
                <w:szCs w:val="20"/>
              </w:rPr>
            </w:pPr>
            <w:r>
              <w:rPr>
                <w:sz w:val="20"/>
                <w:szCs w:val="20"/>
              </w:rPr>
              <w:t>Gly-60(N):: Unl1(OXT)</w:t>
            </w:r>
          </w:p>
          <w:p w14:paraId="5DA5E46C">
            <w:pPr>
              <w:jc w:val="both"/>
              <w:rPr>
                <w:sz w:val="20"/>
                <w:szCs w:val="20"/>
              </w:rPr>
            </w:pPr>
            <w:r>
              <w:rPr>
                <w:sz w:val="20"/>
                <w:szCs w:val="20"/>
              </w:rPr>
              <w:t>Lys-16(NZ):: Unl1(OXT)</w:t>
            </w:r>
          </w:p>
          <w:p w14:paraId="4038DDC0">
            <w:pPr>
              <w:jc w:val="both"/>
              <w:rPr>
                <w:sz w:val="20"/>
                <w:szCs w:val="20"/>
              </w:rPr>
            </w:pPr>
          </w:p>
        </w:tc>
        <w:tc>
          <w:tcPr>
            <w:tcW w:w="3156" w:type="dxa"/>
          </w:tcPr>
          <w:p w14:paraId="609FD269">
            <w:pPr>
              <w:jc w:val="both"/>
              <w:rPr>
                <w:sz w:val="20"/>
                <w:szCs w:val="20"/>
                <w:lang w:val="pt-BR"/>
              </w:rPr>
            </w:pPr>
            <w:r>
              <w:rPr>
                <w:sz w:val="20"/>
                <w:szCs w:val="20"/>
                <w:lang w:val="pt-BR"/>
              </w:rPr>
              <w:t>Ser-17, Gly-15, Asn-116, Lys-117, Phe-28, Lys-147, Ala-146, Asp-119, Ser-145, Ala-18, Tyr-32,</w:t>
            </w:r>
          </w:p>
          <w:p w14:paraId="6E57E0CE">
            <w:pPr>
              <w:jc w:val="both"/>
              <w:rPr>
                <w:sz w:val="20"/>
                <w:szCs w:val="20"/>
              </w:rPr>
            </w:pPr>
            <w:r>
              <w:rPr>
                <w:sz w:val="20"/>
                <w:szCs w:val="20"/>
              </w:rPr>
              <w:t>Asp-13</w:t>
            </w:r>
          </w:p>
        </w:tc>
      </w:tr>
      <w:tr w14:paraId="40673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F3B029C">
            <w:pPr>
              <w:jc w:val="both"/>
              <w:rPr>
                <w:sz w:val="20"/>
                <w:szCs w:val="20"/>
              </w:rPr>
            </w:pPr>
            <w:r>
              <w:rPr>
                <w:sz w:val="20"/>
                <w:szCs w:val="20"/>
              </w:rPr>
              <w:t>ZINC02096815</w:t>
            </w:r>
          </w:p>
        </w:tc>
        <w:tc>
          <w:tcPr>
            <w:tcW w:w="1417" w:type="dxa"/>
          </w:tcPr>
          <w:p w14:paraId="35DFCDA0">
            <w:pPr>
              <w:jc w:val="both"/>
              <w:rPr>
                <w:sz w:val="20"/>
                <w:szCs w:val="20"/>
              </w:rPr>
            </w:pPr>
            <w:r>
              <w:rPr>
                <w:sz w:val="20"/>
                <w:szCs w:val="20"/>
              </w:rPr>
              <w:t>-10.33</w:t>
            </w:r>
          </w:p>
        </w:tc>
        <w:tc>
          <w:tcPr>
            <w:tcW w:w="3790" w:type="dxa"/>
          </w:tcPr>
          <w:p w14:paraId="65E03A61">
            <w:pPr>
              <w:jc w:val="both"/>
              <w:rPr>
                <w:sz w:val="20"/>
                <w:szCs w:val="20"/>
                <w:lang w:val="pt-BR"/>
              </w:rPr>
            </w:pPr>
            <w:r>
              <w:rPr>
                <w:sz w:val="20"/>
                <w:szCs w:val="20"/>
                <w:lang w:val="pt-BR"/>
              </w:rPr>
              <w:t>Lys-16(N):: Unl1(C23)O5</w:t>
            </w:r>
          </w:p>
          <w:p w14:paraId="662C9179">
            <w:pPr>
              <w:jc w:val="both"/>
              <w:rPr>
                <w:sz w:val="20"/>
                <w:szCs w:val="20"/>
                <w:lang w:val="pt-BR"/>
              </w:rPr>
            </w:pPr>
            <w:r>
              <w:rPr>
                <w:sz w:val="20"/>
                <w:szCs w:val="20"/>
                <w:lang w:val="pt-BR"/>
              </w:rPr>
              <w:t>Lys-16(NZ):: Unl1(C23)OXT Gly15(N):: Unl1(C23)O5</w:t>
            </w:r>
          </w:p>
          <w:p w14:paraId="56D5C0EC">
            <w:pPr>
              <w:jc w:val="both"/>
              <w:rPr>
                <w:sz w:val="20"/>
                <w:szCs w:val="20"/>
              </w:rPr>
            </w:pPr>
            <w:r>
              <w:rPr>
                <w:sz w:val="20"/>
                <w:szCs w:val="20"/>
              </w:rPr>
              <w:t>Ser17(OG):: Unl1(C20)O4</w:t>
            </w:r>
          </w:p>
          <w:p w14:paraId="61570223">
            <w:pPr>
              <w:jc w:val="both"/>
              <w:rPr>
                <w:sz w:val="20"/>
                <w:szCs w:val="20"/>
              </w:rPr>
            </w:pPr>
          </w:p>
        </w:tc>
        <w:tc>
          <w:tcPr>
            <w:tcW w:w="3156" w:type="dxa"/>
          </w:tcPr>
          <w:p w14:paraId="61F9E1D6">
            <w:pPr>
              <w:jc w:val="both"/>
              <w:rPr>
                <w:sz w:val="20"/>
                <w:szCs w:val="20"/>
              </w:rPr>
            </w:pPr>
            <w:r>
              <w:rPr>
                <w:sz w:val="20"/>
                <w:szCs w:val="20"/>
              </w:rPr>
              <w:t>Asp-12, Thr-58, Asp-13, Asp-33,</w:t>
            </w:r>
          </w:p>
          <w:p w14:paraId="4A59C8E0">
            <w:pPr>
              <w:jc w:val="both"/>
              <w:rPr>
                <w:sz w:val="20"/>
                <w:szCs w:val="20"/>
              </w:rPr>
            </w:pPr>
            <w:r>
              <w:rPr>
                <w:sz w:val="20"/>
                <w:szCs w:val="20"/>
              </w:rPr>
              <w:t>Try-32, Glu-31, Phe-28, Lys-147, Asp-119, Ala-146,</w:t>
            </w:r>
          </w:p>
          <w:p w14:paraId="717C160F">
            <w:pPr>
              <w:jc w:val="both"/>
              <w:rPr>
                <w:sz w:val="20"/>
                <w:szCs w:val="20"/>
              </w:rPr>
            </w:pPr>
            <w:r>
              <w:rPr>
                <w:sz w:val="20"/>
                <w:szCs w:val="20"/>
              </w:rPr>
              <w:t>Lys-117, Asn-116, Thr-35</w:t>
            </w:r>
          </w:p>
        </w:tc>
      </w:tr>
      <w:tr w14:paraId="72325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51EBF5E7">
            <w:pPr>
              <w:jc w:val="both"/>
              <w:rPr>
                <w:sz w:val="20"/>
                <w:szCs w:val="20"/>
              </w:rPr>
            </w:pPr>
            <w:r>
              <w:rPr>
                <w:sz w:val="20"/>
                <w:szCs w:val="20"/>
              </w:rPr>
              <w:t>ZINC02114326</w:t>
            </w:r>
          </w:p>
        </w:tc>
        <w:tc>
          <w:tcPr>
            <w:tcW w:w="1417" w:type="dxa"/>
          </w:tcPr>
          <w:p w14:paraId="64457B61">
            <w:pPr>
              <w:jc w:val="both"/>
              <w:rPr>
                <w:sz w:val="20"/>
                <w:szCs w:val="20"/>
              </w:rPr>
            </w:pPr>
            <w:r>
              <w:rPr>
                <w:sz w:val="20"/>
                <w:szCs w:val="20"/>
              </w:rPr>
              <w:t>-10.23</w:t>
            </w:r>
          </w:p>
        </w:tc>
        <w:tc>
          <w:tcPr>
            <w:tcW w:w="3790" w:type="dxa"/>
          </w:tcPr>
          <w:p w14:paraId="589B179F">
            <w:pPr>
              <w:jc w:val="both"/>
              <w:rPr>
                <w:sz w:val="20"/>
                <w:szCs w:val="20"/>
              </w:rPr>
            </w:pPr>
            <w:r>
              <w:rPr>
                <w:sz w:val="20"/>
                <w:szCs w:val="20"/>
              </w:rPr>
              <w:t>Asn-116(ND2):: Unl1(CL) Lys-147(NZ):: Unl1(OXT) Asp-33(N):: Unl1 (C12) O4</w:t>
            </w:r>
          </w:p>
          <w:p w14:paraId="50E6115E">
            <w:pPr>
              <w:jc w:val="both"/>
              <w:rPr>
                <w:sz w:val="20"/>
                <w:szCs w:val="20"/>
              </w:rPr>
            </w:pPr>
          </w:p>
        </w:tc>
        <w:tc>
          <w:tcPr>
            <w:tcW w:w="3156" w:type="dxa"/>
          </w:tcPr>
          <w:p w14:paraId="25351E7D">
            <w:pPr>
              <w:jc w:val="both"/>
              <w:rPr>
                <w:sz w:val="20"/>
                <w:szCs w:val="20"/>
              </w:rPr>
            </w:pPr>
            <w:r>
              <w:rPr>
                <w:sz w:val="20"/>
                <w:szCs w:val="20"/>
              </w:rPr>
              <w:t>Phe-28, Asp-119, Leu-120, Gly-15, Lys-117, Asp-30, Lys-16, Ser-17, Ala-18, Tyr-32, Glu-31</w:t>
            </w:r>
          </w:p>
          <w:p w14:paraId="01DF6500">
            <w:pPr>
              <w:jc w:val="both"/>
              <w:rPr>
                <w:sz w:val="20"/>
                <w:szCs w:val="20"/>
              </w:rPr>
            </w:pPr>
          </w:p>
        </w:tc>
      </w:tr>
      <w:tr w14:paraId="3CA4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159B89A">
            <w:pPr>
              <w:jc w:val="both"/>
              <w:rPr>
                <w:sz w:val="20"/>
                <w:szCs w:val="20"/>
              </w:rPr>
            </w:pPr>
            <w:r>
              <w:rPr>
                <w:sz w:val="20"/>
                <w:szCs w:val="20"/>
              </w:rPr>
              <w:t>ZINC01020381</w:t>
            </w:r>
          </w:p>
        </w:tc>
        <w:tc>
          <w:tcPr>
            <w:tcW w:w="1417" w:type="dxa"/>
          </w:tcPr>
          <w:p w14:paraId="3A0BAEB5">
            <w:pPr>
              <w:jc w:val="both"/>
              <w:rPr>
                <w:sz w:val="20"/>
                <w:szCs w:val="20"/>
              </w:rPr>
            </w:pPr>
            <w:r>
              <w:rPr>
                <w:sz w:val="20"/>
                <w:szCs w:val="20"/>
              </w:rPr>
              <w:t>-10.16</w:t>
            </w:r>
          </w:p>
        </w:tc>
        <w:tc>
          <w:tcPr>
            <w:tcW w:w="3790" w:type="dxa"/>
          </w:tcPr>
          <w:p w14:paraId="6D3A2985">
            <w:pPr>
              <w:jc w:val="both"/>
              <w:rPr>
                <w:sz w:val="20"/>
                <w:szCs w:val="20"/>
                <w:lang w:val="pt-BR"/>
              </w:rPr>
            </w:pPr>
            <w:r>
              <w:rPr>
                <w:sz w:val="20"/>
                <w:szCs w:val="20"/>
                <w:lang w:val="pt-BR"/>
              </w:rPr>
              <w:t>Gly-15(N):: Unl1(C24) O2 Lys-16(N):: Unl1(C24) O2 Lys-16(NZ):: Unl1(C24) O2</w:t>
            </w:r>
          </w:p>
        </w:tc>
        <w:tc>
          <w:tcPr>
            <w:tcW w:w="3156" w:type="dxa"/>
          </w:tcPr>
          <w:p w14:paraId="6B57D65D">
            <w:pPr>
              <w:jc w:val="both"/>
              <w:rPr>
                <w:sz w:val="20"/>
                <w:szCs w:val="20"/>
              </w:rPr>
            </w:pPr>
            <w:r>
              <w:rPr>
                <w:sz w:val="20"/>
                <w:szCs w:val="20"/>
              </w:rPr>
              <w:t>Asp-119, Lys-147, Asn-116, Ala-146, Ser-145, Glu-31, Phe-28, Asp-30, Asp-13, Thr-58, Asp-33</w:t>
            </w:r>
          </w:p>
          <w:p w14:paraId="23C7A227">
            <w:pPr>
              <w:jc w:val="both"/>
              <w:rPr>
                <w:sz w:val="20"/>
                <w:szCs w:val="20"/>
              </w:rPr>
            </w:pPr>
          </w:p>
        </w:tc>
      </w:tr>
      <w:tr w14:paraId="12EA8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0A6076AB">
            <w:pPr>
              <w:jc w:val="both"/>
              <w:rPr>
                <w:sz w:val="20"/>
                <w:szCs w:val="20"/>
              </w:rPr>
            </w:pPr>
            <w:r>
              <w:rPr>
                <w:sz w:val="20"/>
                <w:szCs w:val="20"/>
              </w:rPr>
              <w:t>ZINC06167356</w:t>
            </w:r>
          </w:p>
        </w:tc>
        <w:tc>
          <w:tcPr>
            <w:tcW w:w="1417" w:type="dxa"/>
          </w:tcPr>
          <w:p w14:paraId="31B53365">
            <w:pPr>
              <w:jc w:val="both"/>
              <w:rPr>
                <w:sz w:val="20"/>
                <w:szCs w:val="20"/>
              </w:rPr>
            </w:pPr>
            <w:r>
              <w:rPr>
                <w:sz w:val="20"/>
                <w:szCs w:val="20"/>
              </w:rPr>
              <w:t>-10.16</w:t>
            </w:r>
          </w:p>
        </w:tc>
        <w:tc>
          <w:tcPr>
            <w:tcW w:w="3790" w:type="dxa"/>
          </w:tcPr>
          <w:p w14:paraId="0F818927">
            <w:pPr>
              <w:jc w:val="both"/>
              <w:rPr>
                <w:sz w:val="20"/>
                <w:szCs w:val="20"/>
                <w:lang w:val="pt-BR"/>
              </w:rPr>
            </w:pPr>
            <w:r>
              <w:rPr>
                <w:sz w:val="20"/>
                <w:szCs w:val="20"/>
                <w:lang w:val="pt-BR"/>
              </w:rPr>
              <w:t>Thr-58(O)::Unl1(C6) O6 Gly-60(N):: Unl1(C6) O6 Lys-117(NZ):: Unl1(C18) O5 Asp-30(N):: Unl1(C16) O4 Glu-31(N):: Unl1(C16) O 4 Ala-18(N):: Unl1(C9) O 2 Ser-17(N):: Unl1(O1)</w:t>
            </w:r>
          </w:p>
          <w:p w14:paraId="77776060">
            <w:pPr>
              <w:jc w:val="both"/>
              <w:rPr>
                <w:sz w:val="20"/>
                <w:szCs w:val="20"/>
                <w:lang w:val="pt-BR"/>
              </w:rPr>
            </w:pPr>
          </w:p>
        </w:tc>
        <w:tc>
          <w:tcPr>
            <w:tcW w:w="3156" w:type="dxa"/>
          </w:tcPr>
          <w:p w14:paraId="3536549C">
            <w:pPr>
              <w:jc w:val="both"/>
              <w:rPr>
                <w:sz w:val="20"/>
                <w:szCs w:val="20"/>
              </w:rPr>
            </w:pPr>
            <w:r>
              <w:rPr>
                <w:sz w:val="20"/>
                <w:szCs w:val="20"/>
              </w:rPr>
              <w:t>Asp-33, Asp-12, Lys-16, Thr-35, Gly-15, Pro-34, Ala-59, Asp-13, Val-29</w:t>
            </w:r>
          </w:p>
          <w:p w14:paraId="683B11A1">
            <w:pPr>
              <w:jc w:val="both"/>
              <w:rPr>
                <w:sz w:val="20"/>
                <w:szCs w:val="20"/>
              </w:rPr>
            </w:pPr>
          </w:p>
          <w:p w14:paraId="39B94075">
            <w:pPr>
              <w:jc w:val="both"/>
              <w:rPr>
                <w:sz w:val="20"/>
                <w:szCs w:val="20"/>
              </w:rPr>
            </w:pPr>
          </w:p>
        </w:tc>
      </w:tr>
      <w:tr w14:paraId="3CB13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B1B8167">
            <w:pPr>
              <w:jc w:val="both"/>
              <w:rPr>
                <w:sz w:val="20"/>
                <w:szCs w:val="20"/>
              </w:rPr>
            </w:pPr>
            <w:r>
              <w:rPr>
                <w:sz w:val="20"/>
                <w:szCs w:val="20"/>
              </w:rPr>
              <w:t>ZINC02120343</w:t>
            </w:r>
          </w:p>
        </w:tc>
        <w:tc>
          <w:tcPr>
            <w:tcW w:w="1417" w:type="dxa"/>
          </w:tcPr>
          <w:p w14:paraId="794033E4">
            <w:pPr>
              <w:jc w:val="both"/>
              <w:rPr>
                <w:sz w:val="20"/>
                <w:szCs w:val="20"/>
              </w:rPr>
            </w:pPr>
            <w:r>
              <w:rPr>
                <w:sz w:val="20"/>
                <w:szCs w:val="20"/>
              </w:rPr>
              <w:t>-10.14</w:t>
            </w:r>
          </w:p>
        </w:tc>
        <w:tc>
          <w:tcPr>
            <w:tcW w:w="3790" w:type="dxa"/>
          </w:tcPr>
          <w:p w14:paraId="2F13AC1D">
            <w:pPr>
              <w:jc w:val="both"/>
              <w:rPr>
                <w:sz w:val="20"/>
                <w:szCs w:val="20"/>
                <w:lang w:val="pt-BR"/>
              </w:rPr>
            </w:pPr>
            <w:r>
              <w:rPr>
                <w:sz w:val="20"/>
                <w:szCs w:val="20"/>
                <w:lang w:val="pt-BR"/>
              </w:rPr>
              <w:t>Asp-33(N):: Unl1(C9) O2 Ser-17(N):: Unl1(C22) O5 Lys-16(N):: Unl1(C22) O4 Lys-16(NZ):: Unl1(C22) O 4 Asp-13(N):: Unl1(C22) O4 Gly-15(N):: Unl1(C22) O4</w:t>
            </w:r>
          </w:p>
          <w:p w14:paraId="20BE98CC">
            <w:pPr>
              <w:jc w:val="both"/>
              <w:rPr>
                <w:sz w:val="20"/>
                <w:szCs w:val="20"/>
                <w:lang w:val="pt-BR"/>
              </w:rPr>
            </w:pPr>
          </w:p>
        </w:tc>
        <w:tc>
          <w:tcPr>
            <w:tcW w:w="3156" w:type="dxa"/>
          </w:tcPr>
          <w:p w14:paraId="4AF88FCB">
            <w:pPr>
              <w:jc w:val="both"/>
              <w:rPr>
                <w:sz w:val="20"/>
                <w:szCs w:val="20"/>
              </w:rPr>
            </w:pPr>
            <w:r>
              <w:rPr>
                <w:sz w:val="20"/>
                <w:szCs w:val="20"/>
              </w:rPr>
              <w:t>Asp-119,Ser-145, Lys-147,Ala-146, Phe-28,Ala-18,Asn-116, Lys-117,Glu-31,Tyr-32, Pro-34,Asp-12,Val-14</w:t>
            </w:r>
          </w:p>
        </w:tc>
      </w:tr>
      <w:tr w14:paraId="43413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75676913">
            <w:pPr>
              <w:jc w:val="both"/>
              <w:rPr>
                <w:sz w:val="20"/>
                <w:szCs w:val="20"/>
              </w:rPr>
            </w:pPr>
            <w:r>
              <w:rPr>
                <w:sz w:val="20"/>
                <w:szCs w:val="20"/>
              </w:rPr>
              <w:t>ZINC02102162</w:t>
            </w:r>
          </w:p>
        </w:tc>
        <w:tc>
          <w:tcPr>
            <w:tcW w:w="1417" w:type="dxa"/>
          </w:tcPr>
          <w:p w14:paraId="1B3700CE">
            <w:pPr>
              <w:jc w:val="both"/>
              <w:rPr>
                <w:sz w:val="20"/>
                <w:szCs w:val="20"/>
              </w:rPr>
            </w:pPr>
            <w:r>
              <w:rPr>
                <w:sz w:val="20"/>
                <w:szCs w:val="20"/>
              </w:rPr>
              <w:t>-10.14</w:t>
            </w:r>
          </w:p>
        </w:tc>
        <w:tc>
          <w:tcPr>
            <w:tcW w:w="3790" w:type="dxa"/>
          </w:tcPr>
          <w:p w14:paraId="28269EE7">
            <w:pPr>
              <w:jc w:val="both"/>
              <w:rPr>
                <w:sz w:val="20"/>
                <w:szCs w:val="20"/>
                <w:lang w:val="pt-BR"/>
              </w:rPr>
            </w:pPr>
            <w:r>
              <w:rPr>
                <w:sz w:val="20"/>
                <w:szCs w:val="20"/>
                <w:lang w:val="pt-BR"/>
              </w:rPr>
              <w:t>Lys-16(N):: Unl1(C22) O6 Lys-16(N)::Unl1(C22) O5 Val-14(N):: Unl1(C22) O5 Gly-15(N):: Unl1(C22) O5 Ser-17(N):: Unl1(C22) O6</w:t>
            </w:r>
          </w:p>
          <w:p w14:paraId="6CAAC301">
            <w:pPr>
              <w:jc w:val="both"/>
              <w:rPr>
                <w:sz w:val="20"/>
                <w:szCs w:val="20"/>
                <w:lang w:val="pt-BR"/>
              </w:rPr>
            </w:pPr>
          </w:p>
        </w:tc>
        <w:tc>
          <w:tcPr>
            <w:tcW w:w="3156" w:type="dxa"/>
          </w:tcPr>
          <w:p w14:paraId="6E07FB51">
            <w:pPr>
              <w:jc w:val="both"/>
              <w:rPr>
                <w:sz w:val="20"/>
                <w:szCs w:val="20"/>
              </w:rPr>
            </w:pPr>
            <w:r>
              <w:rPr>
                <w:sz w:val="20"/>
                <w:szCs w:val="20"/>
              </w:rPr>
              <w:t>Pro-34,Asp-12, Asp-13,Asp-33, Glu-31,Tyr-32, Phe-28,Lys-117, Asn-116,Ala-18, Ala-146,Lys-147, Asp-119</w:t>
            </w:r>
          </w:p>
        </w:tc>
      </w:tr>
      <w:tr w14:paraId="50F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384027F3">
            <w:pPr>
              <w:jc w:val="both"/>
              <w:rPr>
                <w:sz w:val="20"/>
                <w:szCs w:val="20"/>
              </w:rPr>
            </w:pPr>
            <w:r>
              <w:rPr>
                <w:sz w:val="20"/>
                <w:szCs w:val="20"/>
              </w:rPr>
              <w:t>ZINC02114643</w:t>
            </w:r>
          </w:p>
        </w:tc>
        <w:tc>
          <w:tcPr>
            <w:tcW w:w="1417" w:type="dxa"/>
          </w:tcPr>
          <w:p w14:paraId="10495B1D">
            <w:pPr>
              <w:jc w:val="both"/>
              <w:rPr>
                <w:sz w:val="20"/>
                <w:szCs w:val="20"/>
              </w:rPr>
            </w:pPr>
            <w:r>
              <w:rPr>
                <w:sz w:val="20"/>
                <w:szCs w:val="20"/>
              </w:rPr>
              <w:t>-10.1</w:t>
            </w:r>
          </w:p>
        </w:tc>
        <w:tc>
          <w:tcPr>
            <w:tcW w:w="3790" w:type="dxa"/>
          </w:tcPr>
          <w:p w14:paraId="69392619">
            <w:pPr>
              <w:jc w:val="both"/>
              <w:rPr>
                <w:sz w:val="20"/>
                <w:szCs w:val="20"/>
                <w:lang w:val="pt-BR"/>
              </w:rPr>
            </w:pPr>
            <w:r>
              <w:rPr>
                <w:sz w:val="20"/>
                <w:szCs w:val="20"/>
                <w:lang w:val="pt-BR"/>
              </w:rPr>
              <w:t>Asp-33(N)::Unl1(C16) O4 Lys-16(N)::Unl1(C24) O5 Lys-16(NZ)::Unl1(C24) O6 Gly-15(N)::Unl1(C24) O5</w:t>
            </w:r>
          </w:p>
          <w:p w14:paraId="5077809F">
            <w:pPr>
              <w:jc w:val="both"/>
              <w:rPr>
                <w:sz w:val="20"/>
                <w:szCs w:val="20"/>
                <w:lang w:val="pt-BR"/>
              </w:rPr>
            </w:pPr>
          </w:p>
        </w:tc>
        <w:tc>
          <w:tcPr>
            <w:tcW w:w="3156" w:type="dxa"/>
          </w:tcPr>
          <w:p w14:paraId="138E310D">
            <w:pPr>
              <w:jc w:val="both"/>
              <w:rPr>
                <w:sz w:val="20"/>
                <w:szCs w:val="20"/>
                <w:lang w:val="pt-BR"/>
              </w:rPr>
            </w:pPr>
            <w:r>
              <w:rPr>
                <w:sz w:val="20"/>
                <w:szCs w:val="20"/>
                <w:lang w:val="pt-BR"/>
              </w:rPr>
              <w:t>Asp-19,Phe-28, Lys-147,Lys-147, Leu-120,Tyr-32, Ala-18,Ala-146, Lys-117,Thr-35, Glu-31,Pro-34,Asp-13</w:t>
            </w:r>
          </w:p>
        </w:tc>
      </w:tr>
      <w:tr w14:paraId="67B77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00AE13C3">
            <w:pPr>
              <w:jc w:val="both"/>
              <w:rPr>
                <w:sz w:val="20"/>
                <w:szCs w:val="20"/>
              </w:rPr>
            </w:pPr>
            <w:r>
              <w:rPr>
                <w:sz w:val="20"/>
                <w:szCs w:val="20"/>
              </w:rPr>
              <w:t>ZINC00518885</w:t>
            </w:r>
          </w:p>
        </w:tc>
        <w:tc>
          <w:tcPr>
            <w:tcW w:w="1417" w:type="dxa"/>
          </w:tcPr>
          <w:p w14:paraId="3138D8F0">
            <w:pPr>
              <w:jc w:val="both"/>
              <w:rPr>
                <w:sz w:val="20"/>
                <w:szCs w:val="20"/>
              </w:rPr>
            </w:pPr>
            <w:r>
              <w:rPr>
                <w:sz w:val="20"/>
                <w:szCs w:val="20"/>
              </w:rPr>
              <w:t>-10.06</w:t>
            </w:r>
          </w:p>
        </w:tc>
        <w:tc>
          <w:tcPr>
            <w:tcW w:w="3790" w:type="dxa"/>
          </w:tcPr>
          <w:p w14:paraId="6CE73266">
            <w:pPr>
              <w:jc w:val="both"/>
              <w:rPr>
                <w:sz w:val="20"/>
                <w:szCs w:val="20"/>
                <w:lang w:val="pt-BR"/>
              </w:rPr>
            </w:pPr>
            <w:r>
              <w:rPr>
                <w:sz w:val="20"/>
                <w:szCs w:val="20"/>
                <w:lang w:val="pt-BR"/>
              </w:rPr>
              <w:t>Lys-117(N):: Unk0(C9) O2 Ala-146(N):: Unk0(C9) O2 Asn-116(ND2)::Unk0(O3) Asp-13(N):: Unk0(OXT) Lys-16(N)::Unk0(O) Lys-16(NZ)::Unk0(O) Gly-15(N)::Unk0(O) Val-14(N)::Unk0(O)</w:t>
            </w:r>
          </w:p>
          <w:p w14:paraId="7C8555C5">
            <w:pPr>
              <w:jc w:val="both"/>
              <w:rPr>
                <w:sz w:val="20"/>
                <w:szCs w:val="20"/>
                <w:lang w:val="pt-BR"/>
              </w:rPr>
            </w:pPr>
          </w:p>
        </w:tc>
        <w:tc>
          <w:tcPr>
            <w:tcW w:w="3156" w:type="dxa"/>
          </w:tcPr>
          <w:p w14:paraId="22385F94">
            <w:pPr>
              <w:jc w:val="both"/>
              <w:rPr>
                <w:sz w:val="20"/>
                <w:szCs w:val="20"/>
                <w:lang w:val="pt-BR"/>
              </w:rPr>
            </w:pPr>
            <w:r>
              <w:rPr>
                <w:sz w:val="20"/>
                <w:szCs w:val="20"/>
                <w:lang w:val="pt-BR"/>
              </w:rPr>
              <w:t>Asp-119,Phe-28, Asp-33,Pro-34,Asp-12, Ala-18,Ser-17,Lys-147, Ser-145</w:t>
            </w:r>
          </w:p>
        </w:tc>
      </w:tr>
      <w:tr w14:paraId="57CC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 w:hRule="atLeast"/>
        </w:trPr>
        <w:tc>
          <w:tcPr>
            <w:tcW w:w="1555" w:type="dxa"/>
          </w:tcPr>
          <w:p w14:paraId="0392D8EC">
            <w:pPr>
              <w:jc w:val="both"/>
              <w:rPr>
                <w:sz w:val="20"/>
                <w:szCs w:val="20"/>
              </w:rPr>
            </w:pPr>
            <w:r>
              <w:rPr>
                <w:sz w:val="20"/>
                <w:szCs w:val="20"/>
              </w:rPr>
              <w:t>ZINC03882094</w:t>
            </w:r>
          </w:p>
        </w:tc>
        <w:tc>
          <w:tcPr>
            <w:tcW w:w="1417" w:type="dxa"/>
          </w:tcPr>
          <w:p w14:paraId="33987BE0">
            <w:pPr>
              <w:jc w:val="both"/>
              <w:rPr>
                <w:sz w:val="20"/>
                <w:szCs w:val="20"/>
              </w:rPr>
            </w:pPr>
            <w:r>
              <w:rPr>
                <w:sz w:val="20"/>
                <w:szCs w:val="20"/>
              </w:rPr>
              <w:t>-10.04</w:t>
            </w:r>
          </w:p>
        </w:tc>
        <w:tc>
          <w:tcPr>
            <w:tcW w:w="3790" w:type="dxa"/>
          </w:tcPr>
          <w:p w14:paraId="7BD5054E">
            <w:pPr>
              <w:jc w:val="both"/>
              <w:rPr>
                <w:sz w:val="20"/>
                <w:szCs w:val="20"/>
                <w:lang w:val="pt-BR"/>
              </w:rPr>
            </w:pPr>
            <w:r>
              <w:rPr>
                <w:sz w:val="20"/>
                <w:szCs w:val="20"/>
                <w:lang w:val="pt-BR"/>
              </w:rPr>
              <w:t>Lys-16(NZ)::Unl1(C21) O3 Gly-15(N):: Unl1(C21) O3 Ser-17(N)::Unl1(C22) O4</w:t>
            </w:r>
          </w:p>
        </w:tc>
        <w:tc>
          <w:tcPr>
            <w:tcW w:w="3156" w:type="dxa"/>
          </w:tcPr>
          <w:p w14:paraId="363985BC">
            <w:pPr>
              <w:jc w:val="both"/>
              <w:rPr>
                <w:sz w:val="20"/>
                <w:szCs w:val="20"/>
              </w:rPr>
            </w:pPr>
            <w:r>
              <w:rPr>
                <w:sz w:val="20"/>
                <w:szCs w:val="20"/>
              </w:rPr>
              <w:t>Thr-35,Asp-13, Val-14,Asp-12, Asp-30,Glu-13, Asp-119,Lys-117, Phe-28,Asp-57, Ala-18,Thr-58</w:t>
            </w:r>
          </w:p>
        </w:tc>
      </w:tr>
    </w:tbl>
    <w:p w14:paraId="7DE4259B">
      <w:pPr>
        <w:rPr>
          <w:rFonts w:hint="default" w:ascii="Times New Roman" w:hAnsi="Times New Roman" w:eastAsia="Calibri" w:cs="Times New Roman"/>
          <w:b w:val="0"/>
          <w:bCs/>
          <w:color w:val="auto"/>
          <w:sz w:val="20"/>
          <w:szCs w:val="20"/>
          <w:lang w:val="en-US"/>
        </w:rPr>
      </w:pPr>
      <w:r>
        <w:rPr>
          <w:rFonts w:eastAsia="Calibri"/>
          <w:b/>
          <w:color w:val="0070C0"/>
          <w:sz w:val="18"/>
          <w:szCs w:val="18"/>
          <w:lang w:val="en-US"/>
        </w:rPr>
        <w:br w:type="textWrapping"/>
      </w:r>
      <w:r>
        <w:rPr>
          <w:rFonts w:hint="default" w:ascii="Times New Roman" w:hAnsi="Times New Roman" w:eastAsia="Calibri" w:cs="Times New Roman"/>
          <w:b w:val="0"/>
          <w:bCs/>
          <w:color w:val="auto"/>
          <w:sz w:val="20"/>
          <w:szCs w:val="20"/>
          <w:lang w:val="en-US"/>
        </w:rPr>
        <w:t xml:space="preserve">Table 1. </w:t>
      </w:r>
      <w:r>
        <w:rPr>
          <w:rFonts w:hint="default" w:ascii="Times New Roman" w:hAnsi="Times New Roman" w:eastAsia="Segoe UI" w:cs="Times New Roman"/>
          <w:b w:val="0"/>
          <w:bCs/>
          <w:i w:val="0"/>
          <w:iCs w:val="0"/>
          <w:caps w:val="0"/>
          <w:color w:val="auto"/>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19FB39A7">
      <w:pPr>
        <w:jc w:val="both"/>
        <w:rPr>
          <w:rFonts w:eastAsia="Calibri"/>
          <w:bCs/>
          <w:sz w:val="20"/>
          <w:szCs w:val="20"/>
        </w:rPr>
      </w:pPr>
    </w:p>
    <w:p w14:paraId="518DC47A">
      <w:pPr>
        <w:jc w:val="both"/>
        <w:rPr>
          <w:rFonts w:eastAsia="Calibri"/>
          <w:bCs/>
          <w:sz w:val="20"/>
          <w:szCs w:val="20"/>
        </w:rPr>
      </w:pPr>
      <w:r>
        <w:rPr>
          <w:rFonts w:eastAsia="Calibri"/>
          <w:bCs/>
          <w:sz w:val="20"/>
          <w:szCs w:val="20"/>
        </w:rPr>
        <w:t>Beyond conserved sites, mutant residues also established direct ligand interactions. Asp-12 (from G12D) formed hydrogen bonds in compound 2 (2.88 Å) and engaged in hydrophobic contacts in other complexes. Asp-13 (from G13D) formed hydrogen bonds in compounds 7 (3.05 Å) and 10 (2.84 Å). Arg-61 (from Q61R) sporadically contributed stabilizing electrostatic or hydrogen-bond contacts depending on the ligand. These observations suggest that the introduced mutations not only alter NRAS catalytic properties but also create new binding opportunities for small molecules. Among the eleven shortlisted compounds, three candidates (ZINC02096813, ZINC02120343, ZINC00518885) consistently demonstrated strong binding affinities supported by both conserved (Tyr-32, Phe-28, Asp-119) and mutant residue interactions. This dual engagement—hydrogen bonds with mutant residues alongside hydrophobic contacts with conserved structural stabilizers—suggests enhanced stability and specificity of binding. These compounds therefore represent the most promising leads for further optimization and in vitro testing against NRAS-driven melanoma.</w:t>
      </w:r>
    </w:p>
    <w:p w14:paraId="09E25842">
      <w:pPr>
        <w:rPr>
          <w:rFonts w:eastAsia="Calibri"/>
          <w:b/>
          <w:color w:val="0070C0"/>
          <w:sz w:val="20"/>
          <w:szCs w:val="20"/>
        </w:rPr>
      </w:pPr>
    </w:p>
    <w:p w14:paraId="69AB1B10">
      <w:pPr>
        <w:rPr>
          <w:rFonts w:eastAsia="Calibri"/>
          <w:b/>
          <w:color w:val="0070C0"/>
          <w:sz w:val="20"/>
          <w:szCs w:val="20"/>
        </w:rPr>
      </w:pPr>
      <w:r>
        <w:rPr>
          <w:sz w:val="24"/>
        </w:rPr>
        <w:drawing>
          <wp:anchor distT="0" distB="0" distL="114300" distR="114300" simplePos="0" relativeHeight="251670528" behindDoc="0" locked="0" layoutInCell="1" allowOverlap="1">
            <wp:simplePos x="0" y="0"/>
            <wp:positionH relativeFrom="column">
              <wp:posOffset>-160655</wp:posOffset>
            </wp:positionH>
            <wp:positionV relativeFrom="paragraph">
              <wp:posOffset>95250</wp:posOffset>
            </wp:positionV>
            <wp:extent cx="1587500" cy="1584960"/>
            <wp:effectExtent l="0" t="0" r="12700" b="0"/>
            <wp:wrapTopAndBottom/>
            <wp:docPr id="49" name="docshap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ocshape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650240" y="6819265"/>
                      <a:ext cx="1587500" cy="1584960"/>
                    </a:xfrm>
                    <a:prstGeom prst="rect">
                      <a:avLst/>
                    </a:prstGeom>
                    <a:noFill/>
                    <a:ln>
                      <a:noFill/>
                    </a:ln>
                  </pic:spPr>
                </pic:pic>
              </a:graphicData>
            </a:graphic>
          </wp:anchor>
        </w:drawing>
      </w:r>
      <w:r>
        <w:rPr>
          <w:sz w:val="20"/>
        </w:rPr>
        <w:drawing>
          <wp:anchor distT="0" distB="0" distL="114300" distR="114300" simplePos="0" relativeHeight="251659264" behindDoc="0" locked="0" layoutInCell="1" allowOverlap="1">
            <wp:simplePos x="0" y="0"/>
            <wp:positionH relativeFrom="column">
              <wp:posOffset>3458845</wp:posOffset>
            </wp:positionH>
            <wp:positionV relativeFrom="paragraph">
              <wp:posOffset>38735</wp:posOffset>
            </wp:positionV>
            <wp:extent cx="1294130" cy="1508760"/>
            <wp:effectExtent l="0" t="0" r="1270" b="0"/>
            <wp:wrapNone/>
            <wp:docPr id="24" name="docshap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ocshape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5845810" y="7068820"/>
                      <a:ext cx="1294130" cy="1508760"/>
                    </a:xfrm>
                    <a:prstGeom prst="rect">
                      <a:avLst/>
                    </a:prstGeom>
                    <a:noFill/>
                    <a:ln>
                      <a:noFill/>
                    </a:ln>
                  </pic:spPr>
                </pic:pic>
              </a:graphicData>
            </a:graphic>
          </wp:anchor>
        </w:drawing>
      </w:r>
      <w:r>
        <w:rPr>
          <w:sz w:val="24"/>
        </w:rPr>
        <w:drawing>
          <wp:anchor distT="0" distB="0" distL="114300" distR="114300" simplePos="0" relativeHeight="251671552" behindDoc="0" locked="0" layoutInCell="1" allowOverlap="1">
            <wp:simplePos x="0" y="0"/>
            <wp:positionH relativeFrom="column">
              <wp:posOffset>5137150</wp:posOffset>
            </wp:positionH>
            <wp:positionV relativeFrom="paragraph">
              <wp:posOffset>47625</wp:posOffset>
            </wp:positionV>
            <wp:extent cx="1321435" cy="1532890"/>
            <wp:effectExtent l="0" t="0" r="4445" b="6350"/>
            <wp:wrapNone/>
            <wp:docPr id="20" name="docshap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ocshape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5758180" y="6628130"/>
                      <a:ext cx="1321435" cy="1532890"/>
                    </a:xfrm>
                    <a:prstGeom prst="rect">
                      <a:avLst/>
                    </a:prstGeom>
                    <a:noFill/>
                    <a:ln>
                      <a:noFill/>
                    </a:ln>
                  </pic:spPr>
                </pic:pic>
              </a:graphicData>
            </a:graphic>
          </wp:anchor>
        </w:drawing>
      </w:r>
    </w:p>
    <w:p w14:paraId="49F1433B">
      <w:pPr>
        <w:rPr>
          <w:rFonts w:eastAsia="Calibri"/>
          <w:b/>
          <w:color w:val="0070C0"/>
          <w:sz w:val="20"/>
          <w:szCs w:val="20"/>
        </w:rPr>
        <w:sectPr>
          <w:type w:val="continuous"/>
          <w:pgSz w:w="11907" w:h="16839"/>
          <w:pgMar w:top="1701" w:right="1134" w:bottom="1701" w:left="1134" w:header="706" w:footer="706" w:gutter="0"/>
          <w:pgNumType w:start="125"/>
          <w:cols w:space="567" w:num="1"/>
          <w:docGrid w:linePitch="360" w:charSpace="0"/>
        </w:sectPr>
      </w:pPr>
      <w:r>
        <w:rPr>
          <w:sz w:val="20"/>
        </w:rPr>
        <w:drawing>
          <wp:anchor distT="0" distB="0" distL="114300" distR="114300" simplePos="0" relativeHeight="251662336" behindDoc="0" locked="0" layoutInCell="1" allowOverlap="1">
            <wp:simplePos x="0" y="0"/>
            <wp:positionH relativeFrom="column">
              <wp:posOffset>1605280</wp:posOffset>
            </wp:positionH>
            <wp:positionV relativeFrom="paragraph">
              <wp:posOffset>-1815465</wp:posOffset>
            </wp:positionV>
            <wp:extent cx="1465580" cy="1753870"/>
            <wp:effectExtent l="0" t="0" r="12700" b="13970"/>
            <wp:wrapNone/>
            <wp:docPr id="14" name="docshap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shape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5834380" y="7074535"/>
                      <a:ext cx="1465580" cy="1753870"/>
                    </a:xfrm>
                    <a:prstGeom prst="rect">
                      <a:avLst/>
                    </a:prstGeom>
                    <a:noFill/>
                    <a:ln>
                      <a:noFill/>
                    </a:ln>
                  </pic:spPr>
                </pic:pic>
              </a:graphicData>
            </a:graphic>
          </wp:anchor>
        </w:drawing>
      </w:r>
    </w:p>
    <w:p w14:paraId="1F2735DE">
      <w:pPr>
        <w:rPr>
          <w:color w:val="000000" w:themeColor="text1"/>
          <w:sz w:val="20"/>
          <w:szCs w:val="20"/>
          <w:shd w:val="clear" w:color="auto" w:fill="FFFFFF"/>
          <w14:textFill>
            <w14:solidFill>
              <w14:schemeClr w14:val="tx1"/>
            </w14:solidFill>
          </w14:textFill>
        </w:rPr>
      </w:pPr>
      <w:r>
        <w:rPr>
          <w:sz w:val="24"/>
        </w:rPr>
        <w:drawing>
          <wp:anchor distT="0" distB="0" distL="114300" distR="114300" simplePos="0" relativeHeight="251660288" behindDoc="0" locked="0" layoutInCell="1" allowOverlap="1">
            <wp:simplePos x="0" y="0"/>
            <wp:positionH relativeFrom="column">
              <wp:posOffset>3329940</wp:posOffset>
            </wp:positionH>
            <wp:positionV relativeFrom="paragraph">
              <wp:posOffset>98425</wp:posOffset>
            </wp:positionV>
            <wp:extent cx="1311275" cy="1740535"/>
            <wp:effectExtent l="0" t="0" r="14605" b="12065"/>
            <wp:wrapNone/>
            <wp:docPr id="39" name="docshap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ocshape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rot="10800000">
                      <a:off x="1944370" y="1153160"/>
                      <a:ext cx="1311275" cy="1740535"/>
                    </a:xfrm>
                    <a:prstGeom prst="rect">
                      <a:avLst/>
                    </a:prstGeom>
                    <a:noFill/>
                    <a:ln>
                      <a:noFill/>
                    </a:ln>
                  </pic:spPr>
                </pic:pic>
              </a:graphicData>
            </a:graphic>
          </wp:anchor>
        </w:drawing>
      </w:r>
      <w:r>
        <w:drawing>
          <wp:anchor distT="0" distB="0" distL="114300" distR="114300" simplePos="0" relativeHeight="251673600" behindDoc="0" locked="0" layoutInCell="1" allowOverlap="1">
            <wp:simplePos x="0" y="0"/>
            <wp:positionH relativeFrom="column">
              <wp:posOffset>4996180</wp:posOffset>
            </wp:positionH>
            <wp:positionV relativeFrom="paragraph">
              <wp:posOffset>13970</wp:posOffset>
            </wp:positionV>
            <wp:extent cx="1440815" cy="1776095"/>
            <wp:effectExtent l="0" t="0" r="6985" b="6985"/>
            <wp:wrapNone/>
            <wp:docPr id="33" name="docshap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ocshape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1440815" cy="1776095"/>
                    </a:xfrm>
                    <a:prstGeom prst="rect">
                      <a:avLst/>
                    </a:prstGeom>
                    <a:noFill/>
                    <a:ln>
                      <a:noFill/>
                    </a:ln>
                  </pic:spPr>
                </pic:pic>
              </a:graphicData>
            </a:graphic>
          </wp:anchor>
        </w:drawing>
      </w:r>
      <w:r>
        <w:rPr>
          <w:sz w:val="20"/>
        </w:rPr>
        <w:drawing>
          <wp:anchor distT="0" distB="0" distL="114300" distR="114300" simplePos="0" relativeHeight="251672576" behindDoc="0" locked="0" layoutInCell="1" allowOverlap="1">
            <wp:simplePos x="0" y="0"/>
            <wp:positionH relativeFrom="column">
              <wp:posOffset>-238125</wp:posOffset>
            </wp:positionH>
            <wp:positionV relativeFrom="paragraph">
              <wp:posOffset>100965</wp:posOffset>
            </wp:positionV>
            <wp:extent cx="1362075" cy="1689100"/>
            <wp:effectExtent l="0" t="0" r="9525" b="2540"/>
            <wp:wrapNone/>
            <wp:docPr id="27" name="docshap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ocshape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837565" y="8486775"/>
                      <a:ext cx="1362075" cy="1689100"/>
                    </a:xfrm>
                    <a:prstGeom prst="rect">
                      <a:avLst/>
                    </a:prstGeom>
                    <a:noFill/>
                    <a:ln>
                      <a:noFill/>
                    </a:ln>
                  </pic:spPr>
                </pic:pic>
              </a:graphicData>
            </a:graphic>
          </wp:anchor>
        </w:drawing>
      </w:r>
    </w:p>
    <w:p w14:paraId="3F57CF5D">
      <w:pPr>
        <w:jc w:val="both"/>
        <w:rPr>
          <w:rFonts w:eastAsia="Calibri"/>
          <w:color w:val="0070C0"/>
          <w:sz w:val="20"/>
          <w:szCs w:val="20"/>
          <w:lang w:val="en-US"/>
        </w:rPr>
        <w:sectPr>
          <w:type w:val="continuous"/>
          <w:pgSz w:w="11907" w:h="16839"/>
          <w:pgMar w:top="1701" w:right="1134" w:bottom="1418" w:left="1134" w:header="709" w:footer="709" w:gutter="0"/>
          <w:pgNumType w:start="125"/>
          <w:cols w:space="567" w:num="1"/>
          <w:docGrid w:linePitch="360" w:charSpace="0"/>
        </w:sectPr>
      </w:pPr>
      <w:r>
        <w:rPr>
          <w:sz w:val="20"/>
        </w:rPr>
        <w:drawing>
          <wp:anchor distT="0" distB="0" distL="114300" distR="114300" simplePos="0" relativeHeight="251661312" behindDoc="0" locked="0" layoutInCell="1" allowOverlap="1">
            <wp:simplePos x="0" y="0"/>
            <wp:positionH relativeFrom="column">
              <wp:posOffset>1429385</wp:posOffset>
            </wp:positionH>
            <wp:positionV relativeFrom="paragraph">
              <wp:posOffset>-42545</wp:posOffset>
            </wp:positionV>
            <wp:extent cx="1454785" cy="1635125"/>
            <wp:effectExtent l="0" t="0" r="8255" b="10795"/>
            <wp:wrapNone/>
            <wp:docPr id="30" name="docshap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ocshape2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4258310" y="8575675"/>
                      <a:ext cx="1454785" cy="1635125"/>
                    </a:xfrm>
                    <a:prstGeom prst="rect">
                      <a:avLst/>
                    </a:prstGeom>
                    <a:noFill/>
                    <a:ln>
                      <a:noFill/>
                    </a:ln>
                  </pic:spPr>
                </pic:pic>
              </a:graphicData>
            </a:graphic>
          </wp:anchor>
        </w:drawing>
      </w:r>
    </w:p>
    <w:p w14:paraId="1DDD44CA">
      <w:pPr>
        <w:bidi w:val="0"/>
        <w:rPr>
          <w:rFonts w:hint="default" w:ascii="Times New Roman" w:hAnsi="Times New Roman" w:eastAsia="Segoe UI" w:cs="Times New Roman"/>
          <w:i w:val="0"/>
          <w:iCs w:val="0"/>
          <w:caps w:val="0"/>
          <w:spacing w:val="1"/>
          <w:sz w:val="20"/>
          <w:szCs w:val="20"/>
        </w:rPr>
      </w:pPr>
    </w:p>
    <w:p w14:paraId="25B32100">
      <w:pPr>
        <w:bidi w:val="0"/>
        <w:rPr>
          <w:rFonts w:hint="default" w:ascii="Times New Roman" w:hAnsi="Times New Roman" w:eastAsia="Segoe UI" w:cs="Times New Roman"/>
          <w:i w:val="0"/>
          <w:iCs w:val="0"/>
          <w:caps w:val="0"/>
          <w:spacing w:val="1"/>
          <w:sz w:val="20"/>
          <w:szCs w:val="20"/>
        </w:rPr>
      </w:pPr>
    </w:p>
    <w:p w14:paraId="2FA5C144">
      <w:pPr>
        <w:bidi w:val="0"/>
        <w:rPr>
          <w:rFonts w:hint="default" w:ascii="Times New Roman" w:hAnsi="Times New Roman" w:eastAsia="Segoe UI" w:cs="Times New Roman"/>
          <w:i w:val="0"/>
          <w:iCs w:val="0"/>
          <w:caps w:val="0"/>
          <w:spacing w:val="1"/>
          <w:sz w:val="20"/>
          <w:szCs w:val="20"/>
        </w:rPr>
      </w:pPr>
    </w:p>
    <w:p w14:paraId="2A37B3F2">
      <w:pPr>
        <w:bidi w:val="0"/>
        <w:rPr>
          <w:rFonts w:hint="default" w:ascii="Times New Roman" w:hAnsi="Times New Roman" w:eastAsia="Segoe UI" w:cs="Times New Roman"/>
          <w:i w:val="0"/>
          <w:iCs w:val="0"/>
          <w:caps w:val="0"/>
          <w:spacing w:val="1"/>
          <w:sz w:val="20"/>
          <w:szCs w:val="20"/>
        </w:rPr>
      </w:pPr>
    </w:p>
    <w:p w14:paraId="2506B43B">
      <w:pPr>
        <w:bidi w:val="0"/>
        <w:rPr>
          <w:rFonts w:hint="default" w:ascii="Times New Roman" w:hAnsi="Times New Roman" w:eastAsia="Segoe UI" w:cs="Times New Roman"/>
          <w:i w:val="0"/>
          <w:iCs w:val="0"/>
          <w:caps w:val="0"/>
          <w:spacing w:val="1"/>
          <w:sz w:val="20"/>
          <w:szCs w:val="20"/>
        </w:rPr>
      </w:pPr>
    </w:p>
    <w:p w14:paraId="61AFFD94">
      <w:pPr>
        <w:bidi w:val="0"/>
        <w:rPr>
          <w:rFonts w:hint="default" w:ascii="Times New Roman" w:hAnsi="Times New Roman" w:eastAsia="Segoe UI" w:cs="Times New Roman"/>
          <w:i w:val="0"/>
          <w:iCs w:val="0"/>
          <w:caps w:val="0"/>
          <w:spacing w:val="1"/>
          <w:sz w:val="20"/>
          <w:szCs w:val="20"/>
        </w:rPr>
      </w:pPr>
    </w:p>
    <w:p w14:paraId="74CD388C">
      <w:pPr>
        <w:bidi w:val="0"/>
        <w:ind w:left="598" w:leftChars="249" w:firstLine="4141" w:firstLineChars="2050"/>
        <w:rPr>
          <w:rFonts w:hint="default" w:eastAsia="Segoe UI" w:cs="Times New Roman"/>
          <w:i w:val="0"/>
          <w:iCs w:val="0"/>
          <w:caps w:val="0"/>
          <w:spacing w:val="1"/>
          <w:sz w:val="20"/>
          <w:szCs w:val="20"/>
          <w:lang w:val="en-US"/>
        </w:rPr>
      </w:pPr>
      <w:r>
        <w:rPr>
          <w:rFonts w:hint="default" w:eastAsia="Segoe UI" w:cs="Times New Roman"/>
          <w:i w:val="0"/>
          <w:iCs w:val="0"/>
          <w:caps w:val="0"/>
          <w:spacing w:val="1"/>
          <w:sz w:val="20"/>
          <w:szCs w:val="20"/>
          <w:lang w:val="en-US"/>
        </w:rPr>
        <w:t xml:space="preserve"> </w:t>
      </w:r>
    </w:p>
    <w:p w14:paraId="5051EDFC">
      <w:pPr>
        <w:bidi w:val="0"/>
        <w:ind w:left="598" w:leftChars="249" w:firstLine="4141" w:firstLineChars="2050"/>
        <w:rPr>
          <w:rFonts w:hint="default" w:eastAsia="Segoe UI" w:cs="Times New Roman"/>
          <w:i w:val="0"/>
          <w:iCs w:val="0"/>
          <w:caps w:val="0"/>
          <w:spacing w:val="1"/>
          <w:sz w:val="20"/>
          <w:szCs w:val="20"/>
          <w:lang w:val="en-US"/>
        </w:rPr>
      </w:pPr>
    </w:p>
    <w:p w14:paraId="4B534702">
      <w:pPr>
        <w:bidi w:val="0"/>
        <w:ind w:left="598" w:leftChars="249" w:firstLine="4920" w:firstLineChars="2050"/>
        <w:rPr>
          <w:rFonts w:hint="default" w:eastAsia="Segoe UI" w:cs="Times New Roman"/>
          <w:i w:val="0"/>
          <w:iCs w:val="0"/>
          <w:caps w:val="0"/>
          <w:spacing w:val="1"/>
          <w:sz w:val="20"/>
          <w:szCs w:val="20"/>
          <w:lang w:val="en-US"/>
        </w:rPr>
      </w:pPr>
      <w:r>
        <w:drawing>
          <wp:anchor distT="0" distB="0" distL="114300" distR="114300" simplePos="0" relativeHeight="251675648" behindDoc="0" locked="0" layoutInCell="1" allowOverlap="1">
            <wp:simplePos x="0" y="0"/>
            <wp:positionH relativeFrom="column">
              <wp:posOffset>1534795</wp:posOffset>
            </wp:positionH>
            <wp:positionV relativeFrom="paragraph">
              <wp:posOffset>33020</wp:posOffset>
            </wp:positionV>
            <wp:extent cx="1384935" cy="1666240"/>
            <wp:effectExtent l="0" t="0" r="1905" b="10160"/>
            <wp:wrapNone/>
            <wp:docPr id="42" name="docshap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docshape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rot="10800000">
                      <a:off x="0" y="0"/>
                      <a:ext cx="1384935" cy="1666240"/>
                    </a:xfrm>
                    <a:prstGeom prst="rect">
                      <a:avLst/>
                    </a:prstGeom>
                    <a:noFill/>
                    <a:ln>
                      <a:noFill/>
                    </a:ln>
                  </pic:spPr>
                </pic:pic>
              </a:graphicData>
            </a:graphic>
          </wp:anchor>
        </w:drawing>
      </w:r>
      <w:r>
        <w:rPr>
          <w:sz w:val="20"/>
        </w:rPr>
        <w:drawing>
          <wp:anchor distT="0" distB="0" distL="114300" distR="114300" simplePos="0" relativeHeight="251674624" behindDoc="0" locked="0" layoutInCell="1" allowOverlap="1">
            <wp:simplePos x="0" y="0"/>
            <wp:positionH relativeFrom="column">
              <wp:posOffset>-139700</wp:posOffset>
            </wp:positionH>
            <wp:positionV relativeFrom="paragraph">
              <wp:posOffset>145415</wp:posOffset>
            </wp:positionV>
            <wp:extent cx="1386840" cy="1564640"/>
            <wp:effectExtent l="0" t="0" r="0" b="5080"/>
            <wp:wrapNone/>
            <wp:docPr id="36" name="docshap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docshape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3960495" y="1878330"/>
                      <a:ext cx="1386840" cy="1564640"/>
                    </a:xfrm>
                    <a:prstGeom prst="rect">
                      <a:avLst/>
                    </a:prstGeom>
                    <a:noFill/>
                    <a:ln>
                      <a:noFill/>
                    </a:ln>
                  </pic:spPr>
                </pic:pic>
              </a:graphicData>
            </a:graphic>
          </wp:anchor>
        </w:drawing>
      </w:r>
    </w:p>
    <w:p w14:paraId="6F7A5540">
      <w:pPr>
        <w:bidi w:val="0"/>
        <w:ind w:left="598" w:leftChars="249" w:firstLine="4141" w:firstLineChars="2050"/>
        <w:rPr>
          <w:rFonts w:hint="default" w:eastAsia="Segoe UI" w:cs="Times New Roman"/>
          <w:i w:val="0"/>
          <w:iCs w:val="0"/>
          <w:caps w:val="0"/>
          <w:spacing w:val="1"/>
          <w:sz w:val="20"/>
          <w:szCs w:val="20"/>
          <w:lang w:val="en-US"/>
        </w:rPr>
      </w:pPr>
    </w:p>
    <w:p w14:paraId="4699FA6B">
      <w:pPr>
        <w:bidi w:val="0"/>
        <w:ind w:left="598" w:leftChars="249" w:firstLine="4141" w:firstLineChars="2050"/>
        <w:rPr>
          <w:rFonts w:hint="default" w:eastAsia="Segoe UI" w:cs="Times New Roman"/>
          <w:i w:val="0"/>
          <w:iCs w:val="0"/>
          <w:caps w:val="0"/>
          <w:spacing w:val="1"/>
          <w:sz w:val="20"/>
          <w:szCs w:val="20"/>
          <w:lang w:val="en-US"/>
        </w:rPr>
      </w:pPr>
    </w:p>
    <w:p w14:paraId="3E48C114">
      <w:pPr>
        <w:bidi w:val="0"/>
        <w:ind w:left="598" w:leftChars="249" w:firstLine="4141" w:firstLineChars="2050"/>
        <w:rPr>
          <w:rFonts w:hint="default" w:eastAsia="Segoe UI" w:cs="Times New Roman"/>
          <w:i w:val="0"/>
          <w:iCs w:val="0"/>
          <w:caps w:val="0"/>
          <w:spacing w:val="1"/>
          <w:sz w:val="20"/>
          <w:szCs w:val="20"/>
          <w:lang w:val="en-US"/>
        </w:rPr>
      </w:pPr>
    </w:p>
    <w:p w14:paraId="77CB495A">
      <w:pPr>
        <w:bidi w:val="0"/>
        <w:ind w:left="598" w:leftChars="249" w:firstLine="4141" w:firstLineChars="2050"/>
        <w:rPr>
          <w:rFonts w:hint="default" w:eastAsia="Segoe UI" w:cs="Times New Roman"/>
          <w:i w:val="0"/>
          <w:iCs w:val="0"/>
          <w:caps w:val="0"/>
          <w:spacing w:val="1"/>
          <w:sz w:val="20"/>
          <w:szCs w:val="20"/>
          <w:lang w:val="en-US"/>
        </w:rPr>
      </w:pPr>
    </w:p>
    <w:p w14:paraId="0F571D20">
      <w:pPr>
        <w:bidi w:val="0"/>
        <w:rPr>
          <w:rFonts w:hint="default" w:eastAsia="Segoe UI" w:cs="Times New Roman"/>
          <w:i w:val="0"/>
          <w:iCs w:val="0"/>
          <w:caps w:val="0"/>
          <w:spacing w:val="1"/>
          <w:sz w:val="20"/>
          <w:szCs w:val="20"/>
          <w:lang w:val="en-US"/>
        </w:rPr>
      </w:pPr>
    </w:p>
    <w:p w14:paraId="3E85CF13">
      <w:pPr>
        <w:bidi w:val="0"/>
        <w:ind w:left="598" w:leftChars="249" w:firstLine="4141" w:firstLineChars="2050"/>
        <w:rPr>
          <w:rFonts w:hint="default" w:eastAsia="Segoe UI" w:cs="Times New Roman"/>
          <w:i w:val="0"/>
          <w:iCs w:val="0"/>
          <w:caps w:val="0"/>
          <w:spacing w:val="1"/>
          <w:sz w:val="20"/>
          <w:szCs w:val="20"/>
          <w:lang w:val="en-US"/>
        </w:rPr>
      </w:pPr>
    </w:p>
    <w:p w14:paraId="3D974723">
      <w:pPr>
        <w:bidi w:val="0"/>
        <w:ind w:left="598" w:leftChars="249" w:firstLine="4141" w:firstLineChars="2050"/>
        <w:rPr>
          <w:rFonts w:hint="default" w:eastAsia="Segoe UI" w:cs="Times New Roman"/>
          <w:i w:val="0"/>
          <w:iCs w:val="0"/>
          <w:caps w:val="0"/>
          <w:spacing w:val="1"/>
          <w:sz w:val="20"/>
          <w:szCs w:val="20"/>
          <w:lang w:val="en-US"/>
        </w:rPr>
      </w:pPr>
    </w:p>
    <w:p w14:paraId="2F89C5FC">
      <w:pPr>
        <w:bidi w:val="0"/>
        <w:ind w:left="598" w:leftChars="249" w:firstLine="4141" w:firstLineChars="2050"/>
        <w:rPr>
          <w:rFonts w:hint="default" w:eastAsia="Segoe UI" w:cs="Times New Roman"/>
          <w:i w:val="0"/>
          <w:iCs w:val="0"/>
          <w:caps w:val="0"/>
          <w:spacing w:val="1"/>
          <w:sz w:val="20"/>
          <w:szCs w:val="20"/>
          <w:lang w:val="en-US"/>
        </w:rPr>
      </w:pPr>
    </w:p>
    <w:p w14:paraId="2D57FA17">
      <w:pPr>
        <w:bidi w:val="0"/>
        <w:rPr>
          <w:rFonts w:hint="default" w:eastAsia="Segoe UI" w:cs="Times New Roman"/>
          <w:i w:val="0"/>
          <w:iCs w:val="0"/>
          <w:caps w:val="0"/>
          <w:spacing w:val="1"/>
          <w:sz w:val="20"/>
          <w:szCs w:val="20"/>
          <w:lang w:val="en-US"/>
        </w:rPr>
      </w:pPr>
    </w:p>
    <w:p w14:paraId="3143E056">
      <w:pPr>
        <w:bidi w:val="0"/>
        <w:rPr>
          <w:rFonts w:hint="default" w:eastAsia="Segoe UI" w:cs="Times New Roman"/>
          <w:i w:val="0"/>
          <w:iCs w:val="0"/>
          <w:caps w:val="0"/>
          <w:spacing w:val="1"/>
          <w:sz w:val="20"/>
          <w:szCs w:val="20"/>
          <w:lang w:val="en-US"/>
        </w:rPr>
      </w:pPr>
    </w:p>
    <w:p w14:paraId="0ACCA421">
      <w:pPr>
        <w:bidi w:val="0"/>
        <w:rPr>
          <w:rFonts w:hint="default" w:eastAsia="Segoe UI" w:cs="Times New Roman"/>
          <w:i w:val="0"/>
          <w:iCs w:val="0"/>
          <w:caps w:val="0"/>
          <w:spacing w:val="1"/>
          <w:sz w:val="20"/>
          <w:szCs w:val="20"/>
          <w:lang w:val="en-US"/>
        </w:rPr>
      </w:pPr>
    </w:p>
    <w:p w14:paraId="64B98EF5">
      <w:pPr>
        <w:bidi w:val="0"/>
        <w:rPr>
          <w:rFonts w:hint="default" w:eastAsia="Segoe UI" w:cs="Times New Roman"/>
          <w:i w:val="0"/>
          <w:iCs w:val="0"/>
          <w:caps w:val="0"/>
          <w:spacing w:val="1"/>
          <w:sz w:val="20"/>
          <w:szCs w:val="20"/>
          <w:lang w:val="en-US"/>
        </w:rPr>
      </w:pPr>
    </w:p>
    <w:p w14:paraId="50E2376C">
      <w:pPr>
        <w:bidi w:val="0"/>
        <w:rPr>
          <w:rFonts w:hint="default" w:eastAsia="Segoe UI" w:cs="Times New Roman"/>
          <w:i w:val="0"/>
          <w:iCs w:val="0"/>
          <w:caps w:val="0"/>
          <w:spacing w:val="1"/>
          <w:sz w:val="20"/>
          <w:szCs w:val="20"/>
          <w:lang w:val="en-US"/>
        </w:rPr>
      </w:pPr>
      <w:r>
        <w:drawing>
          <wp:anchor distT="0" distB="0" distL="114300" distR="114300" simplePos="0" relativeHeight="251676672" behindDoc="1" locked="0" layoutInCell="1" allowOverlap="1">
            <wp:simplePos x="0" y="0"/>
            <wp:positionH relativeFrom="column">
              <wp:posOffset>-40640</wp:posOffset>
            </wp:positionH>
            <wp:positionV relativeFrom="paragraph">
              <wp:posOffset>44450</wp:posOffset>
            </wp:positionV>
            <wp:extent cx="1400810" cy="1936750"/>
            <wp:effectExtent l="0" t="0" r="1270" b="13970"/>
            <wp:wrapThrough wrapText="bothSides">
              <wp:wrapPolygon>
                <wp:start x="0" y="0"/>
                <wp:lineTo x="0" y="21416"/>
                <wp:lineTo x="21385" y="21416"/>
                <wp:lineTo x="21385" y="0"/>
                <wp:lineTo x="0" y="0"/>
              </wp:wrapPolygon>
            </wp:wrapThrough>
            <wp:docPr id="41" name="docshap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docshape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1400810" cy="1936750"/>
                    </a:xfrm>
                    <a:prstGeom prst="rect">
                      <a:avLst/>
                    </a:prstGeom>
                    <a:noFill/>
                    <a:ln>
                      <a:noFill/>
                    </a:ln>
                  </pic:spPr>
                </pic:pic>
              </a:graphicData>
            </a:graphic>
          </wp:anchor>
        </w:drawing>
      </w:r>
    </w:p>
    <w:p w14:paraId="4FC95189">
      <w:pPr>
        <w:bidi w:val="0"/>
        <w:rPr>
          <w:rFonts w:hint="default" w:ascii="Times New Roman" w:hAnsi="Times New Roman" w:eastAsia="Segoe UI" w:cs="Times New Roman"/>
          <w:i w:val="0"/>
          <w:iCs w:val="0"/>
          <w:caps w:val="0"/>
          <w:spacing w:val="1"/>
          <w:sz w:val="20"/>
          <w:szCs w:val="20"/>
        </w:rPr>
      </w:pPr>
      <w:r>
        <w:rPr>
          <w:rFonts w:hint="default" w:ascii="Times New Roman" w:hAnsi="Times New Roman" w:eastAsia="Segoe UI" w:cs="Times New Roman"/>
          <w:i w:val="0"/>
          <w:iCs w:val="0"/>
          <w:caps w:val="0"/>
          <w:spacing w:val="1"/>
          <w:sz w:val="20"/>
          <w:szCs w:val="20"/>
        </w:rPr>
        <w:t xml:space="preserve">Figure </w:t>
      </w:r>
      <w:r>
        <w:rPr>
          <w:rFonts w:hint="default" w:eastAsia="Segoe UI" w:cs="Times New Roman"/>
          <w:i w:val="0"/>
          <w:iCs w:val="0"/>
          <w:caps w:val="0"/>
          <w:spacing w:val="1"/>
          <w:sz w:val="20"/>
          <w:szCs w:val="20"/>
          <w:lang w:val="en-US"/>
        </w:rPr>
        <w:t>2</w:t>
      </w:r>
      <w:r>
        <w:rPr>
          <w:rFonts w:hint="default" w:ascii="Times New Roman" w:hAnsi="Times New Roman" w:eastAsia="Segoe UI" w:cs="Times New Roman"/>
          <w:i w:val="0"/>
          <w:iCs w:val="0"/>
          <w:caps w:val="0"/>
          <w:spacing w:val="1"/>
          <w:sz w:val="20"/>
          <w:szCs w:val="20"/>
        </w:rPr>
        <w:t>. Two-dimensional ligand-protein interaction diagrams produced using LigPlot+, an advanced version of the LIGPLOT program that automatically generates schematic</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representations of non-covalent contacts in protein-ligand complexes. Each panel displays the binding environment for a docked ligand, with protein residues and ligand atoms depicted in skeletal (ball-and-stick) form to provide atomic detail. Hydrogen bonds are illustrated as dashed green lines, while hydrophobic interactions are represented by spoked arcs extending toward the ligand; this standardized symbology facilitates easy</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comparison across different ligand poses or mutant protein structures.</w:t>
      </w:r>
      <w:r>
        <w:rPr>
          <w:rFonts w:hint="default" w:ascii="Times New Roman" w:hAnsi="Times New Roman" w:eastAsia="Segoe UI" w:cs="Times New Roman"/>
          <w:i w:val="0"/>
          <w:iCs w:val="0"/>
          <w:caps w:val="0"/>
          <w:spacing w:val="1"/>
          <w:sz w:val="20"/>
          <w:szCs w:val="20"/>
          <w:u w:val="none"/>
          <w:bdr w:val="single" w:color="auto" w:sz="2" w:space="0"/>
        </w:rPr>
        <w:fldChar w:fldCharType="begin"/>
      </w:r>
      <w:r>
        <w:rPr>
          <w:rFonts w:hint="default" w:ascii="Times New Roman" w:hAnsi="Times New Roman" w:eastAsia="Segoe UI" w:cs="Times New Roman"/>
          <w:i w:val="0"/>
          <w:iCs w:val="0"/>
          <w:caps w:val="0"/>
          <w:spacing w:val="1"/>
          <w:sz w:val="20"/>
          <w:szCs w:val="20"/>
          <w:u w:val="none"/>
          <w:bdr w:val="single" w:color="auto" w:sz="2" w:space="0"/>
        </w:rPr>
        <w:instrText xml:space="preserve"> HYPERLINK "https://www.ebi.ac.uk/thornton-srv/software/LigPlus/manual/manual.html" \t "https://www.perplexity.ai/search/_blank" </w:instrText>
      </w:r>
      <w:r>
        <w:rPr>
          <w:rFonts w:hint="default" w:ascii="Times New Roman" w:hAnsi="Times New Roman" w:eastAsia="Segoe UI" w:cs="Times New Roman"/>
          <w:i w:val="0"/>
          <w:iCs w:val="0"/>
          <w:caps w:val="0"/>
          <w:spacing w:val="1"/>
          <w:sz w:val="20"/>
          <w:szCs w:val="20"/>
          <w:u w:val="none"/>
          <w:bdr w:val="single" w:color="auto" w:sz="2" w:space="0"/>
        </w:rPr>
        <w:fldChar w:fldCharType="separate"/>
      </w:r>
      <w:r>
        <w:rPr>
          <w:rFonts w:hint="default" w:ascii="Times New Roman" w:hAnsi="Times New Roman" w:eastAsia="Segoe UI" w:cs="Times New Roman"/>
          <w:i w:val="0"/>
          <w:iCs w:val="0"/>
          <w:caps w:val="0"/>
          <w:spacing w:val="1"/>
          <w:sz w:val="20"/>
          <w:szCs w:val="20"/>
          <w:u w:val="none"/>
          <w:bdr w:val="single" w:color="auto" w:sz="2" w:space="0"/>
        </w:rPr>
        <w:fldChar w:fldCharType="end"/>
      </w:r>
      <w:r>
        <w:rPr>
          <w:rFonts w:hint="default" w:eastAsia="Segoe UI" w:cs="Times New Roman"/>
          <w:i w:val="0"/>
          <w:iCs w:val="0"/>
          <w:caps w:val="0"/>
          <w:spacing w:val="1"/>
          <w:sz w:val="20"/>
          <w:szCs w:val="20"/>
          <w:u w:val="none"/>
          <w:bdr w:val="single" w:color="auto" w:sz="2" w:space="0"/>
          <w:lang w:val="en-US"/>
        </w:rPr>
        <w:t xml:space="preserve"> </w:t>
      </w:r>
      <w:r>
        <w:rPr>
          <w:rFonts w:hint="default" w:ascii="Times New Roman" w:hAnsi="Times New Roman" w:eastAsia="Segoe UI" w:cs="Times New Roman"/>
          <w:i w:val="0"/>
          <w:iCs w:val="0"/>
          <w:caps w:val="0"/>
          <w:spacing w:val="1"/>
          <w:sz w:val="20"/>
          <w:szCs w:val="20"/>
        </w:rPr>
        <w:t>The ability of LigPlot+ to display multiple ligand-protein pairs in parallel aids the interpretation of structure-activity relationships and binding mode selectivity by overlaying or aligning interaction networks. This visual summary highlights critical residues, hydrogen-bond patterns, and hydrophobic contacts that govern ligand recognition, making LigPlot+ diagrams valuable for drug discovery, mutational analysis, and rational design efforts. The atomic-level clarity and automatic annotation of interactions accelerate the evaluation of protein-ligand complexes and enable rapid dissemination of binding site features in publications and reports.</w:t>
      </w:r>
    </w:p>
    <w:p w14:paraId="2D8E1C50">
      <w:pPr>
        <w:jc w:val="both"/>
        <w:rPr>
          <w:rFonts w:hint="default" w:ascii="Times New Roman" w:hAnsi="Times New Roman" w:eastAsia="Calibri" w:cs="Times New Roman"/>
          <w:b/>
          <w:bCs/>
          <w:color w:val="0070C0"/>
          <w:sz w:val="20"/>
          <w:szCs w:val="20"/>
          <w:lang w:val="en-US"/>
        </w:rPr>
      </w:pPr>
    </w:p>
    <w:p w14:paraId="5462D305">
      <w:pPr>
        <w:jc w:val="both"/>
        <w:rPr>
          <w:rFonts w:eastAsia="Calibri"/>
          <w:b/>
          <w:bCs/>
          <w:color w:val="0070C0"/>
          <w:sz w:val="20"/>
          <w:szCs w:val="20"/>
          <w:lang w:val="en-US"/>
        </w:rPr>
      </w:pPr>
      <w:r>
        <w:rPr>
          <w:rFonts w:eastAsia="Calibri"/>
          <w:b/>
          <w:bCs/>
          <w:color w:val="0070C0"/>
          <w:sz w:val="20"/>
          <w:szCs w:val="20"/>
          <w:lang w:val="en-US"/>
        </w:rPr>
        <w:t>4. DISCUSSION</w:t>
      </w:r>
    </w:p>
    <w:p w14:paraId="5F09DBF1">
      <w:pPr>
        <w:jc w:val="both"/>
        <w:rPr>
          <w:rFonts w:eastAsia="Calibri"/>
          <w:b/>
          <w:bCs/>
          <w:color w:val="0070C0"/>
          <w:sz w:val="20"/>
          <w:szCs w:val="20"/>
          <w:lang w:val="en-US"/>
        </w:rPr>
      </w:pPr>
    </w:p>
    <w:p w14:paraId="3F091EE1">
      <w:pPr>
        <w:jc w:val="both"/>
        <w:rPr>
          <w:rFonts w:eastAsia="Calibri"/>
          <w:sz w:val="20"/>
          <w:szCs w:val="20"/>
          <w:lang w:val="en-US"/>
        </w:rPr>
      </w:pPr>
      <w:r>
        <w:rPr>
          <w:rFonts w:eastAsia="Calibri"/>
          <w:sz w:val="20"/>
          <w:szCs w:val="20"/>
          <w:lang w:val="en-US"/>
        </w:rPr>
        <w:t>The present study provides structural and docking-based insights into mutant NRAS, one of the key oncogenic drivers in melanoma. Model validation confirmed that the generated G12D, G13D, and Q61R structures were stereo chemically reliable, allowing virtual screening of more than 5,000 natural compounds. Among the top-ranking candidates, three appeared particularly promising, displaying strong binding affinities and stable interactions involving both conserved and mutant residues. Our analysis highlights the importance of conserved residues such as Tyr-32, Thr-35, Phe-28, and Asp-119, which are known to stabilize switch I/II regions and coordinate nucleotide binding (Johnson et al., 2017). The observation that these residues consistently contributed to ligand stabilization agrees with prior crystal and biochemical studies on RAS proteins. Importantly, the results also suggest that mutant residues introduced at positions 12 and 13 can directly establish novel ligand interactions, particularly through hydrogen bonding, thereby providing unique opportunities for inhibitor design not available in the wild-type context. This dual engagement of conserved stabilizers and mutation-induced pockets may form a rational design principle for NRAS inhibition. NRAS mutations have long been associated with melanoma progression, yet direct pharmacological inhibition of NRAS remains a major therapeutic challenge. Conventional efforts have focused on downstream effectors (MEK, ERK) or membrane localization pathways.                                                                                                                                               Our results suggest that natural compounds, with diverse scaffolds and biocompatibility, may offer new chemical starting points to directly target NRAS itself. This approach is significant given the scarcity of direct NRAS inhibitors in preclinical or clinical pipelines. Nonetheless, the findings presented here are limited by their computational nature. Docking captures only a static snapshot of protein–ligand interactions and does not fully address conformational flexibility, solvation, or entropic contributions. Experimental validation, such as binding assays, cellular viability studies in NRAS-mutant melanoma models, and structural techniques, will be essential to confirm the predicted inhibitor potential. In addition, molecular dynamics simulations with free energy analyses (e.g., MM-PBSA or MM-GBSA) could refine the stability and ranking of these candidate molecules. Overall, this study demonstrates how integrating protein modeling, structural validation, and virtual screening of natural compound libraries can provide insights into potential inhibitors of mutant NRAS. The three prioritized compounds identified here warrant further testing and may serve as lead scaffolds for designing more selective inhibitors. This work underscores the value of computational drug discovery in opening new avenues against difficult-to-target oncogenes such as NRAS in melanoma.</w:t>
      </w:r>
    </w:p>
    <w:p w14:paraId="714C6B64">
      <w:pPr>
        <w:jc w:val="both"/>
        <w:rPr>
          <w:rFonts w:eastAsia="Calibri"/>
          <w:sz w:val="20"/>
          <w:szCs w:val="20"/>
          <w:lang w:val="en-US"/>
        </w:rPr>
      </w:pPr>
    </w:p>
    <w:p w14:paraId="2E9EB106">
      <w:pPr>
        <w:jc w:val="both"/>
        <w:rPr>
          <w:rFonts w:eastAsia="Calibri"/>
          <w:color w:val="0070C0"/>
          <w:sz w:val="20"/>
          <w:szCs w:val="20"/>
          <w:lang w:val="en-US"/>
        </w:rPr>
      </w:pPr>
      <w:r>
        <w:rPr>
          <w:rFonts w:eastAsia="Calibri"/>
          <w:b/>
          <w:bCs/>
          <w:color w:val="0070C0"/>
          <w:sz w:val="20"/>
          <w:szCs w:val="20"/>
          <w:lang w:val="en-US"/>
        </w:rPr>
        <w:t>4</w:t>
      </w:r>
      <w:r>
        <w:rPr>
          <w:rFonts w:eastAsia="Calibri"/>
          <w:bCs/>
          <w:color w:val="0070C0"/>
          <w:sz w:val="20"/>
          <w:szCs w:val="20"/>
          <w:lang w:val="en-US"/>
        </w:rPr>
        <w:t>.</w:t>
      </w:r>
      <w:r>
        <w:rPr>
          <w:rFonts w:eastAsia="Calibri"/>
          <w:b/>
          <w:color w:val="0070C0"/>
          <w:sz w:val="20"/>
          <w:szCs w:val="20"/>
          <w:lang w:val="en-US"/>
        </w:rPr>
        <w:t>CONCLUSION</w:t>
      </w:r>
    </w:p>
    <w:p w14:paraId="18FA0A79">
      <w:pPr>
        <w:tabs>
          <w:tab w:val="left" w:pos="709"/>
        </w:tabs>
        <w:jc w:val="both"/>
        <w:rPr>
          <w:color w:val="000000"/>
          <w:sz w:val="20"/>
          <w:szCs w:val="20"/>
        </w:rPr>
      </w:pPr>
    </w:p>
    <w:p w14:paraId="4B708EE3">
      <w:pPr>
        <w:tabs>
          <w:tab w:val="left" w:pos="709"/>
        </w:tabs>
        <w:jc w:val="both"/>
        <w:rPr>
          <w:sz w:val="20"/>
          <w:szCs w:val="20"/>
        </w:rPr>
      </w:pPr>
      <w:r>
        <w:rPr>
          <w:color w:val="000000"/>
          <w:sz w:val="20"/>
          <w:szCs w:val="20"/>
        </w:rPr>
        <w:t>Virtual screening enabled the identification of natural compounds with selective inhibitory potential against mutant NRAS variants. Key interactions were observed at both conserved and mutation-specific residues, supporting the structural relevance of the predicted binding modes. Three compounds (ZINC02096813, ZINC02120343, ZINC00518885) displayed the most favorable binding characteristics and consistent stability, indicating their promise as lead molecules for further optimization. These results underscore the value of virtual screening in guiding the discovery of candidate inhibitors for oncogenic NRAS in melanoma.</w:t>
      </w:r>
      <w:r>
        <w:rPr>
          <w:sz w:val="20"/>
          <w:szCs w:val="20"/>
        </w:rPr>
        <w:t xml:space="preserve">. </w:t>
      </w:r>
    </w:p>
    <w:p w14:paraId="38266685">
      <w:pPr>
        <w:jc w:val="both"/>
        <w:rPr>
          <w:rFonts w:eastAsia="Calibri"/>
          <w:b/>
          <w:bCs/>
          <w:color w:val="0070C0"/>
          <w:sz w:val="20"/>
          <w:szCs w:val="20"/>
          <w:lang w:val="en-US"/>
        </w:rPr>
      </w:pPr>
    </w:p>
    <w:p w14:paraId="3437BDCE">
      <w:pPr>
        <w:jc w:val="both"/>
        <w:rPr>
          <w:rFonts w:eastAsia="Calibri"/>
          <w:b/>
          <w:bCs/>
          <w:color w:val="0070C0"/>
          <w:sz w:val="20"/>
          <w:szCs w:val="20"/>
          <w:lang w:val="en-US"/>
        </w:rPr>
      </w:pPr>
      <w:r>
        <w:rPr>
          <w:rFonts w:eastAsia="Calibri"/>
          <w:b/>
          <w:bCs/>
          <w:color w:val="0070C0"/>
          <w:sz w:val="20"/>
          <w:szCs w:val="20"/>
          <w:lang w:val="en-US"/>
        </w:rPr>
        <w:t>Acknowledgements</w:t>
      </w:r>
    </w:p>
    <w:p w14:paraId="7D60B3BE">
      <w:pPr>
        <w:jc w:val="both"/>
        <w:rPr>
          <w:rFonts w:eastAsia="Calibri"/>
          <w:b/>
          <w:bCs/>
          <w:color w:val="0070C0"/>
          <w:sz w:val="20"/>
          <w:szCs w:val="20"/>
          <w:lang w:val="en-US"/>
        </w:rPr>
      </w:pPr>
    </w:p>
    <w:p w14:paraId="1F3ACBD1">
      <w:pPr>
        <w:jc w:val="both"/>
        <w:rPr>
          <w:rFonts w:eastAsia="Calibri"/>
          <w:bCs/>
          <w:color w:val="000000" w:themeColor="text1"/>
          <w:sz w:val="20"/>
          <w:szCs w:val="20"/>
          <w:lang w:val="en-US"/>
          <w14:textFill>
            <w14:solidFill>
              <w14:schemeClr w14:val="tx1"/>
            </w14:solidFill>
          </w14:textFill>
        </w:rPr>
      </w:pPr>
      <w:r>
        <w:rPr>
          <w:rFonts w:eastAsia="Calibri"/>
          <w:bCs/>
          <w:color w:val="000000" w:themeColor="text1"/>
          <w:sz w:val="20"/>
          <w:szCs w:val="20"/>
          <w:lang w:val="en-US"/>
          <w14:textFill>
            <w14:solidFill>
              <w14:schemeClr w14:val="tx1"/>
            </w14:solidFill>
          </w14:textFill>
        </w:rPr>
        <w:t>The authors gratefully acknowledge Dr. Rohan Meshram from Savitribai Phule Pune University for his invaluable co-guidance and support throughout the study.</w:t>
      </w:r>
    </w:p>
    <w:p w14:paraId="7D8F277B">
      <w:pPr>
        <w:jc w:val="both"/>
        <w:rPr>
          <w:rFonts w:eastAsia="Calibri"/>
          <w:b/>
          <w:bCs/>
          <w:color w:val="0070C0"/>
          <w:sz w:val="20"/>
          <w:szCs w:val="20"/>
        </w:rPr>
      </w:pPr>
    </w:p>
    <w:p w14:paraId="2DA9D87C">
      <w:pPr>
        <w:jc w:val="both"/>
        <w:rPr>
          <w:rFonts w:eastAsia="Calibri"/>
          <w:b/>
          <w:bCs/>
          <w:color w:val="0070C0"/>
          <w:sz w:val="20"/>
          <w:szCs w:val="20"/>
          <w:lang w:val="en-US"/>
        </w:rPr>
      </w:pPr>
      <w:r>
        <w:rPr>
          <w:rFonts w:eastAsia="Calibri"/>
          <w:b/>
          <w:bCs/>
          <w:color w:val="0070C0"/>
          <w:sz w:val="20"/>
          <w:szCs w:val="20"/>
          <w:lang w:val="en-US"/>
        </w:rPr>
        <w:t>Conflict of Interest</w:t>
      </w:r>
    </w:p>
    <w:p w14:paraId="004E1248">
      <w:pPr>
        <w:jc w:val="both"/>
        <w:rPr>
          <w:rFonts w:eastAsia="Calibri"/>
          <w:b/>
          <w:bCs/>
          <w:color w:val="0070C0"/>
          <w:sz w:val="20"/>
          <w:szCs w:val="20"/>
          <w:lang w:val="en-US"/>
        </w:rPr>
      </w:pPr>
    </w:p>
    <w:p w14:paraId="03AFA772">
      <w:pPr>
        <w:jc w:val="both"/>
        <w:rPr>
          <w:rFonts w:eastAsia="Calibri"/>
          <w:sz w:val="20"/>
          <w:szCs w:val="20"/>
          <w:lang w:val="en-US"/>
        </w:rPr>
      </w:pPr>
      <w:r>
        <w:rPr>
          <w:rFonts w:eastAsia="Calibri"/>
          <w:sz w:val="20"/>
          <w:szCs w:val="20"/>
          <w:lang w:val="en-US"/>
        </w:rPr>
        <w:t>The authors declare that they have no conflicts of interest.</w:t>
      </w:r>
    </w:p>
    <w:p w14:paraId="7DD2F393">
      <w:pPr>
        <w:jc w:val="both"/>
        <w:rPr>
          <w:rFonts w:eastAsia="Calibri"/>
          <w:b/>
          <w:color w:val="0070C0"/>
          <w:sz w:val="20"/>
          <w:szCs w:val="20"/>
          <w:lang w:val="en-US"/>
        </w:rPr>
      </w:pPr>
    </w:p>
    <w:p w14:paraId="04B77FF5">
      <w:pPr>
        <w:jc w:val="both"/>
        <w:rPr>
          <w:rFonts w:eastAsia="Calibri"/>
          <w:b/>
          <w:color w:val="0070C0"/>
          <w:sz w:val="20"/>
          <w:szCs w:val="20"/>
          <w:lang w:val="en-US"/>
        </w:rPr>
      </w:pPr>
      <w:r>
        <w:rPr>
          <w:rFonts w:eastAsia="Calibri"/>
          <w:b/>
          <w:color w:val="0070C0"/>
          <w:sz w:val="20"/>
          <w:szCs w:val="20"/>
          <w:lang w:val="en-US"/>
        </w:rPr>
        <w:t xml:space="preserve">REFERENCES </w:t>
      </w:r>
    </w:p>
    <w:p w14:paraId="62AFF75E">
      <w:pPr>
        <w:jc w:val="both"/>
        <w:rPr>
          <w:sz w:val="20"/>
        </w:rPr>
      </w:pPr>
    </w:p>
    <w:p w14:paraId="0EB48EAF">
      <w:pPr>
        <w:jc w:val="both"/>
        <w:rPr>
          <w:rFonts w:eastAsia="Calibri"/>
          <w:b/>
          <w:color w:val="0070C0"/>
          <w:sz w:val="20"/>
          <w:szCs w:val="20"/>
          <w:lang w:val="en-US"/>
        </w:rPr>
      </w:pPr>
      <w:r>
        <w:rPr>
          <w:sz w:val="20"/>
        </w:rPr>
        <w:t xml:space="preserve">The references must be formatted in accordance with </w:t>
      </w:r>
      <w:r>
        <w:rPr>
          <w:b/>
          <w:bCs/>
          <w:sz w:val="20"/>
        </w:rPr>
        <w:t>APA 7,</w:t>
      </w:r>
      <w:r>
        <w:rPr>
          <w:sz w:val="20"/>
        </w:rPr>
        <w:t xml:space="preserve"> one of the internationally recognized citation styles. </w:t>
      </w:r>
      <w:r>
        <w:rPr>
          <w:color w:val="FF0000"/>
          <w:sz w:val="20"/>
          <w:szCs w:val="20"/>
        </w:rPr>
        <w:t>(Please ensure that the references are listed in alphabetical order according to the authors’ last names)</w:t>
      </w:r>
    </w:p>
    <w:p w14:paraId="3FD27749">
      <w:pPr>
        <w:ind w:hanging="397"/>
        <w:rPr>
          <w:rFonts w:eastAsia="Calibri"/>
          <w:sz w:val="20"/>
          <w:szCs w:val="20"/>
          <w:lang w:val="en-US"/>
        </w:rPr>
      </w:pPr>
    </w:p>
    <w:p w14:paraId="43621A3F">
      <w:pPr>
        <w:jc w:val="both"/>
        <w:rPr>
          <w:b/>
          <w:color w:val="000000" w:themeColor="text1"/>
          <w:sz w:val="20"/>
          <w:szCs w:val="20"/>
          <w:lang w:val="en-US"/>
          <w14:textFill>
            <w14:solidFill>
              <w14:schemeClr w14:val="tx1"/>
            </w14:solidFill>
          </w14:textFill>
        </w:rPr>
      </w:pPr>
      <w:r>
        <w:rPr>
          <w:b/>
          <w:color w:val="000000" w:themeColor="text1"/>
          <w:sz w:val="20"/>
          <w:szCs w:val="20"/>
          <w:lang w:val="en-US"/>
          <w14:textFill>
            <w14:solidFill>
              <w14:schemeClr w14:val="tx1"/>
            </w14:solidFill>
          </w14:textFill>
        </w:rPr>
        <w:t>Styles in the Text</w:t>
      </w:r>
    </w:p>
    <w:p w14:paraId="2595C306">
      <w:pPr>
        <w:jc w:val="both"/>
        <w:rPr>
          <w:color w:val="000000" w:themeColor="text1"/>
          <w:sz w:val="20"/>
          <w:szCs w:val="20"/>
          <w:lang w:val="en-US"/>
          <w14:textFill>
            <w14:solidFill>
              <w14:schemeClr w14:val="tx1"/>
            </w14:solidFill>
          </w14:textFill>
        </w:rPr>
      </w:pPr>
    </w:p>
    <w:p w14:paraId="7D677260">
      <w:pPr>
        <w:jc w:val="both"/>
        <w:rPr>
          <w:color w:val="000000" w:themeColor="text1"/>
          <w:sz w:val="20"/>
          <w:szCs w:val="20"/>
          <w:lang w:val="en-US"/>
          <w14:textFill>
            <w14:solidFill>
              <w14:schemeClr w14:val="tx1"/>
            </w14:solidFill>
          </w14:textFill>
        </w:rPr>
      </w:pPr>
      <w:r>
        <w:rPr>
          <w:color w:val="000000" w:themeColor="text1"/>
          <w:sz w:val="20"/>
          <w:szCs w:val="20"/>
          <w:lang w:val="en-US"/>
          <w14:textFill>
            <w14:solidFill>
              <w14:schemeClr w14:val="tx1"/>
            </w14:solidFill>
          </w14:textFill>
        </w:rPr>
        <w:t>References should be given with number as uppercript in the text. The various examples are given below.</w:t>
      </w:r>
    </w:p>
    <w:p w14:paraId="049BCBBC">
      <w:pPr>
        <w:jc w:val="both"/>
        <w:rPr>
          <w:color w:val="000000" w:themeColor="text1"/>
          <w:sz w:val="20"/>
          <w:szCs w:val="20"/>
          <w:lang w:val="en-US"/>
          <w14:textFill>
            <w14:solidFill>
              <w14:schemeClr w14:val="tx1"/>
            </w14:solidFill>
          </w14:textFill>
        </w:rPr>
      </w:pPr>
    </w:p>
    <w:p w14:paraId="67E38C57">
      <w:pPr>
        <w:jc w:val="both"/>
        <w:rPr>
          <w:b/>
          <w:bCs/>
          <w:sz w:val="20"/>
          <w:shd w:val="clear" w:color="auto" w:fill="FFFFFF"/>
        </w:rPr>
      </w:pPr>
      <w:r>
        <w:rPr>
          <w:b/>
          <w:bCs/>
          <w:sz w:val="20"/>
          <w:shd w:val="clear" w:color="auto" w:fill="FFFFFF"/>
        </w:rPr>
        <w:t>Reference style</w:t>
      </w:r>
    </w:p>
    <w:p w14:paraId="1F8BC36B">
      <w:pPr>
        <w:jc w:val="both"/>
        <w:rPr>
          <w:b/>
          <w:bCs/>
          <w:sz w:val="20"/>
          <w:shd w:val="clear" w:color="auto" w:fill="FFFFFF"/>
        </w:rPr>
      </w:pPr>
      <w:r>
        <w:rPr>
          <w:b/>
          <w:bCs/>
          <w:sz w:val="20"/>
          <w:shd w:val="clear" w:color="auto" w:fill="FFFFFF"/>
        </w:rPr>
        <w:t>All citations in the text should refer to:</w:t>
      </w:r>
    </w:p>
    <w:p w14:paraId="4FD4A33B">
      <w:pPr>
        <w:jc w:val="both"/>
        <w:rPr>
          <w:sz w:val="20"/>
          <w:shd w:val="clear" w:color="auto" w:fill="FFFFFF"/>
        </w:rPr>
      </w:pPr>
    </w:p>
    <w:p w14:paraId="2B86F397">
      <w:pPr>
        <w:jc w:val="both"/>
        <w:rPr>
          <w:sz w:val="20"/>
          <w:shd w:val="clear" w:color="auto" w:fill="FFFFFF"/>
        </w:rPr>
      </w:pPr>
      <w:r>
        <w:rPr>
          <w:b/>
          <w:bCs/>
          <w:sz w:val="20"/>
          <w:shd w:val="clear" w:color="auto" w:fill="FFFFFF"/>
        </w:rPr>
        <w:t>Single author:</w:t>
      </w:r>
      <w:r>
        <w:rPr>
          <w:sz w:val="20"/>
          <w:shd w:val="clear" w:color="auto" w:fill="FFFFFF"/>
        </w:rPr>
        <w:t xml:space="preserve"> the author's name (without initials, unless there is ambiguity) and the year of publication.</w:t>
      </w:r>
    </w:p>
    <w:p w14:paraId="733BA392">
      <w:pPr>
        <w:jc w:val="both"/>
        <w:rPr>
          <w:sz w:val="20"/>
          <w:shd w:val="clear" w:color="auto" w:fill="FFFFFF"/>
        </w:rPr>
      </w:pPr>
    </w:p>
    <w:p w14:paraId="51FF0F53">
      <w:pPr>
        <w:jc w:val="both"/>
        <w:rPr>
          <w:sz w:val="20"/>
          <w:shd w:val="clear" w:color="auto" w:fill="FFFFFF"/>
        </w:rPr>
      </w:pPr>
      <w:r>
        <w:rPr>
          <w:b/>
          <w:bCs/>
          <w:sz w:val="20"/>
          <w:shd w:val="clear" w:color="auto" w:fill="FFFFFF"/>
        </w:rPr>
        <w:t>Two authors:</w:t>
      </w:r>
      <w:r>
        <w:rPr>
          <w:sz w:val="20"/>
          <w:shd w:val="clear" w:color="auto" w:fill="FFFFFF"/>
        </w:rPr>
        <w:t xml:space="preserve"> both authors' names and the year of publication.</w:t>
      </w:r>
    </w:p>
    <w:p w14:paraId="40FBC396">
      <w:pPr>
        <w:jc w:val="both"/>
        <w:rPr>
          <w:sz w:val="20"/>
          <w:shd w:val="clear" w:color="auto" w:fill="FFFFFF"/>
        </w:rPr>
      </w:pPr>
    </w:p>
    <w:p w14:paraId="158B2291">
      <w:pPr>
        <w:jc w:val="both"/>
        <w:rPr>
          <w:sz w:val="20"/>
          <w:shd w:val="clear" w:color="auto" w:fill="FFFFFF"/>
        </w:rPr>
      </w:pPr>
      <w:r>
        <w:rPr>
          <w:b/>
          <w:bCs/>
          <w:sz w:val="20"/>
          <w:shd w:val="clear" w:color="auto" w:fill="FFFFFF"/>
        </w:rPr>
        <w:t>Three or more authors:</w:t>
      </w:r>
      <w:r>
        <w:rPr>
          <w:sz w:val="20"/>
          <w:shd w:val="clear" w:color="auto" w:fill="FFFFFF"/>
        </w:rPr>
        <w:t xml:space="preserve"> first author's name followed by 'et al.' and the year of publication.</w:t>
      </w:r>
    </w:p>
    <w:p w14:paraId="15B9DCAF">
      <w:pPr>
        <w:jc w:val="both"/>
        <w:rPr>
          <w:sz w:val="20"/>
          <w:shd w:val="clear" w:color="auto" w:fill="FFFFFF"/>
        </w:rPr>
      </w:pPr>
    </w:p>
    <w:p w14:paraId="1653EE68">
      <w:pPr>
        <w:jc w:val="both"/>
        <w:rPr>
          <w:sz w:val="20"/>
          <w:shd w:val="clear" w:color="auto" w:fill="FFFFFF"/>
        </w:rPr>
      </w:pPr>
      <w:r>
        <w:rPr>
          <w:sz w:val="20"/>
          <w:shd w:val="clear" w:color="auto" w:fill="FFFFFF"/>
        </w:rPr>
        <w:t>Citations can be made directly (or parenthetically). Groups of references can be listed either first alphabetically, then chronologically, or vice versa. Examples: "as demonstrated (Allan, 2020a, 2020b; Allan and Jones, 2019)" or "as demonstrated (Jones, 2019; Allan, 2020). Kramer et al. (2023) have recently shown".</w:t>
      </w:r>
    </w:p>
    <w:p w14:paraId="2CEDD48A">
      <w:pPr>
        <w:jc w:val="both"/>
        <w:rPr>
          <w:sz w:val="20"/>
          <w:shd w:val="clear" w:color="auto" w:fill="FFFFFF"/>
        </w:rPr>
      </w:pPr>
    </w:p>
    <w:p w14:paraId="3AFF73EC">
      <w:pPr>
        <w:jc w:val="both"/>
        <w:rPr>
          <w:sz w:val="20"/>
          <w:shd w:val="clear" w:color="auto" w:fill="FFFFFF"/>
        </w:rPr>
      </w:pPr>
      <w:r>
        <w:rPr>
          <w:sz w:val="20"/>
          <w:shd w:val="clear" w:color="auto" w:fill="FFFFFF"/>
        </w:rPr>
        <w:t>The list of references should be arranged alphabetically and then chronologically if necessary. More than one reference from the same author(s) in the same year must be identified by the letters 'a', 'b', 'c', etc., placed after the year of publication.</w:t>
      </w:r>
    </w:p>
    <w:p w14:paraId="750EEAA4">
      <w:pPr>
        <w:jc w:val="both"/>
        <w:rPr>
          <w:sz w:val="20"/>
          <w:shd w:val="clear" w:color="auto" w:fill="FFFFFF"/>
        </w:rPr>
      </w:pPr>
    </w:p>
    <w:p w14:paraId="63A6C81B">
      <w:pPr>
        <w:jc w:val="both"/>
        <w:rPr>
          <w:b/>
          <w:bCs/>
          <w:sz w:val="20"/>
          <w:shd w:val="clear" w:color="auto" w:fill="FFFFFF"/>
        </w:rPr>
      </w:pPr>
    </w:p>
    <w:p w14:paraId="3D85DB6D">
      <w:pPr>
        <w:jc w:val="both"/>
        <w:rPr>
          <w:b/>
          <w:bCs/>
          <w:sz w:val="20"/>
          <w:shd w:val="clear" w:color="auto" w:fill="FFFFFF"/>
        </w:rPr>
      </w:pPr>
    </w:p>
    <w:p w14:paraId="53446149">
      <w:pPr>
        <w:jc w:val="both"/>
        <w:rPr>
          <w:b/>
          <w:bCs/>
          <w:sz w:val="20"/>
          <w:shd w:val="clear" w:color="auto" w:fill="FFFFFF"/>
        </w:rPr>
      </w:pPr>
    </w:p>
    <w:p w14:paraId="11ABA812">
      <w:pPr>
        <w:jc w:val="both"/>
        <w:rPr>
          <w:b/>
          <w:bCs/>
          <w:sz w:val="20"/>
          <w:shd w:val="clear" w:color="auto" w:fill="FFFFFF"/>
        </w:rPr>
      </w:pPr>
    </w:p>
    <w:p w14:paraId="584C8179">
      <w:pPr>
        <w:jc w:val="both"/>
        <w:rPr>
          <w:b/>
          <w:bCs/>
          <w:sz w:val="20"/>
          <w:shd w:val="clear" w:color="auto" w:fill="FFFFFF"/>
        </w:rPr>
      </w:pPr>
      <w:r>
        <w:rPr>
          <w:b/>
          <w:bCs/>
          <w:sz w:val="20"/>
          <w:shd w:val="clear" w:color="auto" w:fill="FFFFFF"/>
        </w:rPr>
        <w:t>Reference to a journal publication:</w:t>
      </w:r>
    </w:p>
    <w:p w14:paraId="0A0FEE61">
      <w:pPr>
        <w:jc w:val="both"/>
        <w:rPr>
          <w:sz w:val="20"/>
          <w:shd w:val="clear" w:color="auto" w:fill="FFFFFF"/>
        </w:rPr>
      </w:pPr>
    </w:p>
    <w:p w14:paraId="2038B68A">
      <w:pPr>
        <w:jc w:val="both"/>
        <w:rPr>
          <w:sz w:val="20"/>
          <w:shd w:val="clear" w:color="auto" w:fill="FFFFFF"/>
        </w:rPr>
      </w:pPr>
      <w:r>
        <w:rPr>
          <w:sz w:val="20"/>
          <w:shd w:val="clear" w:color="auto" w:fill="FFFFFF"/>
        </w:rPr>
        <w:t>Van der Geer, J., Handgraaf, T., Lupton, R.A., 2020. The art of writing a scientific article. J. Sci. Commun. 163, 51–59</w:t>
      </w:r>
      <w:r>
        <w:rPr>
          <w:color w:val="00B0F0"/>
          <w:sz w:val="20"/>
          <w:shd w:val="clear" w:color="auto" w:fill="FFFFFF"/>
        </w:rPr>
        <w:t>. https://doi.org/10.1016/j.sc.2020.00372.</w:t>
      </w:r>
    </w:p>
    <w:p w14:paraId="3ABF818F">
      <w:pPr>
        <w:jc w:val="both"/>
        <w:rPr>
          <w:sz w:val="20"/>
          <w:shd w:val="clear" w:color="auto" w:fill="FFFFFF"/>
        </w:rPr>
      </w:pPr>
    </w:p>
    <w:p w14:paraId="5FDA11FB">
      <w:pPr>
        <w:jc w:val="both"/>
        <w:rPr>
          <w:b/>
          <w:bCs/>
          <w:sz w:val="20"/>
          <w:shd w:val="clear" w:color="auto" w:fill="FFFFFF"/>
        </w:rPr>
      </w:pPr>
      <w:r>
        <w:rPr>
          <w:b/>
          <w:bCs/>
          <w:sz w:val="20"/>
          <w:shd w:val="clear" w:color="auto" w:fill="FFFFFF"/>
        </w:rPr>
        <w:t>Reference to a journal publication with an article number:</w:t>
      </w:r>
    </w:p>
    <w:p w14:paraId="4BF0AB84">
      <w:pPr>
        <w:jc w:val="both"/>
        <w:rPr>
          <w:sz w:val="20"/>
          <w:shd w:val="clear" w:color="auto" w:fill="FFFFFF"/>
        </w:rPr>
      </w:pPr>
    </w:p>
    <w:p w14:paraId="6AF0BEEB">
      <w:pPr>
        <w:jc w:val="both"/>
        <w:rPr>
          <w:sz w:val="20"/>
          <w:shd w:val="clear" w:color="auto" w:fill="FFFFFF"/>
        </w:rPr>
      </w:pPr>
      <w:r>
        <w:rPr>
          <w:sz w:val="20"/>
          <w:shd w:val="clear" w:color="auto" w:fill="FFFFFF"/>
        </w:rPr>
        <w:t xml:space="preserve">Van der Geer, J., Handgraaf, T., Lupton, R.A., 2022. The art of writing a scientific article. Heliyon. 19, e00205. </w:t>
      </w:r>
      <w:r>
        <w:rPr>
          <w:color w:val="00B0F0"/>
          <w:sz w:val="20"/>
          <w:shd w:val="clear" w:color="auto" w:fill="FFFFFF"/>
        </w:rPr>
        <w:t>https://doi.org/10.1016/j.heliyon.2022.e00205.</w:t>
      </w:r>
    </w:p>
    <w:p w14:paraId="30D920A7">
      <w:pPr>
        <w:jc w:val="both"/>
        <w:rPr>
          <w:sz w:val="20"/>
          <w:shd w:val="clear" w:color="auto" w:fill="FFFFFF"/>
        </w:rPr>
      </w:pPr>
    </w:p>
    <w:p w14:paraId="14C67412">
      <w:pPr>
        <w:jc w:val="both"/>
        <w:rPr>
          <w:b/>
          <w:bCs/>
          <w:sz w:val="20"/>
          <w:shd w:val="clear" w:color="auto" w:fill="FFFFFF"/>
        </w:rPr>
      </w:pPr>
      <w:r>
        <w:rPr>
          <w:b/>
          <w:bCs/>
          <w:sz w:val="20"/>
          <w:shd w:val="clear" w:color="auto" w:fill="FFFFFF"/>
        </w:rPr>
        <w:t>Reference to a book:</w:t>
      </w:r>
    </w:p>
    <w:p w14:paraId="1C5FA25E">
      <w:pPr>
        <w:jc w:val="both"/>
        <w:rPr>
          <w:sz w:val="20"/>
          <w:shd w:val="clear" w:color="auto" w:fill="FFFFFF"/>
        </w:rPr>
      </w:pPr>
    </w:p>
    <w:p w14:paraId="1BE4C319">
      <w:pPr>
        <w:jc w:val="both"/>
        <w:rPr>
          <w:sz w:val="20"/>
          <w:shd w:val="clear" w:color="auto" w:fill="FFFFFF"/>
        </w:rPr>
      </w:pPr>
      <w:r>
        <w:rPr>
          <w:sz w:val="20"/>
          <w:shd w:val="clear" w:color="auto" w:fill="FFFFFF"/>
        </w:rPr>
        <w:t>Strunk Jr., W., White, E.B., 2000. The Elements of Style, fourth ed. Longman, New York.</w:t>
      </w:r>
    </w:p>
    <w:p w14:paraId="321D4C7B">
      <w:pPr>
        <w:jc w:val="both"/>
        <w:rPr>
          <w:sz w:val="20"/>
          <w:shd w:val="clear" w:color="auto" w:fill="FFFFFF"/>
        </w:rPr>
      </w:pPr>
    </w:p>
    <w:p w14:paraId="290BDF94">
      <w:pPr>
        <w:jc w:val="both"/>
        <w:rPr>
          <w:b/>
          <w:bCs/>
          <w:sz w:val="20"/>
          <w:shd w:val="clear" w:color="auto" w:fill="FFFFFF"/>
        </w:rPr>
      </w:pPr>
      <w:r>
        <w:rPr>
          <w:b/>
          <w:bCs/>
          <w:sz w:val="20"/>
          <w:shd w:val="clear" w:color="auto" w:fill="FFFFFF"/>
        </w:rPr>
        <w:t>Reference to a chapter in a book:</w:t>
      </w:r>
    </w:p>
    <w:p w14:paraId="478D02E3">
      <w:pPr>
        <w:jc w:val="both"/>
        <w:rPr>
          <w:sz w:val="20"/>
          <w:shd w:val="clear" w:color="auto" w:fill="FFFFFF"/>
        </w:rPr>
      </w:pPr>
    </w:p>
    <w:p w14:paraId="07B49B4E">
      <w:pPr>
        <w:jc w:val="both"/>
        <w:rPr>
          <w:sz w:val="20"/>
          <w:shd w:val="clear" w:color="auto" w:fill="FFFFFF"/>
        </w:rPr>
      </w:pPr>
      <w:r>
        <w:rPr>
          <w:sz w:val="20"/>
          <w:shd w:val="clear" w:color="auto" w:fill="FFFFFF"/>
        </w:rPr>
        <w:t>Mettam, G.R., Adams, L.B., 2023. How to prepare an electronic version of your article, in: Jones, B.S., Smith, R.Z. (Eds.), Introduction to the Electronic Age. E-Publishing Inc., New York, pp. 281–304.</w:t>
      </w:r>
    </w:p>
    <w:p w14:paraId="36B6B4D6">
      <w:pPr>
        <w:jc w:val="both"/>
        <w:rPr>
          <w:sz w:val="20"/>
          <w:shd w:val="clear" w:color="auto" w:fill="FFFFFF"/>
        </w:rPr>
      </w:pPr>
    </w:p>
    <w:p w14:paraId="1A4443BF">
      <w:pPr>
        <w:jc w:val="both"/>
        <w:rPr>
          <w:b/>
          <w:bCs/>
          <w:sz w:val="20"/>
          <w:shd w:val="clear" w:color="auto" w:fill="FFFFFF"/>
        </w:rPr>
      </w:pPr>
      <w:r>
        <w:rPr>
          <w:b/>
          <w:bCs/>
          <w:sz w:val="20"/>
          <w:shd w:val="clear" w:color="auto" w:fill="FFFFFF"/>
        </w:rPr>
        <w:t>Reference to a website:</w:t>
      </w:r>
    </w:p>
    <w:p w14:paraId="47E7AD3C">
      <w:pPr>
        <w:jc w:val="both"/>
        <w:rPr>
          <w:sz w:val="20"/>
          <w:shd w:val="clear" w:color="auto" w:fill="FFFFFF"/>
        </w:rPr>
      </w:pPr>
    </w:p>
    <w:p w14:paraId="1DEDAF24">
      <w:pPr>
        <w:jc w:val="both"/>
        <w:rPr>
          <w:color w:val="00B0F0"/>
          <w:sz w:val="20"/>
          <w:shd w:val="clear" w:color="auto" w:fill="FFFFFF"/>
        </w:rPr>
      </w:pPr>
      <w:r>
        <w:rPr>
          <w:sz w:val="20"/>
          <w:shd w:val="clear" w:color="auto" w:fill="FFFFFF"/>
        </w:rPr>
        <w:t xml:space="preserve">Cancer Research UK, 2023. Cancer statistics reports for the UK. </w:t>
      </w:r>
      <w:r>
        <w:rPr>
          <w:color w:val="00B0F0"/>
          <w:sz w:val="20"/>
          <w:shd w:val="clear" w:color="auto" w:fill="FFFFFF"/>
        </w:rPr>
        <w:t>http://www.cancerresearchuk.org/aboutcancer/statistics/cancerstatsreport/ (accessed 13 March 2023).</w:t>
      </w:r>
    </w:p>
    <w:p w14:paraId="4264B179">
      <w:pPr>
        <w:jc w:val="both"/>
        <w:rPr>
          <w:sz w:val="20"/>
          <w:shd w:val="clear" w:color="auto" w:fill="FFFFFF"/>
        </w:rPr>
      </w:pPr>
    </w:p>
    <w:p w14:paraId="2BF94E0B">
      <w:pPr>
        <w:jc w:val="both"/>
        <w:rPr>
          <w:b/>
          <w:bCs/>
          <w:sz w:val="20"/>
          <w:shd w:val="clear" w:color="auto" w:fill="FFFFFF"/>
        </w:rPr>
      </w:pPr>
      <w:r>
        <w:rPr>
          <w:b/>
          <w:bCs/>
          <w:sz w:val="20"/>
          <w:shd w:val="clear" w:color="auto" w:fill="FFFFFF"/>
        </w:rPr>
        <w:t>Reference to a dataset:</w:t>
      </w:r>
    </w:p>
    <w:p w14:paraId="1633C2BB">
      <w:pPr>
        <w:jc w:val="both"/>
        <w:rPr>
          <w:sz w:val="20"/>
          <w:shd w:val="clear" w:color="auto" w:fill="FFFFFF"/>
        </w:rPr>
      </w:pPr>
    </w:p>
    <w:p w14:paraId="5AC24564">
      <w:pPr>
        <w:jc w:val="both"/>
        <w:rPr>
          <w:sz w:val="20"/>
          <w:shd w:val="clear" w:color="auto" w:fill="FFFFFF"/>
        </w:rPr>
      </w:pPr>
      <w:r>
        <w:rPr>
          <w:sz w:val="20"/>
          <w:shd w:val="clear" w:color="auto" w:fill="FFFFFF"/>
        </w:rPr>
        <w:t xml:space="preserve">Oguro, M., Imahiro, S., Saito, S., Nakashizuka, T., 2015. Mortality data for Japanese oak wilt disease and surrounding forest compositions [dataset]. Mendeley Data, v1. </w:t>
      </w:r>
      <w:r>
        <w:rPr>
          <w:color w:val="00B0F0"/>
          <w:sz w:val="20"/>
          <w:shd w:val="clear" w:color="auto" w:fill="FFFFFF"/>
        </w:rPr>
        <w:t>https://doi.org/10.17632/xwj98nb39r.1.</w:t>
      </w:r>
    </w:p>
    <w:p w14:paraId="69ECF5C7">
      <w:pPr>
        <w:jc w:val="both"/>
        <w:rPr>
          <w:sz w:val="20"/>
          <w:shd w:val="clear" w:color="auto" w:fill="FFFFFF"/>
        </w:rPr>
      </w:pPr>
    </w:p>
    <w:p w14:paraId="429DB513">
      <w:pPr>
        <w:jc w:val="both"/>
        <w:rPr>
          <w:b/>
          <w:bCs/>
          <w:sz w:val="20"/>
          <w:shd w:val="clear" w:color="auto" w:fill="FFFFFF"/>
        </w:rPr>
      </w:pPr>
      <w:r>
        <w:rPr>
          <w:b/>
          <w:bCs/>
          <w:sz w:val="20"/>
          <w:shd w:val="clear" w:color="auto" w:fill="FFFFFF"/>
        </w:rPr>
        <w:t>Reference to software:</w:t>
      </w:r>
    </w:p>
    <w:p w14:paraId="37387551">
      <w:pPr>
        <w:jc w:val="both"/>
        <w:rPr>
          <w:sz w:val="20"/>
          <w:shd w:val="clear" w:color="auto" w:fill="FFFFFF"/>
        </w:rPr>
      </w:pPr>
    </w:p>
    <w:p w14:paraId="0BF96EFC">
      <w:pPr>
        <w:jc w:val="both"/>
        <w:rPr>
          <w:sz w:val="20"/>
          <w:shd w:val="clear" w:color="auto" w:fill="FFFFFF"/>
        </w:rPr>
      </w:pPr>
      <w:r>
        <w:rPr>
          <w:sz w:val="20"/>
          <w:shd w:val="clear" w:color="auto" w:fill="FFFFFF"/>
        </w:rPr>
        <w:t xml:space="preserve">Coon, E., Berndt, M., Jan, A., Svyatsky, D., Atchley, A., Kikinzon, E., Harp, D., Manzini, G., Shelef, E., Lipnikov, K., Garimella, R., Xu, C., Moulton, D., Karra, S., Painter, S., Jafarov, E., &amp; Molins, S., 2020. Advanced Terrestrial Simulator (ATS) v0.88 (Version 0.88) [software]. Zenodo. </w:t>
      </w:r>
      <w:r>
        <w:rPr>
          <w:color w:val="00B0F0"/>
          <w:sz w:val="20"/>
          <w:shd w:val="clear" w:color="auto" w:fill="FFFFFF"/>
        </w:rPr>
        <w:t>https://doi.org/10.5281/zenodo.3727209.</w:t>
      </w:r>
    </w:p>
    <w:p w14:paraId="7B2362C1">
      <w:pPr>
        <w:jc w:val="both"/>
        <w:rPr>
          <w:sz w:val="20"/>
          <w:shd w:val="clear" w:color="auto" w:fill="FFFFFF"/>
        </w:rPr>
      </w:pPr>
    </w:p>
    <w:p w14:paraId="17908292">
      <w:pPr>
        <w:jc w:val="both"/>
        <w:rPr>
          <w:b/>
          <w:bCs/>
          <w:sz w:val="20"/>
          <w:shd w:val="clear" w:color="auto" w:fill="FFFFFF"/>
        </w:rPr>
      </w:pPr>
      <w:r>
        <w:rPr>
          <w:b/>
          <w:bCs/>
          <w:sz w:val="20"/>
          <w:shd w:val="clear" w:color="auto" w:fill="FFFFFF"/>
        </w:rPr>
        <w:t>Web references</w:t>
      </w:r>
    </w:p>
    <w:p w14:paraId="1DEDE9A4">
      <w:pPr>
        <w:jc w:val="both"/>
        <w:rPr>
          <w:sz w:val="20"/>
          <w:shd w:val="clear" w:color="auto" w:fill="FFFFFF"/>
        </w:rPr>
      </w:pPr>
      <w:r>
        <w:rPr>
          <w:sz w:val="20"/>
          <w:shd w:val="clear" w:color="auto" w:fill="FFFFFF"/>
        </w:rPr>
        <w:t>When listing web references, as a minimum you should provide the full URL and the date when the reference was last accessed. Additional information (e.g. DOI, author names, dates or reference to a source publication) should also be provided, if known.</w:t>
      </w:r>
    </w:p>
    <w:p w14:paraId="4B2900CF">
      <w:pPr>
        <w:jc w:val="both"/>
        <w:rPr>
          <w:sz w:val="20"/>
          <w:shd w:val="clear" w:color="auto" w:fill="FFFFFF"/>
        </w:rPr>
      </w:pPr>
    </w:p>
    <w:p w14:paraId="7F10E2EE">
      <w:pPr>
        <w:jc w:val="both"/>
        <w:rPr>
          <w:sz w:val="20"/>
          <w:shd w:val="clear" w:color="auto" w:fill="FFFFFF"/>
        </w:rPr>
      </w:pPr>
      <w:r>
        <w:rPr>
          <w:sz w:val="20"/>
          <w:shd w:val="clear" w:color="auto" w:fill="FFFFFF"/>
        </w:rPr>
        <w:t>You can list web references separately under a new heading directly after your reference list or include them in your reference list.</w:t>
      </w:r>
    </w:p>
    <w:p w14:paraId="45DECD94">
      <w:pPr>
        <w:jc w:val="both"/>
        <w:rPr>
          <w:color w:val="000000" w:themeColor="text1"/>
          <w:sz w:val="20"/>
          <w:szCs w:val="20"/>
          <w:lang w:val="en-US"/>
          <w14:textFill>
            <w14:solidFill>
              <w14:schemeClr w14:val="tx1"/>
            </w14:solidFill>
          </w14:textFill>
        </w:rPr>
      </w:pPr>
    </w:p>
    <w:p w14:paraId="0F819031">
      <w:pPr>
        <w:jc w:val="both"/>
        <w:rPr>
          <w:color w:val="0070C0"/>
          <w:sz w:val="20"/>
          <w:szCs w:val="20"/>
          <w:lang w:val="en-US"/>
        </w:rPr>
      </w:pPr>
    </w:p>
    <w:p w14:paraId="78857114">
      <w:pPr>
        <w:jc w:val="both"/>
        <w:rPr>
          <w:color w:val="000000" w:themeColor="text1"/>
          <w:sz w:val="20"/>
          <w:szCs w:val="20"/>
          <w:lang w:val="en-US"/>
          <w14:textFill>
            <w14:solidFill>
              <w14:schemeClr w14:val="tx1"/>
            </w14:solidFill>
          </w14:textFill>
        </w:rPr>
      </w:pPr>
    </w:p>
    <w:p w14:paraId="324FFED5">
      <w:pPr>
        <w:jc w:val="both"/>
        <w:rPr>
          <w:color w:val="000000" w:themeColor="text1"/>
          <w:sz w:val="20"/>
          <w:szCs w:val="20"/>
          <w:lang w:val="en-US"/>
          <w14:textFill>
            <w14:solidFill>
              <w14:schemeClr w14:val="tx1"/>
            </w14:solidFill>
          </w14:textFill>
        </w:rPr>
      </w:pPr>
    </w:p>
    <w:p w14:paraId="41F000E1">
      <w:pPr>
        <w:jc w:val="both"/>
        <w:rPr>
          <w:color w:val="000000" w:themeColor="text1"/>
          <w:sz w:val="20"/>
          <w:szCs w:val="20"/>
          <w:lang w:val="en-US"/>
          <w14:textFill>
            <w14:solidFill>
              <w14:schemeClr w14:val="tx1"/>
            </w14:solidFill>
          </w14:textFill>
        </w:rPr>
      </w:pPr>
    </w:p>
    <w:p w14:paraId="2F5E86DD">
      <w:pPr>
        <w:jc w:val="both"/>
        <w:rPr>
          <w:color w:val="000000" w:themeColor="text1"/>
          <w:sz w:val="20"/>
          <w:szCs w:val="20"/>
          <w:lang w:val="en-US"/>
          <w14:textFill>
            <w14:solidFill>
              <w14:schemeClr w14:val="tx1"/>
            </w14:solidFill>
          </w14:textFill>
        </w:rPr>
      </w:pPr>
    </w:p>
    <w:p w14:paraId="58689EEE">
      <w:pPr>
        <w:jc w:val="both"/>
        <w:rPr>
          <w:color w:val="000000" w:themeColor="text1"/>
          <w:sz w:val="20"/>
          <w:szCs w:val="20"/>
          <w:lang w:val="en-US"/>
          <w14:textFill>
            <w14:solidFill>
              <w14:schemeClr w14:val="tx1"/>
            </w14:solidFill>
          </w14:textFill>
        </w:rPr>
      </w:pPr>
    </w:p>
    <w:p w14:paraId="40A5F7B6">
      <w:pPr>
        <w:rPr>
          <w:b/>
          <w:color w:val="000000" w:themeColor="text1"/>
          <w:sz w:val="20"/>
          <w:szCs w:val="20"/>
          <w:lang w:val="en-US"/>
          <w14:textFill>
            <w14:solidFill>
              <w14:schemeClr w14:val="tx1"/>
            </w14:solidFill>
          </w14:textFill>
        </w:rPr>
      </w:pPr>
    </w:p>
    <w:p w14:paraId="18937F7D">
      <w:pPr>
        <w:rPr>
          <w:lang w:val="en-US"/>
        </w:rPr>
      </w:pPr>
    </w:p>
    <w:sectPr>
      <w:type w:val="continuous"/>
      <w:pgSz w:w="11907" w:h="16839"/>
      <w:pgMar w:top="1701" w:right="1134" w:bottom="1418" w:left="1134" w:header="709" w:footer="709" w:gutter="0"/>
      <w:pgNumType w:start="211"/>
      <w:cols w:space="567"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11"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26587">
    <w:pPr>
      <w:pStyle w:val="15"/>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ED2E">
    <w:pPr>
      <w:pStyle w:val="16"/>
      <w:tabs>
        <w:tab w:val="right" w:pos="9639"/>
        <w:tab w:val="clear" w:pos="9072"/>
      </w:tabs>
      <w:rPr>
        <w:i/>
        <w:sz w:val="16"/>
        <w:szCs w:val="16"/>
      </w:rPr>
    </w:pPr>
  </w:p>
  <w:p w14:paraId="3BBCDB26">
    <w:pPr>
      <w:pStyle w:val="16"/>
      <w:tabs>
        <w:tab w:val="left" w:pos="8505"/>
        <w:tab w:val="right" w:pos="9639"/>
        <w:tab w:val="clear" w:pos="9072"/>
      </w:tabs>
      <w:rPr>
        <w:sz w:val="17"/>
        <w:szCs w:val="17"/>
      </w:rPr>
    </w:pPr>
    <w:r>
      <w:rPr>
        <w:i/>
        <w:sz w:val="17"/>
        <w:szCs w:val="17"/>
      </w:rPr>
      <w:t>Int. J. Chem. Technol.</w:t>
    </w:r>
    <w:r>
      <w:rPr>
        <w:sz w:val="17"/>
        <w:szCs w:val="17"/>
      </w:rPr>
      <w:t xml:space="preserve"> </w:t>
    </w:r>
    <w:r>
      <w:rPr>
        <w:b/>
        <w:sz w:val="17"/>
        <w:szCs w:val="17"/>
      </w:rPr>
      <w:t>202.</w:t>
    </w:r>
    <w:r>
      <w:rPr>
        <w:sz w:val="17"/>
        <w:szCs w:val="17"/>
      </w:rPr>
      <w:t xml:space="preserve">,…                                                                                                                                           author and co-workers                                        </w:t>
    </w:r>
    <w:r>
      <w:rPr>
        <w:sz w:val="17"/>
        <w:szCs w:val="17"/>
      </w:rPr>
      <w:tab/>
    </w:r>
    <w:r>
      <w:rPr>
        <w:sz w:val="17"/>
        <w:szCs w:val="17"/>
      </w:rPr>
      <w:t xml:space="preserve">        </w:t>
    </w:r>
  </w:p>
  <w:p w14:paraId="573007B0">
    <w:pPr>
      <w:shd w:val="clear" w:color="auto" w:fill="FFFFFF"/>
      <w:rPr>
        <w:b/>
        <w:color w:val="C00000"/>
        <w:sz w:val="18"/>
        <w:szCs w:val="18"/>
        <w:u w:val="single"/>
      </w:rPr>
    </w:pPr>
    <w:r>
      <w:rPr>
        <w:b/>
        <w:bCs/>
        <w:color w:val="C00000"/>
        <w:sz w:val="18"/>
        <w:szCs w:val="18"/>
        <w:u w:val="single"/>
        <w:shd w:val="clear" w:color="auto" w:fill="FFFFFF"/>
      </w:rPr>
      <w:t>DOI: http://dx.doi.org/10.32571/ijct.</w:t>
    </w:r>
    <w:r>
      <w:rPr>
        <w:b/>
        <w:color w:val="C00000"/>
        <w:sz w:val="18"/>
        <w:szCs w:val="18"/>
        <w:u w:val="single"/>
        <w:shd w:val="clear" w:color="auto" w:fill="FFFFFF"/>
      </w:rPr>
      <w:t>.............</w:t>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0070C0"/>
        <w:sz w:val="18"/>
        <w:szCs w:val="18"/>
        <w:u w:val="single"/>
      </w:rPr>
      <w:tab/>
    </w:r>
    <w:r>
      <w:rPr>
        <w:b/>
        <w:color w:val="0070C0"/>
        <w:sz w:val="18"/>
        <w:szCs w:val="18"/>
        <w:u w:val="single"/>
      </w:rPr>
      <w:tab/>
    </w:r>
    <w:r>
      <w:rPr>
        <w:b/>
        <w:color w:val="0070C0"/>
        <w:sz w:val="18"/>
        <w:szCs w:val="18"/>
        <w:u w:val="single"/>
      </w:rPr>
      <w:t xml:space="preserve">                       E-ISSN: 2602-277X</w:t>
    </w:r>
  </w:p>
  <w:p w14:paraId="68A3BE55">
    <w:pPr>
      <w:shd w:val="clear" w:color="auto" w:fill="FFFFFF"/>
      <w:rPr>
        <w:b/>
        <w:color w:val="C00000"/>
        <w:sz w:val="18"/>
        <w:szCs w:val="18"/>
        <w:u w:val="singl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7340"/>
    <w:rsid w:val="00046D01"/>
    <w:rsid w:val="001F777F"/>
    <w:rsid w:val="00282360"/>
    <w:rsid w:val="002C5819"/>
    <w:rsid w:val="002D48DC"/>
    <w:rsid w:val="00481897"/>
    <w:rsid w:val="004A6D23"/>
    <w:rsid w:val="004B2199"/>
    <w:rsid w:val="005072DE"/>
    <w:rsid w:val="00513BE3"/>
    <w:rsid w:val="00550E32"/>
    <w:rsid w:val="0065288D"/>
    <w:rsid w:val="006F66E4"/>
    <w:rsid w:val="008A3F7B"/>
    <w:rsid w:val="009B67E4"/>
    <w:rsid w:val="00A02F5F"/>
    <w:rsid w:val="00A47340"/>
    <w:rsid w:val="00AB01C8"/>
    <w:rsid w:val="00C15925"/>
    <w:rsid w:val="00CA7852"/>
    <w:rsid w:val="00CB755B"/>
    <w:rsid w:val="00D41E14"/>
    <w:rsid w:val="00D81A69"/>
    <w:rsid w:val="00DE1DAC"/>
    <w:rsid w:val="00DE78EE"/>
    <w:rsid w:val="00E27986"/>
    <w:rsid w:val="00F17459"/>
    <w:rsid w:val="00F25D19"/>
    <w:rsid w:val="00F61BD8"/>
    <w:rsid w:val="08F0235E"/>
    <w:rsid w:val="146E6BA1"/>
    <w:rsid w:val="219B593A"/>
    <w:rsid w:val="3FA413A2"/>
    <w:rsid w:val="3FDC65E5"/>
    <w:rsid w:val="6052454E"/>
    <w:rsid w:val="60AE61AC"/>
    <w:rsid w:val="64D4322B"/>
    <w:rsid w:val="79351099"/>
    <w:rsid w:val="79F33230"/>
    <w:rsid w:val="7F0642D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kern w:val="0"/>
      <w:sz w:val="24"/>
      <w:szCs w:val="24"/>
      <w:lang w:val="tr-TR" w:eastAsia="tr-TR" w:bidi="ar-SA"/>
      <w14:ligatures w14:val="none"/>
    </w:rPr>
  </w:style>
  <w:style w:type="paragraph" w:styleId="2">
    <w:name w:val="heading 1"/>
    <w:basedOn w:val="1"/>
    <w:next w:val="1"/>
    <w:link w:val="23"/>
    <w:qFormat/>
    <w:uiPriority w:val="9"/>
    <w:pPr>
      <w:keepNext/>
      <w:keepLines/>
      <w:spacing w:before="360" w:after="80" w:line="259" w:lineRule="auto"/>
      <w:outlineLvl w:val="0"/>
    </w:pPr>
    <w:rPr>
      <w:rFonts w:asciiTheme="majorHAnsi" w:hAnsiTheme="majorHAnsi" w:eastAsiaTheme="majorEastAsia" w:cstheme="majorBidi"/>
      <w:color w:val="2F5597" w:themeColor="accent1" w:themeShade="BF"/>
      <w:kern w:val="2"/>
      <w:sz w:val="40"/>
      <w:szCs w:val="40"/>
      <w:lang w:val="en-IN" w:eastAsia="en-US"/>
      <w14:ligatures w14:val="standardContextual"/>
    </w:rPr>
  </w:style>
  <w:style w:type="paragraph" w:styleId="3">
    <w:name w:val="heading 2"/>
    <w:basedOn w:val="1"/>
    <w:next w:val="1"/>
    <w:link w:val="24"/>
    <w:semiHidden/>
    <w:unhideWhenUsed/>
    <w:qFormat/>
    <w:uiPriority w:val="9"/>
    <w:pPr>
      <w:keepNext/>
      <w:keepLines/>
      <w:spacing w:before="160" w:after="80" w:line="259" w:lineRule="auto"/>
      <w:outlineLvl w:val="1"/>
    </w:pPr>
    <w:rPr>
      <w:rFonts w:asciiTheme="majorHAnsi" w:hAnsiTheme="majorHAnsi" w:eastAsiaTheme="majorEastAsia" w:cstheme="majorBidi"/>
      <w:color w:val="2F5597" w:themeColor="accent1" w:themeShade="BF"/>
      <w:kern w:val="2"/>
      <w:sz w:val="32"/>
      <w:szCs w:val="32"/>
      <w:lang w:val="en-IN" w:eastAsia="en-US"/>
      <w14:ligatures w14:val="standardContextual"/>
    </w:rPr>
  </w:style>
  <w:style w:type="paragraph" w:styleId="4">
    <w:name w:val="heading 3"/>
    <w:basedOn w:val="1"/>
    <w:next w:val="1"/>
    <w:link w:val="25"/>
    <w:semiHidden/>
    <w:unhideWhenUsed/>
    <w:qFormat/>
    <w:uiPriority w:val="9"/>
    <w:pPr>
      <w:keepNext/>
      <w:keepLines/>
      <w:spacing w:before="160" w:after="80" w:line="259" w:lineRule="auto"/>
      <w:outlineLvl w:val="2"/>
    </w:pPr>
    <w:rPr>
      <w:rFonts w:asciiTheme="minorHAnsi" w:hAnsiTheme="minorHAnsi" w:eastAsiaTheme="majorEastAsia" w:cstheme="majorBidi"/>
      <w:color w:val="2F5597" w:themeColor="accent1" w:themeShade="BF"/>
      <w:kern w:val="2"/>
      <w:sz w:val="28"/>
      <w:szCs w:val="28"/>
      <w:lang w:val="en-IN" w:eastAsia="en-US"/>
      <w14:ligatures w14:val="standardContextual"/>
    </w:rPr>
  </w:style>
  <w:style w:type="paragraph" w:styleId="5">
    <w:name w:val="heading 4"/>
    <w:basedOn w:val="1"/>
    <w:next w:val="1"/>
    <w:link w:val="26"/>
    <w:semiHidden/>
    <w:unhideWhenUsed/>
    <w:qFormat/>
    <w:uiPriority w:val="9"/>
    <w:pPr>
      <w:keepNext/>
      <w:keepLines/>
      <w:spacing w:before="80" w:after="40" w:line="259" w:lineRule="auto"/>
      <w:outlineLvl w:val="3"/>
    </w:pPr>
    <w:rPr>
      <w:rFonts w:asciiTheme="minorHAnsi" w:hAnsiTheme="minorHAnsi" w:eastAsiaTheme="majorEastAsia" w:cstheme="majorBidi"/>
      <w:i/>
      <w:iCs/>
      <w:color w:val="2F5597" w:themeColor="accent1" w:themeShade="BF"/>
      <w:kern w:val="2"/>
      <w:sz w:val="22"/>
      <w:szCs w:val="22"/>
      <w:lang w:val="en-IN" w:eastAsia="en-US"/>
      <w14:ligatures w14:val="standardContextual"/>
    </w:rPr>
  </w:style>
  <w:style w:type="paragraph" w:styleId="6">
    <w:name w:val="heading 5"/>
    <w:basedOn w:val="1"/>
    <w:next w:val="1"/>
    <w:link w:val="27"/>
    <w:unhideWhenUsed/>
    <w:qFormat/>
    <w:uiPriority w:val="0"/>
    <w:pPr>
      <w:keepNext/>
      <w:keepLines/>
      <w:spacing w:before="80" w:after="40" w:line="259" w:lineRule="auto"/>
      <w:outlineLvl w:val="4"/>
    </w:pPr>
    <w:rPr>
      <w:rFonts w:asciiTheme="minorHAnsi" w:hAnsiTheme="minorHAnsi" w:eastAsiaTheme="majorEastAsia" w:cstheme="majorBidi"/>
      <w:color w:val="2F5597" w:themeColor="accent1" w:themeShade="BF"/>
      <w:kern w:val="2"/>
      <w:sz w:val="22"/>
      <w:szCs w:val="22"/>
      <w:lang w:val="en-IN" w:eastAsia="en-US"/>
      <w14:ligatures w14:val="standardContextual"/>
    </w:rPr>
  </w:style>
  <w:style w:type="paragraph" w:styleId="7">
    <w:name w:val="heading 6"/>
    <w:basedOn w:val="1"/>
    <w:next w:val="1"/>
    <w:link w:val="28"/>
    <w:semiHidden/>
    <w:unhideWhenUsed/>
    <w:qFormat/>
    <w:uiPriority w:val="9"/>
    <w:pPr>
      <w:keepNext/>
      <w:keepLines/>
      <w:spacing w:before="40" w:line="259" w:lineRule="auto"/>
      <w:outlineLvl w:val="5"/>
    </w:pPr>
    <w:rPr>
      <w:rFonts w:asciiTheme="minorHAnsi" w:hAnsiTheme="minorHAnsi" w:eastAsiaTheme="majorEastAsia" w:cstheme="majorBidi"/>
      <w:i/>
      <w:iCs/>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8">
    <w:name w:val="heading 7"/>
    <w:basedOn w:val="1"/>
    <w:next w:val="1"/>
    <w:link w:val="29"/>
    <w:semiHidden/>
    <w:unhideWhenUsed/>
    <w:qFormat/>
    <w:uiPriority w:val="9"/>
    <w:pPr>
      <w:keepNext/>
      <w:keepLines/>
      <w:spacing w:before="40" w:line="259" w:lineRule="auto"/>
      <w:outlineLvl w:val="6"/>
    </w:pPr>
    <w:rPr>
      <w:rFonts w:asciiTheme="minorHAnsi" w:hAnsiTheme="minorHAnsi" w:eastAsiaTheme="majorEastAsia" w:cstheme="majorBidi"/>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9">
    <w:name w:val="heading 8"/>
    <w:basedOn w:val="1"/>
    <w:next w:val="1"/>
    <w:link w:val="30"/>
    <w:semiHidden/>
    <w:unhideWhenUsed/>
    <w:qFormat/>
    <w:uiPriority w:val="9"/>
    <w:pPr>
      <w:keepNext/>
      <w:keepLines/>
      <w:spacing w:line="259" w:lineRule="auto"/>
      <w:outlineLvl w:val="7"/>
    </w:pPr>
    <w:rPr>
      <w:rFonts w:asciiTheme="minorHAnsi" w:hAnsiTheme="minorHAnsi" w:eastAsiaTheme="majorEastAsia" w:cstheme="majorBidi"/>
      <w:i/>
      <w:iCs/>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paragraph" w:styleId="10">
    <w:name w:val="heading 9"/>
    <w:basedOn w:val="1"/>
    <w:next w:val="1"/>
    <w:link w:val="31"/>
    <w:semiHidden/>
    <w:unhideWhenUsed/>
    <w:qFormat/>
    <w:uiPriority w:val="9"/>
    <w:pPr>
      <w:keepNext/>
      <w:keepLines/>
      <w:spacing w:line="259" w:lineRule="auto"/>
      <w:outlineLvl w:val="8"/>
    </w:pPr>
    <w:rPr>
      <w:rFonts w:asciiTheme="minorHAnsi" w:hAnsiTheme="minorHAnsi" w:eastAsiaTheme="majorEastAsia" w:cstheme="majorBidi"/>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semiHidden/>
    <w:qFormat/>
    <w:uiPriority w:val="99"/>
    <w:rPr>
      <w:sz w:val="16"/>
    </w:rPr>
  </w:style>
  <w:style w:type="paragraph" w:styleId="14">
    <w:name w:val="annotation text"/>
    <w:basedOn w:val="1"/>
    <w:link w:val="45"/>
    <w:semiHidden/>
    <w:qFormat/>
    <w:uiPriority w:val="99"/>
    <w:pPr>
      <w:ind w:firstLine="567"/>
      <w:jc w:val="both"/>
    </w:pPr>
    <w:rPr>
      <w:sz w:val="20"/>
      <w:szCs w:val="20"/>
      <w:lang w:val="en-GB" w:eastAsia="en-US"/>
    </w:rPr>
  </w:style>
  <w:style w:type="paragraph" w:styleId="15">
    <w:name w:val="footer"/>
    <w:basedOn w:val="1"/>
    <w:link w:val="42"/>
    <w:unhideWhenUsed/>
    <w:qFormat/>
    <w:uiPriority w:val="99"/>
    <w:pPr>
      <w:tabs>
        <w:tab w:val="center" w:pos="4536"/>
        <w:tab w:val="right" w:pos="9072"/>
      </w:tabs>
    </w:pPr>
  </w:style>
  <w:style w:type="paragraph" w:styleId="16">
    <w:name w:val="header"/>
    <w:basedOn w:val="1"/>
    <w:link w:val="41"/>
    <w:unhideWhenUsed/>
    <w:qFormat/>
    <w:uiPriority w:val="99"/>
    <w:pPr>
      <w:tabs>
        <w:tab w:val="center" w:pos="4536"/>
        <w:tab w:val="right" w:pos="9072"/>
      </w:tabs>
    </w:pPr>
  </w:style>
  <w:style w:type="character" w:styleId="17">
    <w:name w:val="Hyperlink"/>
    <w:basedOn w:val="11"/>
    <w:unhideWhenUsed/>
    <w:qFormat/>
    <w:uiPriority w:val="99"/>
    <w:rPr>
      <w:color w:val="0563C1" w:themeColor="hyperlink"/>
      <w:u w:val="single"/>
      <w14:textFill>
        <w14:solidFill>
          <w14:schemeClr w14:val="hlink"/>
        </w14:solidFill>
      </w14:textFill>
    </w:rPr>
  </w:style>
  <w:style w:type="paragraph" w:styleId="18">
    <w:name w:val="Normal (Web)"/>
    <w:basedOn w:val="1"/>
    <w:semiHidden/>
    <w:unhideWhenUsed/>
    <w:qFormat/>
    <w:uiPriority w:val="99"/>
    <w:rPr>
      <w:sz w:val="24"/>
      <w:szCs w:val="24"/>
    </w:rPr>
  </w:style>
  <w:style w:type="paragraph" w:styleId="19">
    <w:name w:val="Plain Text"/>
    <w:basedOn w:val="1"/>
    <w:link w:val="43"/>
    <w:qFormat/>
    <w:uiPriority w:val="0"/>
    <w:rPr>
      <w:rFonts w:ascii="Courier New" w:hAnsi="Courier New"/>
      <w:sz w:val="20"/>
      <w:szCs w:val="20"/>
      <w:lang w:val="en-US" w:eastAsia="en-US"/>
    </w:rPr>
  </w:style>
  <w:style w:type="paragraph" w:styleId="20">
    <w:name w:val="Subtitle"/>
    <w:basedOn w:val="1"/>
    <w:next w:val="1"/>
    <w:link w:val="33"/>
    <w:qFormat/>
    <w:uiPriority w:val="11"/>
    <w:pPr>
      <w:spacing w:after="160" w:line="259" w:lineRule="auto"/>
    </w:pPr>
    <w:rPr>
      <w:rFonts w:asciiTheme="minorHAnsi" w:hAnsiTheme="minorHAnsi" w:eastAsiaTheme="majorEastAsia" w:cstheme="majorBidi"/>
      <w:color w:val="595959" w:themeColor="text1" w:themeTint="A6"/>
      <w:spacing w:val="15"/>
      <w:kern w:val="2"/>
      <w:sz w:val="28"/>
      <w:szCs w:val="28"/>
      <w:lang w:val="en-IN" w:eastAsia="en-US"/>
      <w14:textFill>
        <w14:solidFill>
          <w14:schemeClr w14:val="tx1">
            <w14:lumMod w14:val="65000"/>
            <w14:lumOff w14:val="35000"/>
          </w14:schemeClr>
        </w14:solidFill>
      </w14:textFill>
      <w14:ligatures w14:val="standardContextual"/>
    </w:rPr>
  </w:style>
  <w:style w:type="table" w:styleId="21">
    <w:name w:val="Table Grid"/>
    <w:basedOn w:val="12"/>
    <w:qFormat/>
    <w:uiPriority w:val="39"/>
    <w:pPr>
      <w:spacing w:after="0" w:line="240" w:lineRule="auto"/>
    </w:pPr>
    <w:rPr>
      <w:kern w:val="0"/>
      <w:lang w:val="tr-TR"/>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next w:val="1"/>
    <w:link w:val="32"/>
    <w:qFormat/>
    <w:uiPriority w:val="10"/>
    <w:pPr>
      <w:spacing w:after="80"/>
      <w:contextualSpacing/>
    </w:pPr>
    <w:rPr>
      <w:rFonts w:asciiTheme="majorHAnsi" w:hAnsiTheme="majorHAnsi" w:eastAsiaTheme="majorEastAsia" w:cstheme="majorBidi"/>
      <w:spacing w:val="-10"/>
      <w:kern w:val="28"/>
      <w:sz w:val="56"/>
      <w:szCs w:val="56"/>
      <w:lang w:val="en-IN" w:eastAsia="en-US"/>
      <w14:ligatures w14:val="standardContextual"/>
    </w:rPr>
  </w:style>
  <w:style w:type="character" w:customStyle="1" w:styleId="23">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4">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5">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6">
    <w:name w:val="Heading 4 Char"/>
    <w:basedOn w:val="11"/>
    <w:link w:val="5"/>
    <w:semiHidden/>
    <w:qFormat/>
    <w:uiPriority w:val="9"/>
    <w:rPr>
      <w:rFonts w:eastAsiaTheme="majorEastAsia" w:cstheme="majorBidi"/>
      <w:i/>
      <w:iCs/>
      <w:color w:val="2F5597" w:themeColor="accent1" w:themeShade="BF"/>
    </w:rPr>
  </w:style>
  <w:style w:type="character" w:customStyle="1" w:styleId="27">
    <w:name w:val="Heading 5 Char"/>
    <w:basedOn w:val="11"/>
    <w:link w:val="6"/>
    <w:qFormat/>
    <w:uiPriority w:val="0"/>
    <w:rPr>
      <w:rFonts w:eastAsiaTheme="majorEastAsia" w:cstheme="majorBidi"/>
      <w:color w:val="2F5597" w:themeColor="accent1" w:themeShade="BF"/>
    </w:rPr>
  </w:style>
  <w:style w:type="character" w:customStyle="1" w:styleId="2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22"/>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2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after="160" w:line="259" w:lineRule="auto"/>
      <w:jc w:val="center"/>
    </w:pPr>
    <w:rPr>
      <w:rFonts w:asciiTheme="minorHAnsi" w:hAnsiTheme="minorHAnsi" w:eastAsiaTheme="minorHAnsi" w:cstheme="minorBidi"/>
      <w:i/>
      <w:iCs/>
      <w:color w:val="404040" w:themeColor="text1" w:themeTint="BF"/>
      <w:kern w:val="2"/>
      <w:sz w:val="22"/>
      <w:szCs w:val="22"/>
      <w:lang w:val="en-IN" w:eastAsia="en-US"/>
      <w14:textFill>
        <w14:solidFill>
          <w14:schemeClr w14:val="tx1">
            <w14:lumMod w14:val="75000"/>
            <w14:lumOff w14:val="25000"/>
          </w14:schemeClr>
        </w14:solidFill>
      </w14:textFill>
      <w14:ligatures w14:val="standardContextual"/>
    </w:rPr>
  </w:style>
  <w:style w:type="character" w:customStyle="1" w:styleId="35">
    <w:name w:val="Quote Char"/>
    <w:basedOn w:val="11"/>
    <w:link w:val="34"/>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spacing w:after="160" w:line="259" w:lineRule="auto"/>
      <w:ind w:left="720"/>
      <w:contextualSpacing/>
    </w:pPr>
    <w:rPr>
      <w:rFonts w:asciiTheme="minorHAnsi" w:hAnsiTheme="minorHAnsi" w:eastAsiaTheme="minorHAnsi" w:cstheme="minorBidi"/>
      <w:kern w:val="2"/>
      <w:sz w:val="22"/>
      <w:szCs w:val="22"/>
      <w:lang w:val="en-IN" w:eastAsia="en-US"/>
      <w14:ligatures w14:val="standardContextual"/>
    </w:rPr>
  </w:style>
  <w:style w:type="character" w:customStyle="1" w:styleId="37">
    <w:name w:val="Intense Emphasis"/>
    <w:basedOn w:val="11"/>
    <w:qFormat/>
    <w:uiPriority w:val="21"/>
    <w:rPr>
      <w:i/>
      <w:iCs/>
      <w:color w:val="2F5597" w:themeColor="accent1" w:themeShade="BF"/>
    </w:rPr>
  </w:style>
  <w:style w:type="paragraph" w:styleId="38">
    <w:name w:val="Intense Quote"/>
    <w:basedOn w:val="1"/>
    <w:next w:val="1"/>
    <w:link w:val="39"/>
    <w:qFormat/>
    <w:uiPriority w:val="30"/>
    <w:pPr>
      <w:pBdr>
        <w:top w:val="single" w:color="2F5496" w:themeColor="accent1" w:themeShade="BF" w:sz="4" w:space="10"/>
        <w:bottom w:val="single" w:color="2F5496" w:themeColor="accent1" w:themeShade="BF" w:sz="4" w:space="10"/>
      </w:pBdr>
      <w:spacing w:before="360" w:after="360" w:line="259" w:lineRule="auto"/>
      <w:ind w:left="864" w:right="864"/>
      <w:jc w:val="center"/>
    </w:pPr>
    <w:rPr>
      <w:rFonts w:asciiTheme="minorHAnsi" w:hAnsiTheme="minorHAnsi" w:eastAsiaTheme="minorHAnsi" w:cstheme="minorBidi"/>
      <w:i/>
      <w:iCs/>
      <w:color w:val="2F5597" w:themeColor="accent1" w:themeShade="BF"/>
      <w:kern w:val="2"/>
      <w:sz w:val="22"/>
      <w:szCs w:val="22"/>
      <w:lang w:val="en-IN" w:eastAsia="en-US"/>
      <w14:ligatures w14:val="standardContextual"/>
    </w:rPr>
  </w:style>
  <w:style w:type="character" w:customStyle="1" w:styleId="39">
    <w:name w:val="Intense Quote Char"/>
    <w:basedOn w:val="11"/>
    <w:link w:val="38"/>
    <w:qFormat/>
    <w:uiPriority w:val="30"/>
    <w:rPr>
      <w:i/>
      <w:iCs/>
      <w:color w:val="2F5597" w:themeColor="accent1" w:themeShade="BF"/>
    </w:rPr>
  </w:style>
  <w:style w:type="character" w:customStyle="1" w:styleId="40">
    <w:name w:val="Intense Reference"/>
    <w:basedOn w:val="11"/>
    <w:qFormat/>
    <w:uiPriority w:val="32"/>
    <w:rPr>
      <w:b/>
      <w:bCs/>
      <w:smallCaps/>
      <w:color w:val="2F5597" w:themeColor="accent1" w:themeShade="BF"/>
      <w:spacing w:val="5"/>
    </w:rPr>
  </w:style>
  <w:style w:type="character" w:customStyle="1" w:styleId="41">
    <w:name w:val="Header Char"/>
    <w:basedOn w:val="11"/>
    <w:link w:val="16"/>
    <w:qFormat/>
    <w:uiPriority w:val="99"/>
    <w:rPr>
      <w:rFonts w:ascii="Times New Roman" w:hAnsi="Times New Roman" w:eastAsia="Times New Roman" w:cs="Times New Roman"/>
      <w:kern w:val="0"/>
      <w:sz w:val="24"/>
      <w:szCs w:val="24"/>
      <w:lang w:val="tr-TR" w:eastAsia="tr-TR"/>
      <w14:ligatures w14:val="none"/>
    </w:rPr>
  </w:style>
  <w:style w:type="character" w:customStyle="1" w:styleId="42">
    <w:name w:val="Footer Char"/>
    <w:basedOn w:val="11"/>
    <w:link w:val="15"/>
    <w:uiPriority w:val="99"/>
    <w:rPr>
      <w:rFonts w:ascii="Times New Roman" w:hAnsi="Times New Roman" w:eastAsia="Times New Roman" w:cs="Times New Roman"/>
      <w:kern w:val="0"/>
      <w:sz w:val="24"/>
      <w:szCs w:val="24"/>
      <w:lang w:val="tr-TR" w:eastAsia="tr-TR"/>
      <w14:ligatures w14:val="none"/>
    </w:rPr>
  </w:style>
  <w:style w:type="character" w:customStyle="1" w:styleId="43">
    <w:name w:val="Plain Text Char"/>
    <w:basedOn w:val="11"/>
    <w:link w:val="19"/>
    <w:qFormat/>
    <w:uiPriority w:val="0"/>
    <w:rPr>
      <w:rFonts w:ascii="Courier New" w:hAnsi="Courier New" w:eastAsia="Times New Roman" w:cs="Times New Roman"/>
      <w:kern w:val="0"/>
      <w:sz w:val="20"/>
      <w:szCs w:val="20"/>
      <w:lang w:val="en-US"/>
      <w14:ligatures w14:val="none"/>
    </w:rPr>
  </w:style>
  <w:style w:type="paragraph" w:customStyle="1" w:styleId="44">
    <w:name w:val="Default"/>
    <w:qFormat/>
    <w:uiPriority w:val="0"/>
    <w:pPr>
      <w:autoSpaceDE w:val="0"/>
      <w:autoSpaceDN w:val="0"/>
      <w:adjustRightInd w:val="0"/>
      <w:spacing w:after="0" w:line="240" w:lineRule="auto"/>
    </w:pPr>
    <w:rPr>
      <w:rFonts w:ascii="Times New Roman" w:hAnsi="Times New Roman" w:eastAsia="Times New Roman" w:cs="Times New Roman"/>
      <w:color w:val="000000"/>
      <w:kern w:val="0"/>
      <w:sz w:val="24"/>
      <w:szCs w:val="24"/>
      <w:lang w:val="tr-TR" w:eastAsia="tr-TR" w:bidi="ar-SA"/>
      <w14:ligatures w14:val="none"/>
    </w:rPr>
  </w:style>
  <w:style w:type="character" w:customStyle="1" w:styleId="45">
    <w:name w:val="Comment Text Char"/>
    <w:basedOn w:val="11"/>
    <w:link w:val="14"/>
    <w:semiHidden/>
    <w:uiPriority w:val="99"/>
    <w:rPr>
      <w:rFonts w:ascii="Times New Roman" w:hAnsi="Times New Roman" w:eastAsia="Times New Roman" w:cs="Times New Roman"/>
      <w:kern w:val="0"/>
      <w:sz w:val="20"/>
      <w:szCs w:val="20"/>
      <w:lang w:val="en-GB"/>
      <w14:ligatures w14:val="none"/>
    </w:rPr>
  </w:style>
  <w:style w:type="paragraph" w:styleId="46">
    <w:name w:val="No Spacing"/>
    <w:qFormat/>
    <w:uiPriority w:val="1"/>
    <w:pPr>
      <w:spacing w:after="0" w:line="240" w:lineRule="auto"/>
    </w:pPr>
    <w:rPr>
      <w:rFonts w:asciiTheme="minorHAnsi" w:hAnsiTheme="minorHAnsi" w:eastAsiaTheme="minorHAnsi" w:cstheme="minorBidi"/>
      <w:kern w:val="0"/>
      <w:sz w:val="22"/>
      <w:szCs w:val="22"/>
      <w:lang w:val="tr-TR" w:eastAsia="en-US" w:bidi="ar-SA"/>
      <w14:ligatures w14:val="none"/>
    </w:rPr>
  </w:style>
  <w:style w:type="paragraph" w:customStyle="1" w:styleId="47">
    <w:name w:val="EndNote Bibliography"/>
    <w:basedOn w:val="1"/>
    <w:link w:val="48"/>
    <w:qFormat/>
    <w:uiPriority w:val="0"/>
    <w:pPr>
      <w:spacing w:after="200"/>
      <w:jc w:val="both"/>
    </w:pPr>
    <w:rPr>
      <w:rFonts w:ascii="Calibri" w:hAnsi="Calibri" w:eastAsiaTheme="minorHAnsi" w:cstheme="minorBidi"/>
      <w:sz w:val="22"/>
      <w:szCs w:val="22"/>
      <w:lang w:val="en-US" w:eastAsia="en-US"/>
    </w:rPr>
  </w:style>
  <w:style w:type="character" w:customStyle="1" w:styleId="48">
    <w:name w:val="EndNote Bibliography Char"/>
    <w:basedOn w:val="11"/>
    <w:link w:val="47"/>
    <w:qFormat/>
    <w:uiPriority w:val="0"/>
    <w:rPr>
      <w:rFonts w:ascii="Calibri" w:hAnsi="Calibri"/>
      <w:kern w:val="0"/>
      <w:lang w:val="en-US"/>
      <w14:ligatures w14:val="none"/>
    </w:rPr>
  </w:style>
  <w:style w:type="character" w:customStyle="1" w:styleId="49">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image" Target="media/image19.jpeg"/><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GIF"/><Relationship Id="rId12" Type="http://schemas.openxmlformats.org/officeDocument/2006/relationships/hyperlink" Target="https://orcid.org/0000-0002-6261-9103" TargetMode="External"/><Relationship Id="rId11" Type="http://schemas.openxmlformats.org/officeDocument/2006/relationships/image" Target="media/image3.png"/><Relationship Id="rId10" Type="http://schemas.openxmlformats.org/officeDocument/2006/relationships/hyperlink" Target="https://orcid.org/0000-0001-8855-1058" TargetMode="Externa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3849</Words>
  <Characters>23998</Characters>
  <Lines>740</Lines>
  <Paragraphs>164</Paragraphs>
  <TotalTime>22</TotalTime>
  <ScaleCrop>false</ScaleCrop>
  <LinksUpToDate>false</LinksUpToDate>
  <CharactersWithSpaces>28006</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2025-09-13T21:33:00Z</dcterms:created>
  <dc:creator>Nayanika Das</dc:creator>
  <cp:lastModifiedBy>Nayanika</cp:lastModifiedBy>
  <cp:lastPrinted>2025-09-14T16:49:00Z</cp:lastPrinted>
  <dcterms:modified xsi:type="dcterms:W3CDTF">2025-09-18T14:19:18Z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y fmtid="{D5CDD505-2E9C-101B-9397-08002B2CF9AE}" pid="3" name="KSOProductBuildVer">
    <vt:lpwstr>1033-12.2.0.22549</vt:lpwstr>
  </property>
  <property fmtid="{D5CDD505-2E9C-101B-9397-08002B2CF9AE}" pid="4" name="ICV">
    <vt:lpwstr>6683E4E2190841338EEF65DEAFD75351_12</vt:lpwstr>
  </property>
</Properties>
</file>