
<file path=[Content_Types].xml><?xml version="1.0" encoding="utf-8"?>
<Types xmlns="http://schemas.openxmlformats.org/package/2006/content-types">
  <Default Extension="png" ContentType="image/png"/>
  <Default Extension="jpeg" ContentType="image/jpeg"/>
  <Default Extension="JPG" ContentType="image/.jpg"/>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3"/>
        <w:tblW w:w="0" w:type="auto"/>
        <w:tblInd w:w="108" w:type="dxa"/>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0"/>
        <w:gridCol w:w="1196"/>
      </w:tblGrid>
      <w:tr w14:paraId="726F6C23">
        <w:tblPrEx>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6810" w:type="dxa"/>
            <w:vAlign w:val="center"/>
          </w:tcPr>
          <w:p w14:paraId="10D88F13">
            <w:pPr>
              <w:pStyle w:val="16"/>
              <w:jc w:val="left"/>
              <w:rPr>
                <w:b/>
                <w:sz w:val="28"/>
                <w:szCs w:val="14"/>
                <w:lang w:val="en-US"/>
              </w:rPr>
            </w:pPr>
            <w:bookmarkStart w:id="0" w:name="_Hlk23005139"/>
            <w:bookmarkEnd w:id="0"/>
          </w:p>
          <w:p w14:paraId="5EF590AF">
            <w:pPr>
              <w:pStyle w:val="16"/>
              <w:jc w:val="left"/>
              <w:rPr>
                <w:b/>
                <w:sz w:val="28"/>
                <w:szCs w:val="14"/>
                <w:lang w:val="en-US"/>
              </w:rPr>
            </w:pPr>
            <w:r>
              <w:rPr>
                <w:b/>
                <w:sz w:val="28"/>
                <w:szCs w:val="14"/>
                <w:lang w:val="en-US"/>
              </w:rPr>
              <w:t>International Journal of Chemistry and Technology</w:t>
            </w:r>
          </w:p>
          <w:p w14:paraId="0DBC800A">
            <w:pPr>
              <w:pStyle w:val="16"/>
              <w:jc w:val="left"/>
              <w:rPr>
                <w:sz w:val="18"/>
                <w:szCs w:val="18"/>
                <w:lang w:val="en-US"/>
              </w:rPr>
            </w:pPr>
          </w:p>
          <w:p w14:paraId="1388B9C8">
            <w:pPr>
              <w:pStyle w:val="16"/>
              <w:jc w:val="left"/>
              <w:rPr>
                <w:color w:val="0070C0"/>
                <w:sz w:val="18"/>
                <w:szCs w:val="18"/>
                <w:u w:val="single"/>
                <w:lang w:val="en-US"/>
              </w:rPr>
            </w:pPr>
            <w:r>
              <w:fldChar w:fldCharType="begin"/>
            </w:r>
            <w:r>
              <w:instrText xml:space="preserve"> HYPERLINK "http://dergipark.org.tr/ijct" </w:instrText>
            </w:r>
            <w:r>
              <w:fldChar w:fldCharType="separate"/>
            </w:r>
            <w:r>
              <w:rPr>
                <w:rStyle w:val="18"/>
                <w:rFonts w:eastAsiaTheme="majorEastAsia"/>
                <w:color w:val="0070C0"/>
                <w:sz w:val="18"/>
                <w:szCs w:val="18"/>
                <w:lang w:val="en-US"/>
              </w:rPr>
              <w:t>http://dergipark.org.tr/ijct</w:t>
            </w:r>
            <w:r>
              <w:rPr>
                <w:rStyle w:val="18"/>
                <w:rFonts w:eastAsiaTheme="majorEastAsia"/>
                <w:color w:val="0070C0"/>
                <w:sz w:val="18"/>
                <w:szCs w:val="18"/>
                <w:lang w:val="en-US"/>
              </w:rPr>
              <w:fldChar w:fldCharType="end"/>
            </w:r>
          </w:p>
          <w:p w14:paraId="7F4BDF55">
            <w:pPr>
              <w:pStyle w:val="16"/>
              <w:jc w:val="left"/>
              <w:rPr>
                <w:sz w:val="18"/>
                <w:szCs w:val="18"/>
                <w:lang w:val="en-US"/>
              </w:rPr>
            </w:pPr>
          </w:p>
          <w:p w14:paraId="1CC3AA21">
            <w:pPr>
              <w:pStyle w:val="16"/>
              <w:jc w:val="left"/>
              <w:rPr>
                <w:sz w:val="18"/>
                <w:szCs w:val="18"/>
                <w:lang w:val="en-US"/>
              </w:rPr>
            </w:pPr>
            <w:r>
              <w:rPr>
                <w:sz w:val="18"/>
                <w:szCs w:val="18"/>
                <w:lang w:val="en-US"/>
              </w:rPr>
              <w:t>Research Article</w:t>
            </w:r>
          </w:p>
        </w:tc>
        <w:tc>
          <w:tcPr>
            <w:tcW w:w="1196" w:type="dxa"/>
            <w:vAlign w:val="center"/>
          </w:tcPr>
          <w:p w14:paraId="19627D59">
            <w:pPr>
              <w:pStyle w:val="16"/>
              <w:jc w:val="left"/>
              <w:rPr>
                <w:b/>
                <w:sz w:val="28"/>
                <w:szCs w:val="28"/>
                <w:lang w:val="en-US"/>
              </w:rPr>
            </w:pPr>
            <w:r>
              <w:rPr>
                <w:sz w:val="21"/>
                <w:szCs w:val="21"/>
                <w:shd w:val="clear" w:color="auto" w:fill="FFFFFF"/>
              </w:rPr>
              <w:drawing>
                <wp:inline distT="0" distB="0" distL="0" distR="0">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8" cstate="print"/>
                          <a:stretch>
                            <a:fillRect/>
                          </a:stretch>
                        </pic:blipFill>
                        <pic:spPr>
                          <a:xfrm>
                            <a:off x="0" y="0"/>
                            <a:ext cx="533969" cy="760491"/>
                          </a:xfrm>
                          <a:prstGeom prst="rect">
                            <a:avLst/>
                          </a:prstGeom>
                        </pic:spPr>
                      </pic:pic>
                    </a:graphicData>
                  </a:graphic>
                </wp:inline>
              </w:drawing>
            </w:r>
          </w:p>
        </w:tc>
      </w:tr>
    </w:tbl>
    <w:p w14:paraId="37946C62">
      <w:pPr>
        <w:jc w:val="left"/>
        <w:rPr>
          <w:sz w:val="18"/>
          <w:szCs w:val="18"/>
          <w:lang w:val="en-US"/>
        </w:rPr>
      </w:pPr>
    </w:p>
    <w:p w14:paraId="3CCCDE46">
      <w:pPr>
        <w:spacing w:line="276" w:lineRule="auto"/>
        <w:jc w:val="left"/>
        <w:rPr>
          <w:b/>
          <w:bCs/>
          <w:sz w:val="28"/>
          <w:szCs w:val="28"/>
        </w:rPr>
      </w:pPr>
      <w:r>
        <w:rPr>
          <w:b/>
          <w:bCs/>
          <w:sz w:val="28"/>
          <w:szCs w:val="28"/>
        </w:rPr>
        <w:t>Computational Characterization of Natural Compounds as Selective Inhibitors of Mutant NRAS in Melanoma</w:t>
      </w:r>
    </w:p>
    <w:tbl>
      <w:tblPr>
        <w:tblStyle w:val="12"/>
        <w:tblW w:w="9434" w:type="dxa"/>
        <w:tblInd w:w="399" w:type="dxa"/>
        <w:tblLayout w:type="autofit"/>
        <w:tblCellMar>
          <w:top w:w="0" w:type="dxa"/>
          <w:left w:w="70" w:type="dxa"/>
          <w:bottom w:w="0" w:type="dxa"/>
          <w:right w:w="70" w:type="dxa"/>
        </w:tblCellMar>
      </w:tblPr>
      <w:tblGrid>
        <w:gridCol w:w="9434"/>
      </w:tblGrid>
      <w:tr w14:paraId="5FF59E23">
        <w:tblPrEx>
          <w:tblCellMar>
            <w:top w:w="0" w:type="dxa"/>
            <w:left w:w="70" w:type="dxa"/>
            <w:bottom w:w="0" w:type="dxa"/>
            <w:right w:w="70" w:type="dxa"/>
          </w:tblCellMar>
        </w:tblPrEx>
        <w:trPr>
          <w:trHeight w:val="718" w:hRule="atLeast"/>
        </w:trPr>
        <w:tc>
          <w:tcPr>
            <w:tcW w:w="9434" w:type="dxa"/>
          </w:tcPr>
          <w:p w14:paraId="53242F77">
            <w:pPr>
              <w:pStyle w:val="48"/>
              <w:jc w:val="center"/>
              <w:rPr>
                <w:rFonts w:ascii="Times New Roman" w:hAnsi="Times New Roman" w:cs="Times New Roman"/>
                <w:sz w:val="18"/>
              </w:rPr>
            </w:pPr>
          </w:p>
          <w:p w14:paraId="2E3DDCBF">
            <w:pPr>
              <w:tabs>
                <w:tab w:val="left" w:pos="0"/>
              </w:tabs>
              <w:jc w:val="center"/>
              <w:rPr>
                <w:b/>
                <w:sz w:val="18"/>
                <w:szCs w:val="18"/>
                <w:vertAlign w:val="superscript"/>
              </w:rPr>
            </w:pPr>
            <w:r>
              <w:rPr>
                <w:b/>
                <w:sz w:val="18"/>
                <w:szCs w:val="18"/>
                <w:vertAlign w:val="superscript"/>
              </w:rPr>
              <w:drawing>
                <wp:inline distT="0" distB="0" distL="0" distR="0">
                  <wp:extent cx="137160" cy="137160"/>
                  <wp:effectExtent l="0" t="0" r="0" b="0"/>
                  <wp:docPr id="3" name="Resim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sz w:val="18"/>
                <w:szCs w:val="18"/>
                <w:vertAlign w:val="superscript"/>
              </w:rPr>
              <w:drawing>
                <wp:inline distT="0" distB="0" distL="0" distR="0">
                  <wp:extent cx="157480" cy="157480"/>
                  <wp:effectExtent l="0" t="0" r="0" b="0"/>
                  <wp:docPr id="4" name="Resim 4">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1</w:t>
            </w:r>
          </w:p>
          <w:p w14:paraId="164A502C">
            <w:pPr>
              <w:pStyle w:val="48"/>
              <w:jc w:val="center"/>
              <w:rPr>
                <w:rFonts w:ascii="Times New Roman" w:hAnsi="Times New Roman" w:cs="Times New Roman"/>
                <w:sz w:val="18"/>
                <w:lang w:val="en-US"/>
              </w:rPr>
            </w:pPr>
          </w:p>
          <w:p w14:paraId="3BF27815">
            <w:pPr>
              <w:pStyle w:val="48"/>
              <w:jc w:val="center"/>
              <w:rPr>
                <w:rFonts w:ascii="Times New Roman" w:hAnsi="Times New Roman" w:cs="Times New Roman"/>
                <w:sz w:val="18"/>
                <w:lang w:val="en-US"/>
              </w:rPr>
            </w:pPr>
          </w:p>
        </w:tc>
      </w:tr>
    </w:tbl>
    <w:p w14:paraId="6CC07CC1">
      <w:pPr>
        <w:tabs>
          <w:tab w:val="left" w:pos="0"/>
        </w:tabs>
        <w:jc w:val="center"/>
        <w:rPr>
          <w:i/>
          <w:sz w:val="28"/>
          <w:szCs w:val="28"/>
          <w:lang w:val="es-ES"/>
        </w:rPr>
      </w:pPr>
      <w:r>
        <w:rPr>
          <w:i/>
          <w:sz w:val="28"/>
          <w:szCs w:val="28"/>
          <w:vertAlign w:val="superscript"/>
          <w:lang w:val="es-ES"/>
        </w:rPr>
        <w:t>¹ Bioinformatics Centre, Savitribai Phule Pune University, Pune 411007, India</w:t>
      </w:r>
    </w:p>
    <w:p w14:paraId="48D87098">
      <w:pPr>
        <w:tabs>
          <w:tab w:val="left" w:pos="0"/>
        </w:tabs>
        <w:jc w:val="center"/>
        <w:rPr>
          <w:i/>
          <w:sz w:val="18"/>
          <w:szCs w:val="18"/>
          <w:lang w:val="es-ES"/>
        </w:rPr>
      </w:pPr>
      <w:r>
        <w:fldChar w:fldCharType="begin"/>
      </w:r>
      <w:r>
        <w:instrText xml:space="preserve"> HYPERLINK "mailto:nayanikadas0709@gmail.com" </w:instrText>
      </w:r>
      <w:r>
        <w:fldChar w:fldCharType="separate"/>
      </w:r>
      <w:r>
        <w:rPr>
          <w:rStyle w:val="18"/>
          <w:i/>
          <w:sz w:val="18"/>
          <w:szCs w:val="18"/>
          <w:lang w:val="es-ES"/>
        </w:rPr>
        <w:t>nayanikadas0709@gmail.com</w:t>
      </w:r>
      <w:r>
        <w:rPr>
          <w:rStyle w:val="18"/>
          <w:i/>
          <w:sz w:val="18"/>
          <w:szCs w:val="18"/>
          <w:lang w:val="es-ES"/>
        </w:rPr>
        <w:fldChar w:fldCharType="end"/>
      </w:r>
    </w:p>
    <w:p w14:paraId="61F8F791">
      <w:pPr>
        <w:keepNext w:val="0"/>
        <w:keepLines w:val="0"/>
        <w:widowControl/>
        <w:suppressLineNumbers w:val="0"/>
        <w:pBdr>
          <w:top w:val="none" w:color="auto" w:sz="0" w:space="0"/>
          <w:bottom w:val="none" w:color="auto" w:sz="0" w:space="0"/>
        </w:pBdr>
        <w:spacing w:before="0" w:beforeAutospacing="0" w:after="96" w:afterAutospacing="0"/>
        <w:ind w:left="3276" w:right="96"/>
        <w:jc w:val="both"/>
        <w:rPr>
          <w:rFonts w:hint="default" w:ascii="Times New Roman" w:hAnsi="Times New Roman" w:cs="Times New Roman"/>
          <w:color w:val="1155CC"/>
          <w:sz w:val="15"/>
          <w:szCs w:val="15"/>
          <w:u w:val="single"/>
        </w:rPr>
      </w:pPr>
      <w:r>
        <w:rPr>
          <w:i/>
          <w:sz w:val="18"/>
          <w:szCs w:val="18"/>
          <w:lang w:val="es-ES"/>
        </w:rPr>
        <w:t xml:space="preserve">*Corresponding author : </w:t>
      </w:r>
      <w:r>
        <w:rPr>
          <w:rFonts w:ascii="SimSun" w:hAnsi="SimSun" w:eastAsia="SimSun" w:cs="SimSun"/>
          <w:color w:val="202124"/>
          <w:kern w:val="0"/>
          <w:sz w:val="18"/>
          <w:szCs w:val="18"/>
          <w:lang w:val="en-US" w:eastAsia="zh-CN" w:bidi="ar"/>
          <w14:ligatures w14:val="none"/>
        </w:rPr>
        <w:drawing>
          <wp:inline distT="0" distB="0" distL="114300" distR="114300">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2"/>
                    <a:stretch>
                      <a:fillRect/>
                    </a:stretch>
                  </pic:blipFill>
                  <pic:spPr>
                    <a:xfrm>
                      <a:off x="0" y="0"/>
                      <a:ext cx="9525" cy="9525"/>
                    </a:xfrm>
                    <a:prstGeom prst="rect">
                      <a:avLst/>
                    </a:prstGeom>
                    <a:noFill/>
                    <a:ln w="9525">
                      <a:noFill/>
                    </a:ln>
                  </pic:spPr>
                </pic:pic>
              </a:graphicData>
            </a:graphic>
          </wp:inline>
        </w:drawing>
      </w:r>
      <w:r>
        <w:rPr>
          <w:rFonts w:hint="default" w:ascii="Times New Roman" w:hAnsi="Times New Roman" w:eastAsia="SimSun" w:cs="Times New Roman"/>
          <w:color w:val="1155CC"/>
          <w:kern w:val="0"/>
          <w:sz w:val="16"/>
          <w:szCs w:val="16"/>
          <w:u w:val="single"/>
          <w:lang w:val="en-US" w:eastAsia="zh-CN" w:bidi="ar"/>
          <w14:ligatures w14:val="none"/>
        </w:rPr>
        <w:t>vijaybaladhye@gmail.com</w:t>
      </w:r>
    </w:p>
    <w:p w14:paraId="00B6DF41">
      <w:pPr>
        <w:tabs>
          <w:tab w:val="left" w:pos="0"/>
        </w:tabs>
        <w:jc w:val="left"/>
        <w:rPr>
          <w:rFonts w:ascii="Cambria" w:hAnsi="Cambria"/>
          <w:sz w:val="20"/>
          <w:szCs w:val="20"/>
          <w:lang w:val="es-ES"/>
        </w:rPr>
      </w:pPr>
      <w:bookmarkStart w:id="1" w:name="_GoBack"/>
      <w:bookmarkEnd w:id="1"/>
    </w:p>
    <w:p w14:paraId="3AD5D5E5">
      <w:pPr>
        <w:shd w:val="clear" w:color="auto" w:fill="FFFFFF"/>
        <w:jc w:val="left"/>
        <w:rPr>
          <w:sz w:val="15"/>
          <w:szCs w:val="15"/>
          <w:lang w:val="en-US"/>
        </w:rPr>
      </w:pPr>
      <w:r>
        <w:rPr>
          <w:sz w:val="15"/>
          <w:szCs w:val="15"/>
          <w:lang w:val="en-US"/>
        </w:rPr>
        <w:t>------------------------------------------------------------------------------------------------------------------------------------------------------------------------------------------------</w:t>
      </w:r>
    </w:p>
    <w:p w14:paraId="387B96BF">
      <w:pPr>
        <w:spacing w:after="120"/>
        <w:jc w:val="left"/>
        <w:rPr>
          <w:b/>
          <w:sz w:val="18"/>
          <w:szCs w:val="18"/>
          <w:lang w:val="en-US"/>
        </w:rPr>
        <w:sectPr>
          <w:headerReference r:id="rId5" w:type="default"/>
          <w:footerReference r:id="rId6" w:type="default"/>
          <w:pgSz w:w="11907" w:h="16839"/>
          <w:pgMar w:top="1701" w:right="1134" w:bottom="1418" w:left="1134" w:header="709" w:footer="709" w:gutter="0"/>
          <w:pgNumType w:start="1"/>
          <w:cols w:space="708" w:num="1"/>
          <w:docGrid w:linePitch="360" w:charSpace="0"/>
        </w:sectPr>
      </w:pPr>
    </w:p>
    <w:p w14:paraId="7852EE15">
      <w:pPr>
        <w:jc w:val="left"/>
        <w:rPr>
          <w:b/>
          <w:color w:val="0070C0"/>
          <w:sz w:val="20"/>
          <w:szCs w:val="20"/>
          <w:lang w:val="en-US"/>
        </w:rPr>
      </w:pPr>
    </w:p>
    <w:p w14:paraId="20848D86">
      <w:pPr>
        <w:jc w:val="left"/>
        <w:rPr>
          <w:b/>
          <w:color w:val="0070C0"/>
          <w:sz w:val="20"/>
          <w:szCs w:val="20"/>
          <w:lang w:val="en-US"/>
        </w:rPr>
      </w:pPr>
    </w:p>
    <w:p w14:paraId="183604C1">
      <w:pPr>
        <w:jc w:val="left"/>
        <w:rPr>
          <w:b/>
          <w:color w:val="0070C0"/>
          <w:sz w:val="20"/>
          <w:szCs w:val="20"/>
          <w:lang w:val="en-US"/>
        </w:rPr>
        <w:sectPr>
          <w:type w:val="continuous"/>
          <w:pgSz w:w="11907" w:h="16839"/>
          <w:pgMar w:top="1701" w:right="1134" w:bottom="1135" w:left="1134" w:header="709" w:footer="709" w:gutter="0"/>
          <w:pgNumType w:start="176"/>
          <w:cols w:space="567" w:num="2"/>
          <w:docGrid w:linePitch="360" w:charSpace="0"/>
        </w:sectPr>
      </w:pPr>
    </w:p>
    <w:p w14:paraId="6B6126FE">
      <w:pPr>
        <w:jc w:val="left"/>
        <w:rPr>
          <w:b/>
          <w:color w:val="0070C0"/>
          <w:sz w:val="18"/>
          <w:szCs w:val="18"/>
          <w:lang w:val="en-US"/>
        </w:rPr>
      </w:pPr>
      <w:r>
        <w:rPr>
          <w:b/>
          <w:color w:val="0070C0"/>
          <w:sz w:val="18"/>
          <w:szCs w:val="18"/>
          <w:lang w:val="en-US"/>
        </w:rPr>
        <w:t xml:space="preserve">ABSTRACT </w:t>
      </w:r>
    </w:p>
    <w:p w14:paraId="0921D809">
      <w:pPr>
        <w:jc w:val="left"/>
        <w:rPr>
          <w:b/>
          <w:color w:val="0070C0"/>
          <w:sz w:val="18"/>
          <w:szCs w:val="18"/>
          <w:lang w:val="en-US"/>
        </w:rPr>
      </w:pPr>
    </w:p>
    <w:p w14:paraId="7B01FCC4">
      <w:pPr>
        <w:jc w:val="left"/>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855D891">
      <w:pPr>
        <w:jc w:val="left"/>
        <w:rPr>
          <w:rFonts w:eastAsia="Calibri"/>
          <w:sz w:val="18"/>
          <w:szCs w:val="18"/>
          <w:lang w:val="en"/>
        </w:rPr>
      </w:pPr>
    </w:p>
    <w:p w14:paraId="164AE15E">
      <w:pPr>
        <w:jc w:val="left"/>
        <w:rPr>
          <w:rFonts w:eastAsia="Calibri"/>
          <w:sz w:val="18"/>
          <w:szCs w:val="18"/>
          <w:lang w:val="en-US"/>
        </w:rPr>
        <w:sectPr>
          <w:type w:val="continuous"/>
          <w:pgSz w:w="11907" w:h="16839"/>
          <w:pgMar w:top="1701" w:right="1134" w:bottom="1135" w:left="1134" w:header="709" w:footer="709" w:gutter="0"/>
          <w:pgNumType w:start="176"/>
          <w:cols w:space="567" w:num="1"/>
          <w:docGrid w:linePitch="360" w:charSpace="0"/>
        </w:sectPr>
      </w:pPr>
      <w:r>
        <w:rPr>
          <w:b/>
          <w:color w:val="0070C0"/>
          <w:sz w:val="18"/>
          <w:szCs w:val="18"/>
          <w:lang w:val="en-US"/>
        </w:rPr>
        <w:t>Keywords:</w:t>
      </w:r>
      <w:r>
        <w:rPr>
          <w:b/>
          <w:color w:val="4472C4" w:themeColor="accent1"/>
          <w:sz w:val="18"/>
          <w:szCs w:val="18"/>
          <w:lang w:val="en-US"/>
          <w14:textFill>
            <w14:solidFill>
              <w14:schemeClr w14:val="accent1"/>
            </w14:solidFill>
          </w14:textFill>
        </w:rPr>
        <w:t xml:space="preserve"> </w:t>
      </w:r>
      <w:r>
        <w:rPr>
          <w:sz w:val="18"/>
          <w:szCs w:val="18"/>
        </w:rPr>
        <w:t xml:space="preserve">NRAS, melanoma, molecular docking, MEK inhibitor. </w:t>
      </w:r>
    </w:p>
    <w:p w14:paraId="51B497DB">
      <w:pPr>
        <w:jc w:val="left"/>
        <w:rPr>
          <w:b/>
          <w:color w:val="0070C0"/>
          <w:sz w:val="20"/>
          <w:szCs w:val="20"/>
          <w:lang w:val="en-US"/>
        </w:rPr>
      </w:pPr>
    </w:p>
    <w:p w14:paraId="18329C0E">
      <w:pPr>
        <w:pStyle w:val="20"/>
        <w:jc w:val="left"/>
        <w:rPr>
          <w:rFonts w:ascii="Times New Roman" w:hAnsi="Times New Roman"/>
          <w:sz w:val="15"/>
          <w:szCs w:val="15"/>
        </w:rPr>
        <w:sectPr>
          <w:type w:val="continuous"/>
          <w:pgSz w:w="11907" w:h="16839"/>
          <w:pgMar w:top="1701" w:right="1134" w:bottom="1135" w:left="1134" w:header="709" w:footer="709" w:gutter="0"/>
          <w:pgNumType w:start="176"/>
          <w:cols w:space="567" w:num="2"/>
          <w:docGrid w:linePitch="360" w:charSpace="0"/>
        </w:sectPr>
      </w:pPr>
    </w:p>
    <w:p w14:paraId="68998359">
      <w:pPr>
        <w:pStyle w:val="20"/>
        <w:jc w:val="left"/>
        <w:rPr>
          <w:rFonts w:ascii="Times New Roman" w:hAnsi="Times New Roman"/>
          <w:sz w:val="15"/>
          <w:szCs w:val="15"/>
        </w:rPr>
        <w:sectPr>
          <w:type w:val="continuous"/>
          <w:pgSz w:w="11907" w:h="16839"/>
          <w:pgMar w:top="1701" w:right="1134" w:bottom="1135" w:left="1134" w:header="709" w:footer="709" w:gutter="0"/>
          <w:pgNumType w:start="176"/>
          <w:cols w:space="567" w:num="1"/>
          <w:docGrid w:linePitch="360" w:charSpace="0"/>
        </w:sectPr>
      </w:pPr>
      <w:r>
        <w:rPr>
          <w:rFonts w:ascii="Times New Roman" w:hAnsi="Times New Roman"/>
          <w:sz w:val="15"/>
          <w:szCs w:val="15"/>
        </w:rPr>
        <w:t>------------------------------------------------------------------------------------------------------------------------------------------------------------------------------------------------</w:t>
      </w:r>
    </w:p>
    <w:p w14:paraId="6450EB5C">
      <w:pPr>
        <w:tabs>
          <w:tab w:val="left" w:pos="284"/>
        </w:tabs>
        <w:jc w:val="left"/>
        <w:rPr>
          <w:sz w:val="18"/>
          <w:szCs w:val="18"/>
          <w:lang w:val="en-US"/>
        </w:rPr>
      </w:pPr>
    </w:p>
    <w:p w14:paraId="0F621632">
      <w:pPr>
        <w:tabs>
          <w:tab w:val="left" w:pos="284"/>
        </w:tabs>
        <w:jc w:val="left"/>
        <w:rPr>
          <w:sz w:val="18"/>
          <w:szCs w:val="18"/>
          <w:lang w:val="en-US"/>
        </w:rPr>
      </w:pPr>
    </w:p>
    <w:p w14:paraId="40FA339C">
      <w:pPr>
        <w:tabs>
          <w:tab w:val="left" w:pos="284"/>
        </w:tabs>
        <w:jc w:val="left"/>
        <w:rPr>
          <w:sz w:val="18"/>
          <w:szCs w:val="18"/>
          <w:lang w:val="en-US"/>
        </w:rPr>
        <w:sectPr>
          <w:type w:val="continuous"/>
          <w:pgSz w:w="11907" w:h="16839"/>
          <w:pgMar w:top="1701" w:right="1134" w:bottom="1135" w:left="1134" w:header="709" w:footer="709" w:gutter="0"/>
          <w:pgNumType w:start="176"/>
          <w:cols w:space="567" w:num="2"/>
          <w:docGrid w:linePitch="360" w:charSpace="0"/>
        </w:sectPr>
      </w:pPr>
    </w:p>
    <w:p w14:paraId="599AD165">
      <w:pPr>
        <w:pStyle w:val="20"/>
        <w:jc w:val="left"/>
        <w:rPr>
          <w:rFonts w:ascii="Times New Roman" w:hAnsi="Times New Roman"/>
          <w:sz w:val="15"/>
          <w:szCs w:val="15"/>
        </w:rPr>
        <w:sectPr>
          <w:type w:val="continuous"/>
          <w:pgSz w:w="11907" w:h="16839"/>
          <w:pgMar w:top="1701" w:right="992" w:bottom="1418" w:left="1134" w:header="709" w:footer="709" w:gutter="0"/>
          <w:pgNumType w:start="176"/>
          <w:cols w:space="708" w:num="1"/>
          <w:docGrid w:linePitch="360" w:charSpace="0"/>
        </w:sectPr>
      </w:pPr>
    </w:p>
    <w:p w14:paraId="235FF4D9">
      <w:pPr>
        <w:jc w:val="left"/>
        <w:rPr>
          <w:b/>
          <w:color w:val="0070C0"/>
          <w:sz w:val="20"/>
          <w:szCs w:val="20"/>
          <w:lang w:val="en-US"/>
        </w:rPr>
      </w:pPr>
      <w:r>
        <w:rPr>
          <w:b/>
          <w:color w:val="0070C0"/>
          <w:sz w:val="20"/>
          <w:szCs w:val="20"/>
          <w:lang w:val="en-US"/>
        </w:rPr>
        <w:t xml:space="preserve">1. INTRODUCTION </w:t>
      </w:r>
    </w:p>
    <w:p w14:paraId="3340E48D">
      <w:pPr>
        <w:jc w:val="left"/>
        <w:rPr>
          <w:b/>
          <w:color w:val="0070C0"/>
          <w:sz w:val="20"/>
          <w:szCs w:val="20"/>
          <w:lang w:val="en-US"/>
        </w:rPr>
      </w:pPr>
    </w:p>
    <w:p w14:paraId="45F8A437">
      <w:pPr>
        <w:jc w:val="left"/>
        <w:rPr>
          <w:rFonts w:hint="default"/>
          <w:sz w:val="20"/>
          <w:szCs w:val="20"/>
          <w:vertAlign w:val="superscript"/>
          <w:lang w:val="en-US"/>
        </w:rPr>
      </w:pPr>
      <w:r>
        <w:rPr>
          <w:sz w:val="20"/>
          <w:szCs w:val="20"/>
        </w:rPr>
        <w:t>Melanoma is a deadly form of skin cancer occurring in humans and animals and is responsible for most deaths. At the basal level of the epidermis melanocytes are found, which produce the UV absorbing pigment melanin</w:t>
      </w:r>
      <w:r>
        <w:rPr>
          <w:sz w:val="20"/>
          <w:szCs w:val="20"/>
          <w:vertAlign w:val="superscript"/>
        </w:rPr>
        <w:t>2</w:t>
      </w:r>
      <w:r>
        <w:rPr>
          <w:sz w:val="20"/>
          <w:szCs w:val="20"/>
        </w:rPr>
        <w:t xml:space="preserve"> </w:t>
      </w:r>
      <w:r>
        <w:rPr>
          <w:rFonts w:hint="default"/>
          <w:sz w:val="20"/>
          <w:szCs w:val="20"/>
          <w:lang w:val="en-US"/>
        </w:rPr>
        <w:t xml:space="preserve">. </w:t>
      </w:r>
      <w:r>
        <w:rPr>
          <w:sz w:val="20"/>
          <w:szCs w:val="20"/>
        </w:rPr>
        <w:t>It's a combination of environmental and genetic factors, the majority of melanomas arise from somatic mutations acquired later in life. The four major types include Superficial spreading melanoma, Nodular melanoma, Lentigo maligna, Acral lentiginous</w:t>
      </w:r>
      <w:r>
        <w:rPr>
          <w:sz w:val="20"/>
          <w:szCs w:val="20"/>
          <w:vertAlign w:val="superscript"/>
        </w:rPr>
        <w:t>2</w:t>
      </w:r>
      <w:r>
        <w:rPr>
          <w:sz w:val="20"/>
          <w:szCs w:val="20"/>
        </w:rPr>
        <w:t xml:space="preserve"> </w:t>
      </w:r>
      <w:r>
        <w:rPr>
          <w:rFonts w:hint="default"/>
          <w:sz w:val="20"/>
          <w:szCs w:val="20"/>
          <w:lang w:val="en-US"/>
        </w:rPr>
        <w:t xml:space="preserve">. </w:t>
      </w:r>
      <w:r>
        <w:rPr>
          <w:sz w:val="20"/>
          <w:szCs w:val="20"/>
        </w:rPr>
        <w:t>One of the most known mutated pathways in melanoma that has received a lot of importance for targeted therapeutic purposes, is the MAP kinase signalling pathway</w:t>
      </w:r>
      <w:r>
        <w:rPr>
          <w:sz w:val="20"/>
          <w:szCs w:val="20"/>
          <w:vertAlign w:val="superscript"/>
        </w:rPr>
        <w:t>2</w:t>
      </w:r>
      <w:r>
        <w:rPr>
          <w:sz w:val="20"/>
          <w:szCs w:val="20"/>
        </w:rPr>
        <w:t xml:space="preserve"> Mutations in each of the identified driver genes lead to deregulation of the MAPK/ERK pathway, leading to uncontrolled cell growth. BRAF subtype show 52% of somatic mutations tumours, following that is NRAS</w:t>
      </w:r>
      <w:r>
        <w:rPr>
          <w:rFonts w:hint="default"/>
          <w:sz w:val="20"/>
          <w:szCs w:val="20"/>
          <w:vertAlign w:val="superscript"/>
          <w:lang w:val="en-US"/>
        </w:rPr>
        <w:t xml:space="preserve">4 </w:t>
      </w:r>
      <w:r>
        <w:rPr>
          <w:sz w:val="20"/>
          <w:szCs w:val="20"/>
        </w:rPr>
        <w:t>The average age of diagnosis is 65 but before age 50, the number of women diagnosed are more than men. Among all people diagnosed with melanoma of the skin, the 5-year relative survival rate from the time of diagnosis is approximately 95%, with survival rates reaching nearly 100% for localized cases</w:t>
      </w:r>
      <w:r>
        <w:rPr>
          <w:rFonts w:hint="default"/>
          <w:sz w:val="20"/>
          <w:szCs w:val="20"/>
          <w:vertAlign w:val="superscript"/>
          <w:lang w:val="en-US"/>
        </w:rPr>
        <w:t>5 .</w:t>
      </w:r>
      <w:r>
        <w:rPr>
          <w:sz w:val="20"/>
          <w:szCs w:val="20"/>
        </w:rPr>
        <w:t xml:space="preserve">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w:t>
      </w:r>
      <w:r>
        <w:rPr>
          <w:rFonts w:hint="default"/>
          <w:sz w:val="20"/>
          <w:szCs w:val="20"/>
          <w:vertAlign w:val="superscript"/>
          <w:lang w:val="en-US"/>
        </w:rPr>
        <w:t xml:space="preserve">6 </w:t>
      </w:r>
      <w:r>
        <w:rPr>
          <w:rFonts w:hint="default"/>
          <w:sz w:val="20"/>
          <w:szCs w:val="20"/>
          <w:vertAlign w:val="baseline"/>
          <w:lang w:val="en-US"/>
        </w:rPr>
        <w:t>.</w:t>
      </w:r>
      <w:r>
        <w:rPr>
          <w:sz w:val="20"/>
          <w:szCs w:val="20"/>
        </w:rPr>
        <w:t>Stage IV describes melanoma that has spread through the bloodstream to other parts of the body, such as distant locations like soft tissue, distant lymph nodes, or other organs like the lung, liver, brain, bone, or gastrointestinal tract</w:t>
      </w:r>
      <w:r>
        <w:rPr>
          <w:rFonts w:hint="default"/>
          <w:sz w:val="20"/>
          <w:szCs w:val="20"/>
          <w:vertAlign w:val="superscript"/>
          <w:lang w:val="en-US"/>
        </w:rPr>
        <w:t>6</w:t>
      </w:r>
      <w:r>
        <w:rPr>
          <w:sz w:val="20"/>
          <w:szCs w:val="20"/>
        </w:rPr>
        <w:t xml:space="preserve"> </w:t>
      </w:r>
      <w:r>
        <w:rPr>
          <w:rFonts w:hint="default"/>
          <w:sz w:val="20"/>
          <w:szCs w:val="20"/>
          <w:lang w:val="en-US"/>
        </w:rPr>
        <w:t>.</w:t>
      </w:r>
      <w:r>
        <w:rPr>
          <w:sz w:val="20"/>
          <w:szCs w:val="20"/>
        </w:rPr>
        <w:t>There have been some clinically approved drugs against melanoma. Trametinib was basically designed for BRAF. But a few patients who had mutant NRAS affected cells were tested with this drug</w:t>
      </w:r>
      <w:r>
        <w:rPr>
          <w:rFonts w:hint="default"/>
          <w:sz w:val="20"/>
          <w:szCs w:val="20"/>
          <w:vertAlign w:val="superscript"/>
          <w:lang w:val="en-US"/>
        </w:rPr>
        <w:t>8</w:t>
      </w:r>
      <w:r>
        <w:rPr>
          <w:sz w:val="20"/>
          <w:szCs w:val="20"/>
        </w:rPr>
        <w:t xml:space="preserve"> </w:t>
      </w:r>
      <w:r>
        <w:rPr>
          <w:rFonts w:hint="default"/>
          <w:sz w:val="20"/>
          <w:szCs w:val="20"/>
          <w:lang w:val="en-US"/>
        </w:rPr>
        <w:t>.</w:t>
      </w:r>
      <w:r>
        <w:rPr>
          <w:sz w:val="20"/>
          <w:szCs w:val="20"/>
        </w:rPr>
        <w:t>Patients with solid tumours were targeted using Binimetinib. It is a type of MEK inhibitor specifically for mutant NRAS</w:t>
      </w:r>
      <w:r>
        <w:rPr>
          <w:rFonts w:hint="default"/>
          <w:sz w:val="20"/>
          <w:szCs w:val="20"/>
          <w:vertAlign w:val="superscript"/>
          <w:lang w:val="en-US"/>
        </w:rPr>
        <w:t xml:space="preserve">7 </w:t>
      </w:r>
      <w:r>
        <w:rPr>
          <w:rFonts w:hint="default"/>
          <w:sz w:val="20"/>
          <w:szCs w:val="20"/>
          <w:lang w:val="en-US"/>
        </w:rPr>
        <w:t>.</w:t>
      </w:r>
      <w:r>
        <w:rPr>
          <w:sz w:val="20"/>
          <w:szCs w:val="20"/>
        </w:rPr>
        <w:t>A cysteine residue of post translational modification of RAS are the Farnesyltransferase inhibitors. Initially they were developed for targeting NRAS in combination to other drugs. But since no potential output was obtained, clinical trials have stopped taking place now</w:t>
      </w:r>
      <w:r>
        <w:rPr>
          <w:rFonts w:hint="default"/>
          <w:sz w:val="20"/>
          <w:szCs w:val="20"/>
          <w:vertAlign w:val="superscript"/>
          <w:lang w:val="en-US"/>
        </w:rPr>
        <w:t>7</w:t>
      </w:r>
      <w:r>
        <w:rPr>
          <w:rFonts w:hint="default"/>
          <w:sz w:val="20"/>
          <w:szCs w:val="20"/>
          <w:vertAlign w:val="baseline"/>
          <w:lang w:val="en-US"/>
        </w:rPr>
        <w:t xml:space="preserve"> .</w:t>
      </w:r>
      <w:r>
        <w:rPr>
          <w:sz w:val="20"/>
          <w:szCs w:val="20"/>
        </w:rPr>
        <w:t>Cobimetinib shows a great yield of activity when combined with Vemurafenib. About more than 80% reactivity of BRAF 600-mutant was observed with this therapy</w:t>
      </w:r>
      <w:r>
        <w:rPr>
          <w:rFonts w:hint="default"/>
          <w:sz w:val="20"/>
          <w:szCs w:val="20"/>
          <w:vertAlign w:val="superscript"/>
          <w:lang w:val="en-US"/>
        </w:rPr>
        <w:t>7</w:t>
      </w:r>
      <w:r>
        <w:rPr>
          <w:sz w:val="20"/>
          <w:szCs w:val="20"/>
        </w:rPr>
        <w:t xml:space="preserve"> </w:t>
      </w:r>
      <w:r>
        <w:rPr>
          <w:rFonts w:hint="default"/>
          <w:sz w:val="20"/>
          <w:szCs w:val="20"/>
          <w:lang w:val="en-US"/>
        </w:rPr>
        <w:t>.</w:t>
      </w:r>
      <w:r>
        <w:rPr>
          <w:sz w:val="20"/>
          <w:szCs w:val="20"/>
        </w:rPr>
        <w:t>A MEK associated inhibitor. In humans it shows a half way response to NRAS activity while in xenographs it is a therapy for RAS and RAF. Presently under clinical trials. Dabrafenib was developed for treatment against BRAF</w:t>
      </w:r>
      <w:r>
        <w:rPr>
          <w:rFonts w:hint="default"/>
          <w:sz w:val="20"/>
          <w:szCs w:val="20"/>
          <w:vertAlign w:val="superscript"/>
          <w:lang w:val="en-US"/>
        </w:rPr>
        <w:t>7</w:t>
      </w:r>
      <w:r>
        <w:rPr>
          <w:rFonts w:hint="default"/>
          <w:sz w:val="20"/>
          <w:szCs w:val="20"/>
          <w:vertAlign w:val="baseline"/>
          <w:lang w:val="en-US"/>
        </w:rPr>
        <w:t xml:space="preserve"> .</w:t>
      </w:r>
    </w:p>
    <w:p w14:paraId="0419B7DF">
      <w:pPr>
        <w:jc w:val="left"/>
        <w:rPr>
          <w:sz w:val="20"/>
          <w:szCs w:val="20"/>
        </w:rPr>
      </w:pPr>
      <w:r>
        <w:rPr>
          <w:sz w:val="20"/>
          <w:szCs w:val="20"/>
        </w:rPr>
        <w:t>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w:t>
      </w:r>
      <w:r>
        <w:rPr>
          <w:rFonts w:hint="default"/>
          <w:sz w:val="20"/>
          <w:szCs w:val="20"/>
          <w:vertAlign w:val="superscript"/>
          <w:lang w:val="en-US"/>
        </w:rPr>
        <w:t>1</w:t>
      </w:r>
      <w:r>
        <w:rPr>
          <w:sz w:val="20"/>
          <w:szCs w:val="20"/>
          <w:vertAlign w:val="superscript"/>
        </w:rPr>
        <w:t xml:space="preserve"> </w:t>
      </w:r>
      <w:r>
        <w:rPr>
          <w:sz w:val="20"/>
          <w:szCs w:val="20"/>
        </w:rPr>
        <w:t>A clear difference between isoforms of NRAS is the binding of (RBD) Ras Binding Domain</w:t>
      </w:r>
      <w:r>
        <w:rPr>
          <w:rFonts w:hint="default"/>
          <w:sz w:val="20"/>
          <w:szCs w:val="20"/>
          <w:vertAlign w:val="superscript"/>
          <w:lang w:val="en-US"/>
        </w:rPr>
        <w:t xml:space="preserve">1 </w:t>
      </w:r>
      <w:r>
        <w:rPr>
          <w:sz w:val="20"/>
          <w:szCs w:val="20"/>
        </w:rPr>
        <w:t>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w:t>
      </w:r>
      <w:r>
        <w:rPr>
          <w:rFonts w:hint="default"/>
          <w:sz w:val="20"/>
          <w:szCs w:val="20"/>
          <w:vertAlign w:val="superscript"/>
          <w:lang w:val="en-US"/>
        </w:rPr>
        <w:t xml:space="preserve">1 </w:t>
      </w:r>
      <w:r>
        <w:rPr>
          <w:rFonts w:hint="default"/>
          <w:sz w:val="20"/>
          <w:szCs w:val="20"/>
          <w:vertAlign w:val="baseline"/>
          <w:lang w:val="en-US"/>
        </w:rPr>
        <w:t>.</w:t>
      </w:r>
      <w:r>
        <w:rPr>
          <w:sz w:val="20"/>
          <w:szCs w:val="20"/>
        </w:rPr>
        <w:t>A clear difference between isoforms of NRAS is the binding of (RBD) Ras Binding Domain</w:t>
      </w:r>
      <w:r>
        <w:rPr>
          <w:rFonts w:hint="default"/>
          <w:sz w:val="20"/>
          <w:szCs w:val="20"/>
          <w:vertAlign w:val="superscript"/>
          <w:lang w:val="en-US"/>
        </w:rPr>
        <w:t>1</w:t>
      </w:r>
      <w:r>
        <w:rPr>
          <w:sz w:val="20"/>
          <w:szCs w:val="20"/>
        </w:rPr>
        <w:t xml:space="preserve">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w:t>
      </w:r>
      <w:r>
        <w:rPr>
          <w:rFonts w:hint="default"/>
          <w:sz w:val="20"/>
          <w:szCs w:val="20"/>
          <w:vertAlign w:val="superscript"/>
          <w:lang w:val="en-US"/>
        </w:rPr>
        <w:t>1</w:t>
      </w:r>
      <w:r>
        <w:rPr>
          <w:sz w:val="20"/>
          <w:szCs w:val="20"/>
        </w:rPr>
        <w:t xml:space="preserve">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computationally modeling clinically relevant NRAS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26BF9ED6">
      <w:pPr>
        <w:jc w:val="left"/>
        <w:rPr>
          <w:rFonts w:eastAsia="Calibri"/>
          <w:b/>
          <w:color w:val="0070C0"/>
          <w:sz w:val="20"/>
          <w:szCs w:val="20"/>
          <w:lang w:val="en-US"/>
        </w:rPr>
      </w:pPr>
    </w:p>
    <w:p w14:paraId="72FCA8AC">
      <w:pPr>
        <w:jc w:val="left"/>
        <w:rPr>
          <w:rFonts w:eastAsia="Calibri"/>
          <w:b/>
          <w:color w:val="0070C0"/>
          <w:sz w:val="20"/>
          <w:szCs w:val="20"/>
          <w:lang w:val="en-US"/>
        </w:rPr>
      </w:pPr>
      <w:r>
        <w:rPr>
          <w:rFonts w:eastAsia="Calibri"/>
          <w:b/>
          <w:color w:val="0070C0"/>
          <w:sz w:val="20"/>
          <w:szCs w:val="20"/>
          <w:lang w:val="en-US"/>
        </w:rPr>
        <w:t>2.1. Methods</w:t>
      </w:r>
    </w:p>
    <w:p w14:paraId="61DFD62E">
      <w:pPr>
        <w:jc w:val="left"/>
        <w:rPr>
          <w:rFonts w:eastAsia="Calibri"/>
          <w:b/>
          <w:color w:val="0070C0"/>
          <w:sz w:val="20"/>
          <w:szCs w:val="20"/>
          <w:lang w:val="en-US"/>
        </w:rPr>
      </w:pPr>
    </w:p>
    <w:p w14:paraId="63287AC0">
      <w:pPr>
        <w:jc w:val="left"/>
        <w:rPr>
          <w:rFonts w:eastAsia="Calibri"/>
          <w:b/>
          <w:color w:val="2E75B6" w:themeColor="accent5" w:themeShade="BF"/>
          <w:sz w:val="20"/>
          <w:szCs w:val="20"/>
          <w:lang w:val="en-US"/>
        </w:rPr>
      </w:pPr>
      <w:r>
        <w:rPr>
          <w:rFonts w:eastAsia="Calibri"/>
          <w:b/>
          <w:color w:val="0070C0"/>
          <w:sz w:val="20"/>
          <w:szCs w:val="20"/>
          <w:lang w:val="en-US"/>
        </w:rPr>
        <w:t xml:space="preserve">2.1.1. </w:t>
      </w:r>
      <w:r>
        <w:rPr>
          <w:rFonts w:hint="default" w:eastAsia="TimesNewRomanPSMT"/>
          <w:b/>
          <w:bCs/>
          <w:color w:val="2E75B6" w:themeColor="accent5" w:themeShade="BF"/>
          <w:sz w:val="20"/>
          <w:szCs w:val="20"/>
        </w:rPr>
        <w:t>Target identification</w:t>
      </w:r>
    </w:p>
    <w:p w14:paraId="22FA0200">
      <w:pPr>
        <w:jc w:val="left"/>
        <w:rPr>
          <w:rFonts w:eastAsia="TimesNewRomanPSMT"/>
          <w:sz w:val="20"/>
          <w:szCs w:val="20"/>
        </w:rPr>
      </w:pPr>
    </w:p>
    <w:p w14:paraId="5C554D7C">
      <w:pPr>
        <w:jc w:val="left"/>
        <w:rPr>
          <w:rFonts w:hint="default" w:eastAsia="TimesNewRomanPSMT"/>
          <w:sz w:val="20"/>
          <w:szCs w:val="20"/>
          <w:lang w:val="en-US"/>
        </w:rPr>
      </w:pPr>
      <w:r>
        <w:rPr>
          <w:rFonts w:eastAsia="TimesNewRomanPSMT"/>
          <w:sz w:val="20"/>
          <w:szCs w:val="20"/>
        </w:rPr>
        <w:t>The KEGG database</w:t>
      </w:r>
      <w:r>
        <w:rPr>
          <w:rFonts w:hint="default" w:eastAsia="TimesNewRomanPSMT"/>
          <w:sz w:val="20"/>
          <w:szCs w:val="20"/>
          <w:vertAlign w:val="superscript"/>
          <w:lang w:val="en-US"/>
        </w:rPr>
        <w:t>14</w:t>
      </w:r>
      <w:r>
        <w:rPr>
          <w:rFonts w:hint="default" w:eastAsia="TimesNewRomanPSMT"/>
          <w:sz w:val="20"/>
          <w:szCs w:val="20"/>
          <w:lang w:val="en-US"/>
        </w:rPr>
        <w:t xml:space="preserve"> </w:t>
      </w:r>
      <w:r>
        <w:rPr>
          <w:rFonts w:eastAsia="TimesNewRomanPSMT"/>
          <w:sz w:val="20"/>
          <w:szCs w:val="20"/>
        </w:rPr>
        <w:t>was used to study the melanoma pathway. Dysregulation of MAPK pathway is very common in many cancers due to mutations in RAS genes</w:t>
      </w:r>
      <w:r>
        <w:rPr>
          <w:rFonts w:hint="default" w:eastAsia="TimesNewRomanPSMT"/>
          <w:sz w:val="20"/>
          <w:szCs w:val="20"/>
          <w:lang w:val="en-US"/>
        </w:rPr>
        <w:t>.</w:t>
      </w:r>
      <w:r>
        <w:rPr>
          <w:rFonts w:eastAsia="TimesNewRomanPSMT"/>
          <w:sz w:val="20"/>
          <w:szCs w:val="20"/>
        </w:rPr>
        <w:t xml:space="preserve"> The MAPK pathway is one of the major pathways involved in progress of melanoma and so it was chosen. It harbours BRAF, NRAS, ERK and MEK as it’s components. About 28% of the mutations are seen in NRAS of this pathway</w:t>
      </w:r>
      <w:r>
        <w:rPr>
          <w:rFonts w:hint="default" w:eastAsia="TimesNewRomanPSMT"/>
          <w:sz w:val="20"/>
          <w:szCs w:val="20"/>
          <w:vertAlign w:val="superscript"/>
          <w:lang w:val="en-US"/>
        </w:rPr>
        <w:t>3</w:t>
      </w:r>
    </w:p>
    <w:p w14:paraId="15691FAF">
      <w:pPr>
        <w:jc w:val="left"/>
        <w:rPr>
          <w:rFonts w:eastAsia="Calibri"/>
          <w:b/>
          <w:color w:val="0070C0"/>
          <w:sz w:val="20"/>
          <w:szCs w:val="20"/>
        </w:rPr>
      </w:pPr>
    </w:p>
    <w:p w14:paraId="4F8A87F4">
      <w:pPr>
        <w:jc w:val="left"/>
        <w:rPr>
          <w:rFonts w:eastAsia="Calibri"/>
          <w:b/>
          <w:color w:val="0070C0"/>
          <w:sz w:val="20"/>
          <w:szCs w:val="20"/>
          <w:lang w:val="en-US"/>
        </w:rPr>
      </w:pPr>
      <w:r>
        <w:rPr>
          <w:rFonts w:eastAsia="Calibri"/>
          <w:b/>
          <w:color w:val="0070C0"/>
          <w:sz w:val="20"/>
          <w:szCs w:val="20"/>
          <w:lang w:val="en-US"/>
        </w:rPr>
        <w:t xml:space="preserve">2.1.2. Protein Preparation </w:t>
      </w:r>
    </w:p>
    <w:p w14:paraId="108E89CA">
      <w:pPr>
        <w:jc w:val="left"/>
        <w:rPr>
          <w:rFonts w:eastAsia="Calibri"/>
          <w:b/>
          <w:color w:val="0070C0"/>
          <w:sz w:val="20"/>
          <w:szCs w:val="20"/>
          <w:lang w:val="en-US"/>
        </w:rPr>
      </w:pPr>
    </w:p>
    <w:p w14:paraId="060D7640">
      <w:pPr>
        <w:jc w:val="left"/>
        <w:rPr>
          <w:rFonts w:eastAsia="TimesNewRomanPSMT"/>
          <w:sz w:val="20"/>
          <w:szCs w:val="20"/>
        </w:rPr>
      </w:pPr>
      <w:r>
        <w:rPr>
          <w:rFonts w:eastAsia="TimesNewRomanPSMT"/>
          <w:sz w:val="20"/>
          <w:szCs w:val="20"/>
        </w:rPr>
        <w:t>The wild type NRAS structure with best resolution and well curated in Uniprot was selected. The PDB ID of this structure was 5UHV and Uniport ID was P01111. NRAS is a small GTPase structure. A clear difference between isoforms of N-Ras is the binding of Ras Binding Domain</w:t>
      </w:r>
      <w:r>
        <w:rPr>
          <w:rFonts w:hint="default"/>
          <w:sz w:val="20"/>
          <w:szCs w:val="20"/>
          <w:vertAlign w:val="superscript"/>
          <w:lang w:val="en-US"/>
        </w:rPr>
        <w:t xml:space="preserve">1 </w:t>
      </w:r>
      <w:r>
        <w:rPr>
          <w:rFonts w:hint="default"/>
          <w:sz w:val="20"/>
          <w:szCs w:val="20"/>
          <w:vertAlign w:val="baseline"/>
          <w:lang w:val="en-US"/>
        </w:rPr>
        <w:t>.</w:t>
      </w:r>
      <w:r>
        <w:rPr>
          <w:rFonts w:eastAsia="TimesNewRomanPSMT"/>
          <w:sz w:val="20"/>
          <w:szCs w:val="20"/>
        </w:rPr>
        <w:t>NRAS has only A chain associated with it. Hence, docking was carried out on the A chain of NRAS on the active site. The G-domain, catalysing GTP hydrolysis and mediating downstream signalling is 95% conserved between the Ras isoforms</w:t>
      </w:r>
      <w:r>
        <w:rPr>
          <w:rFonts w:hint="default"/>
          <w:sz w:val="20"/>
          <w:szCs w:val="20"/>
          <w:vertAlign w:val="superscript"/>
          <w:lang w:val="en-US"/>
        </w:rPr>
        <w:t>1</w:t>
      </w:r>
      <w:r>
        <w:rPr>
          <w:rFonts w:hint="default"/>
          <w:sz w:val="20"/>
          <w:szCs w:val="20"/>
          <w:vertAlign w:val="baseline"/>
          <w:lang w:val="en-US"/>
        </w:rPr>
        <w:t xml:space="preserve"> .</w:t>
      </w:r>
      <w:r>
        <w:rPr>
          <w:rFonts w:eastAsia="TimesNewRomanPSMT"/>
          <w:sz w:val="20"/>
          <w:szCs w:val="20"/>
        </w:rPr>
        <w:t xml:space="preserve">The Wild Type NRAS has a total of 189 amino acids. The overall structure can be divided into a catalytic G domain, which is comprised (residues 1-86) and (residues 87-166). </w:t>
      </w:r>
    </w:p>
    <w:p w14:paraId="7C2C7665">
      <w:pPr>
        <w:jc w:val="left"/>
        <w:rPr>
          <w:rFonts w:eastAsia="TimesNewRomanPSMT"/>
          <w:sz w:val="20"/>
          <w:szCs w:val="20"/>
        </w:rPr>
      </w:pPr>
    </w:p>
    <w:p w14:paraId="7B523BC4">
      <w:pPr>
        <w:jc w:val="left"/>
        <w:rPr>
          <w:rFonts w:eastAsia="Calibri"/>
          <w:b/>
          <w:color w:val="0070C0"/>
          <w:sz w:val="20"/>
          <w:szCs w:val="20"/>
          <w:lang w:val="en-US"/>
        </w:rPr>
      </w:pPr>
      <w:r>
        <w:rPr>
          <w:rFonts w:eastAsia="Calibri"/>
          <w:b/>
          <w:color w:val="0070C0"/>
          <w:sz w:val="20"/>
          <w:szCs w:val="20"/>
          <w:lang w:val="en-US"/>
        </w:rPr>
        <w:t>2.1.3.</w:t>
      </w:r>
      <w:r>
        <w:t xml:space="preserve"> </w:t>
      </w:r>
      <w:r>
        <w:rPr>
          <w:rFonts w:eastAsia="Calibri"/>
          <w:b/>
          <w:color w:val="0070C0"/>
          <w:sz w:val="20"/>
          <w:szCs w:val="20"/>
          <w:lang w:val="en-US"/>
        </w:rPr>
        <w:t xml:space="preserve">Protein Structure Validation </w:t>
      </w:r>
    </w:p>
    <w:p w14:paraId="7D58A1C7">
      <w:pPr>
        <w:jc w:val="left"/>
        <w:rPr>
          <w:rFonts w:eastAsia="Calibri"/>
          <w:sz w:val="20"/>
          <w:szCs w:val="20"/>
          <w:lang w:val="en-US"/>
        </w:rPr>
      </w:pPr>
    </w:p>
    <w:p w14:paraId="6F0AB21C">
      <w:pPr>
        <w:jc w:val="left"/>
        <w:rPr>
          <w:sz w:val="20"/>
          <w:szCs w:val="20"/>
        </w:rPr>
      </w:pPr>
      <w:r>
        <w:rPr>
          <w:sz w:val="20"/>
          <w:szCs w:val="20"/>
        </w:rPr>
        <w:t>ProSA is frequently in use for protein structure validation. ProSA calculates an overall quality score for a specific input structure. The z-score indicates overall model quality</w:t>
      </w:r>
      <w:r>
        <w:rPr>
          <w:rFonts w:hint="default"/>
          <w:sz w:val="20"/>
          <w:szCs w:val="20"/>
          <w:vertAlign w:val="superscript"/>
          <w:lang w:val="en-US"/>
        </w:rPr>
        <w:t>9</w:t>
      </w:r>
      <w:r>
        <w:rPr>
          <w:rFonts w:hint="default"/>
          <w:sz w:val="20"/>
          <w:szCs w:val="20"/>
          <w:lang w:val="en-US"/>
        </w:rPr>
        <w:t xml:space="preserve"> </w:t>
      </w:r>
      <w:r>
        <w:rPr>
          <w:sz w:val="20"/>
          <w:szCs w:val="20"/>
        </w:rPr>
        <w:t>Its value is displayed in a plot that contains the z-scores of all protein chains in current PDB. ProSA-web visualizes the 3D structure of the input protein using the molecule viewer Jmol. ProSA was used for validation of the structure of Mutant NRAS build in SPDBV. PROCHECK</w:t>
      </w:r>
      <w:r>
        <w:rPr>
          <w:rFonts w:hint="default"/>
          <w:sz w:val="20"/>
          <w:szCs w:val="20"/>
          <w:vertAlign w:val="superscript"/>
          <w:lang w:val="en-US"/>
        </w:rPr>
        <w:t>10</w:t>
      </w:r>
      <w:r>
        <w:rPr>
          <w:sz w:val="20"/>
          <w:szCs w:val="20"/>
        </w:rPr>
        <w:t xml:space="preserve">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w:t>
      </w:r>
      <w:r>
        <w:rPr>
          <w:rFonts w:hint="default"/>
          <w:sz w:val="20"/>
          <w:szCs w:val="20"/>
          <w:vertAlign w:val="superscript"/>
          <w:lang w:val="en-US"/>
        </w:rPr>
        <w:t xml:space="preserve">11 </w:t>
      </w:r>
      <w:r>
        <w:rPr>
          <w:sz w:val="20"/>
          <w:szCs w:val="20"/>
        </w:rPr>
        <w:t>.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w:t>
      </w:r>
    </w:p>
    <w:p w14:paraId="4CE86272">
      <w:pPr>
        <w:jc w:val="left"/>
        <w:rPr>
          <w:rFonts w:eastAsia="Calibri"/>
          <w:b/>
          <w:color w:val="0070C0"/>
          <w:sz w:val="20"/>
          <w:szCs w:val="20"/>
          <w:lang w:val="en-US"/>
        </w:rPr>
      </w:pPr>
    </w:p>
    <w:p w14:paraId="13398321">
      <w:pPr>
        <w:jc w:val="left"/>
        <w:rPr>
          <w:rFonts w:eastAsia="Calibri"/>
          <w:b/>
          <w:color w:val="0070C0"/>
          <w:sz w:val="20"/>
          <w:szCs w:val="20"/>
          <w:lang w:val="en-US"/>
        </w:rPr>
      </w:pPr>
      <w:r>
        <w:rPr>
          <w:rFonts w:eastAsia="Calibri"/>
          <w:b/>
          <w:color w:val="0070C0"/>
          <w:sz w:val="20"/>
          <w:szCs w:val="20"/>
          <w:lang w:val="en-US"/>
        </w:rPr>
        <w:t>2.1.4.</w:t>
      </w:r>
      <w:r>
        <w:t xml:space="preserve"> </w:t>
      </w:r>
      <w:r>
        <w:rPr>
          <w:rFonts w:eastAsia="Calibri"/>
          <w:b/>
          <w:color w:val="0070C0"/>
          <w:sz w:val="20"/>
          <w:szCs w:val="20"/>
          <w:lang w:val="en-US"/>
        </w:rPr>
        <w:t>Compound Library Curation and Filtering</w:t>
      </w:r>
    </w:p>
    <w:p w14:paraId="5502F66D">
      <w:pPr>
        <w:jc w:val="left"/>
        <w:rPr>
          <w:rFonts w:eastAsia="Calibri"/>
          <w:b/>
          <w:color w:val="0070C0"/>
          <w:sz w:val="20"/>
          <w:szCs w:val="20"/>
          <w:lang w:val="en-US"/>
        </w:rPr>
      </w:pPr>
    </w:p>
    <w:p w14:paraId="5FA49AC1">
      <w:pPr>
        <w:jc w:val="left"/>
        <w:rPr>
          <w:rFonts w:eastAsia="Calibri"/>
          <w:bCs/>
          <w:sz w:val="20"/>
          <w:szCs w:val="20"/>
          <w:lang w:val="en-US"/>
        </w:rPr>
      </w:pPr>
      <w:r>
        <w:rPr>
          <w:rFonts w:eastAsia="Calibri"/>
          <w:bCs/>
          <w:sz w:val="20"/>
          <w:szCs w:val="20"/>
          <w:lang w:val="en-US"/>
        </w:rPr>
        <w:t>FAFdrugs4 FAF-Drugs4 (Free ADME-Tox Filtering Tool) is a program for filtering large compound libraries prior to in silico screening experiments or related modelling studies</w:t>
      </w:r>
      <w:r>
        <w:rPr>
          <w:rFonts w:hint="default" w:eastAsia="Calibri"/>
          <w:bCs/>
          <w:sz w:val="20"/>
          <w:szCs w:val="20"/>
          <w:vertAlign w:val="superscript"/>
          <w:lang w:val="en-US"/>
        </w:rPr>
        <w:t>12</w:t>
      </w:r>
      <w:r>
        <w:rPr>
          <w:rFonts w:eastAsia="Calibri"/>
          <w:bCs/>
          <w:sz w:val="20"/>
          <w:szCs w:val="20"/>
          <w:lang w:val="en-US"/>
        </w:rPr>
        <w:t xml:space="preserve"> </w:t>
      </w:r>
      <w:r>
        <w:rPr>
          <w:rFonts w:hint="default" w:eastAsia="Calibri"/>
          <w:bCs/>
          <w:sz w:val="20"/>
          <w:szCs w:val="20"/>
          <w:lang w:val="en-US"/>
        </w:rPr>
        <w:t xml:space="preserve"> .</w:t>
      </w:r>
      <w:r>
        <w:rPr>
          <w:rFonts w:eastAsia="Calibri"/>
          <w:bCs/>
          <w:sz w:val="20"/>
          <w:szCs w:val="20"/>
          <w:lang w:val="en-US"/>
        </w:rPr>
        <w:t>The tool can perform computational prediction of some ADME-Tox properties (Adsorption, Distribution, Metabolism, Excretion and Toxicity) in order to assist hit selection before chemical synthesis or ordering</w:t>
      </w:r>
      <w:r>
        <w:rPr>
          <w:rFonts w:hint="default" w:eastAsia="Calibri"/>
          <w:bCs/>
          <w:sz w:val="20"/>
          <w:szCs w:val="20"/>
          <w:vertAlign w:val="superscript"/>
          <w:lang w:val="en-US"/>
        </w:rPr>
        <w:t xml:space="preserve">12 </w:t>
      </w:r>
      <w:r>
        <w:rPr>
          <w:rFonts w:eastAsia="Calibri"/>
          <w:bCs/>
          <w:sz w:val="20"/>
          <w:szCs w:val="20"/>
          <w:lang w:val="en-US"/>
        </w:rPr>
        <w:t>.This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PyRx is a virtual screening tool which was used for docking of natural compounds. This uses AutoDock 4.2 suite for docking. The algorithm used is Lamarckian GA. The tool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pdbqt format in PyRx tool. The Autodock was set to run after which there were 10 poses for each compound. Only the ones with the best binding score were chosen and tabulated for each compound in the sdf files. This generated the best protein ligand binding for further analysis. Analysis of docking results was done using LigPlot+. It is an advanced version of LIGPLOT program for automatic generation of 2D ligand-protein interaction diagrams</w:t>
      </w:r>
      <w:r>
        <w:rPr>
          <w:rFonts w:hint="default" w:eastAsia="Calibri"/>
          <w:bCs/>
          <w:sz w:val="20"/>
          <w:szCs w:val="20"/>
          <w:vertAlign w:val="superscript"/>
          <w:lang w:val="en-US"/>
        </w:rPr>
        <w:t>13</w:t>
      </w:r>
      <w:r>
        <w:rPr>
          <w:rFonts w:eastAsia="Calibri"/>
          <w:bCs/>
          <w:sz w:val="20"/>
          <w:szCs w:val="20"/>
          <w:lang w:val="en-US"/>
        </w:rPr>
        <w:t xml:space="preserve"> </w:t>
      </w:r>
      <w:r>
        <w:rPr>
          <w:rFonts w:hint="default" w:eastAsia="Calibri"/>
          <w:bCs/>
          <w:sz w:val="20"/>
          <w:szCs w:val="20"/>
          <w:lang w:val="en-US"/>
        </w:rPr>
        <w:t xml:space="preserve"> .</w:t>
      </w:r>
      <w:r>
        <w:rPr>
          <w:rFonts w:eastAsia="Calibri"/>
          <w:bCs/>
          <w:sz w:val="20"/>
          <w:szCs w:val="20"/>
          <w:lang w:val="en-US"/>
        </w:rPr>
        <w:t>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77947CA5">
      <w:pPr>
        <w:jc w:val="left"/>
        <w:rPr>
          <w:rFonts w:eastAsia="Calibri"/>
          <w:bCs/>
          <w:sz w:val="20"/>
          <w:szCs w:val="20"/>
          <w:lang w:val="en-US"/>
        </w:rPr>
      </w:pPr>
    </w:p>
    <w:p w14:paraId="085FDF86">
      <w:pPr>
        <w:jc w:val="left"/>
        <w:rPr>
          <w:rFonts w:eastAsia="Calibri"/>
          <w:color w:val="0070C0"/>
          <w:sz w:val="20"/>
          <w:szCs w:val="20"/>
          <w:lang w:val="en-US"/>
        </w:rPr>
      </w:pPr>
      <w:r>
        <w:rPr>
          <w:rFonts w:eastAsia="Calibri"/>
          <w:b/>
          <w:color w:val="0070C0"/>
          <w:sz w:val="20"/>
          <w:szCs w:val="20"/>
          <w:lang w:val="en-US"/>
        </w:rPr>
        <w:t>3. RESULTS and DISCUSSION</w:t>
      </w:r>
    </w:p>
    <w:p w14:paraId="11FBB388">
      <w:pPr>
        <w:autoSpaceDE w:val="0"/>
        <w:autoSpaceDN w:val="0"/>
        <w:adjustRightInd w:val="0"/>
        <w:jc w:val="left"/>
        <w:rPr>
          <w:b/>
          <w:color w:val="000000"/>
          <w:sz w:val="20"/>
          <w:szCs w:val="20"/>
          <w:shd w:val="clear" w:color="auto" w:fill="FFFFFF"/>
        </w:rPr>
      </w:pPr>
    </w:p>
    <w:p w14:paraId="00231BE3">
      <w:pPr>
        <w:autoSpaceDE w:val="0"/>
        <w:autoSpaceDN w:val="0"/>
        <w:adjustRightInd w:val="0"/>
        <w:jc w:val="left"/>
        <w:rPr>
          <w:color w:val="000000"/>
          <w:sz w:val="20"/>
          <w:szCs w:val="20"/>
          <w:shd w:val="clear" w:color="auto" w:fill="FFFFFF"/>
          <w:lang w:val="yo-NG"/>
        </w:rPr>
      </w:pPr>
      <w:r>
        <w:rPr>
          <w:rFonts w:eastAsia="Calibri"/>
          <w:b/>
          <w:color w:val="0070C0"/>
          <w:sz w:val="20"/>
          <w:szCs w:val="20"/>
          <w:lang w:val="en-US"/>
        </w:rPr>
        <w:t>3.1. Validation of mutant NRAS models</w:t>
      </w:r>
      <w:r>
        <w:rPr>
          <w:color w:val="000000"/>
          <w:sz w:val="20"/>
          <w:szCs w:val="20"/>
          <w:shd w:val="clear" w:color="auto" w:fill="FFFFFF"/>
          <w:lang w:val="yo-NG"/>
        </w:rPr>
        <w:tab/>
      </w:r>
    </w:p>
    <w:p w14:paraId="5DF17EC6">
      <w:pPr>
        <w:jc w:val="left"/>
        <w:rPr>
          <w:sz w:val="20"/>
          <w:szCs w:val="20"/>
        </w:rPr>
      </w:pPr>
    </w:p>
    <w:p w14:paraId="51B56108">
      <w:pPr>
        <w:jc w:val="left"/>
        <w:rPr>
          <w:sz w:val="20"/>
          <w:szCs w:val="20"/>
        </w:rPr>
      </w:pPr>
      <w:r>
        <w:rPr>
          <w:sz w:val="20"/>
          <w:szCs w:val="20"/>
        </w:rPr>
        <w:t>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5225C4A3">
      <w:pPr>
        <w:jc w:val="left"/>
        <w:rPr>
          <w:sz w:val="20"/>
          <w:szCs w:val="20"/>
        </w:rPr>
      </w:pPr>
    </w:p>
    <w:p w14:paraId="4556C7A2">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59264" behindDoc="0" locked="0" layoutInCell="1" allowOverlap="1">
            <wp:simplePos x="0" y="0"/>
            <wp:positionH relativeFrom="column">
              <wp:posOffset>73025</wp:posOffset>
            </wp:positionH>
            <wp:positionV relativeFrom="paragraph">
              <wp:posOffset>135255</wp:posOffset>
            </wp:positionV>
            <wp:extent cx="1205230" cy="985520"/>
            <wp:effectExtent l="0" t="0" r="13970" b="5080"/>
            <wp:wrapNone/>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205230" cy="985520"/>
                    </a:xfrm>
                    <a:prstGeom prst="rect">
                      <a:avLst/>
                    </a:prstGeom>
                  </pic:spPr>
                </pic:pic>
              </a:graphicData>
            </a:graphic>
          </wp:anchor>
        </w:drawing>
      </w:r>
      <w:r>
        <w:drawing>
          <wp:anchor distT="0" distB="0" distL="114300" distR="114300" simplePos="0" relativeHeight="251660288" behindDoc="0" locked="0" layoutInCell="1" allowOverlap="1">
            <wp:simplePos x="0" y="0"/>
            <wp:positionH relativeFrom="column">
              <wp:posOffset>1436370</wp:posOffset>
            </wp:positionH>
            <wp:positionV relativeFrom="paragraph">
              <wp:posOffset>139065</wp:posOffset>
            </wp:positionV>
            <wp:extent cx="1214120" cy="970280"/>
            <wp:effectExtent l="0" t="0" r="5080" b="5080"/>
            <wp:wrapNone/>
            <wp:docPr id="6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jpeg"/>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1214120" cy="970280"/>
                    </a:xfrm>
                    <a:prstGeom prst="rect">
                      <a:avLst/>
                    </a:prstGeom>
                  </pic:spPr>
                </pic:pic>
              </a:graphicData>
            </a:graphic>
          </wp:anchor>
        </w:drawing>
      </w:r>
    </w:p>
    <w:p w14:paraId="7B0A2B9E">
      <w:pPr>
        <w:jc w:val="left"/>
        <w:rPr>
          <w:rFonts w:hint="default" w:ascii="Times New Roman" w:hAnsi="Times New Roman" w:eastAsia="Segoe UI" w:cs="Times New Roman"/>
          <w:i w:val="0"/>
          <w:iCs w:val="0"/>
          <w:caps w:val="0"/>
          <w:spacing w:val="1"/>
          <w:sz w:val="20"/>
          <w:szCs w:val="20"/>
        </w:rPr>
      </w:pPr>
    </w:p>
    <w:p w14:paraId="4B45E20A">
      <w:pPr>
        <w:jc w:val="left"/>
        <w:rPr>
          <w:rFonts w:hint="default" w:ascii="Times New Roman" w:hAnsi="Times New Roman" w:eastAsia="Segoe UI" w:cs="Times New Roman"/>
          <w:i w:val="0"/>
          <w:iCs w:val="0"/>
          <w:caps w:val="0"/>
          <w:spacing w:val="1"/>
          <w:sz w:val="20"/>
          <w:szCs w:val="20"/>
        </w:rPr>
      </w:pPr>
    </w:p>
    <w:p w14:paraId="5A69FFBB">
      <w:pPr>
        <w:jc w:val="left"/>
        <w:rPr>
          <w:rFonts w:hint="default" w:ascii="Times New Roman" w:hAnsi="Times New Roman" w:eastAsia="Segoe UI" w:cs="Times New Roman"/>
          <w:i w:val="0"/>
          <w:iCs w:val="0"/>
          <w:caps w:val="0"/>
          <w:spacing w:val="1"/>
          <w:sz w:val="20"/>
          <w:szCs w:val="20"/>
        </w:rPr>
      </w:pPr>
    </w:p>
    <w:p w14:paraId="4029A02B">
      <w:pPr>
        <w:jc w:val="left"/>
        <w:rPr>
          <w:rFonts w:hint="default" w:ascii="Times New Roman" w:hAnsi="Times New Roman" w:eastAsia="Segoe UI" w:cs="Times New Roman"/>
          <w:i w:val="0"/>
          <w:iCs w:val="0"/>
          <w:caps w:val="0"/>
          <w:spacing w:val="1"/>
          <w:sz w:val="20"/>
          <w:szCs w:val="20"/>
        </w:rPr>
      </w:pPr>
    </w:p>
    <w:p w14:paraId="63B308DF">
      <w:pPr>
        <w:jc w:val="left"/>
        <w:rPr>
          <w:rFonts w:hint="default" w:ascii="Times New Roman" w:hAnsi="Times New Roman" w:eastAsia="Segoe UI" w:cs="Times New Roman"/>
          <w:i w:val="0"/>
          <w:iCs w:val="0"/>
          <w:caps w:val="0"/>
          <w:spacing w:val="1"/>
          <w:sz w:val="20"/>
          <w:szCs w:val="20"/>
        </w:rPr>
      </w:pPr>
    </w:p>
    <w:p w14:paraId="7FC8EA53">
      <w:pPr>
        <w:jc w:val="left"/>
        <w:rPr>
          <w:rFonts w:hint="default" w:ascii="Times New Roman" w:hAnsi="Times New Roman" w:eastAsia="Segoe UI" w:cs="Times New Roman"/>
          <w:i w:val="0"/>
          <w:iCs w:val="0"/>
          <w:caps w:val="0"/>
          <w:spacing w:val="1"/>
          <w:sz w:val="20"/>
          <w:szCs w:val="20"/>
        </w:rPr>
      </w:pPr>
    </w:p>
    <w:p w14:paraId="37B38F1E">
      <w:pPr>
        <w:jc w:val="left"/>
        <w:rPr>
          <w:rFonts w:hint="default" w:ascii="Times New Roman" w:hAnsi="Times New Roman" w:eastAsia="Segoe UI" w:cs="Times New Roman"/>
          <w:i w:val="0"/>
          <w:iCs w:val="0"/>
          <w:caps w:val="0"/>
          <w:spacing w:val="1"/>
          <w:sz w:val="20"/>
          <w:szCs w:val="20"/>
        </w:rPr>
      </w:pPr>
    </w:p>
    <w:p w14:paraId="023F09FA">
      <w:pPr>
        <w:numPr>
          <w:ilvl w:val="0"/>
          <w:numId w:val="1"/>
        </w:numPr>
        <w:jc w:val="left"/>
        <w:rPr>
          <w:rFonts w:hint="default" w:ascii="Times New Roman" w:hAnsi="Times New Roman" w:eastAsia="Segoe UI" w:cs="Times New Roman"/>
          <w:i w:val="0"/>
          <w:iCs w:val="0"/>
          <w:caps w:val="0"/>
          <w:spacing w:val="1"/>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(B</w:t>
      </w:r>
      <w:r>
        <w:rPr>
          <w:rFonts w:hint="default" w:eastAsia="Segoe UI" w:cs="Times New Roman"/>
          <w:i w:val="0"/>
          <w:iCs w:val="0"/>
          <w:caps w:val="0"/>
          <w:spacing w:val="1"/>
          <w:sz w:val="20"/>
          <w:szCs w:val="20"/>
          <w:lang w:val="en-US"/>
        </w:rPr>
        <w:t>)</w:t>
      </w:r>
    </w:p>
    <w:p w14:paraId="6E105DA7">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1312" behindDoc="0" locked="0" layoutInCell="1" allowOverlap="1">
            <wp:simplePos x="0" y="0"/>
            <wp:positionH relativeFrom="column">
              <wp:posOffset>-8890</wp:posOffset>
            </wp:positionH>
            <wp:positionV relativeFrom="paragraph">
              <wp:posOffset>51435</wp:posOffset>
            </wp:positionV>
            <wp:extent cx="1322070" cy="1012825"/>
            <wp:effectExtent l="0" t="0" r="3810" b="8255"/>
            <wp:wrapNone/>
            <wp:docPr id="6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jpeg"/>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22070" cy="1012825"/>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1425575</wp:posOffset>
            </wp:positionH>
            <wp:positionV relativeFrom="paragraph">
              <wp:posOffset>110490</wp:posOffset>
            </wp:positionV>
            <wp:extent cx="1163955" cy="1025525"/>
            <wp:effectExtent l="0" t="0" r="9525" b="10795"/>
            <wp:wrapNone/>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jpeg"/>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163955" cy="1025525"/>
                    </a:xfrm>
                    <a:prstGeom prst="rect">
                      <a:avLst/>
                    </a:prstGeom>
                  </pic:spPr>
                </pic:pic>
              </a:graphicData>
            </a:graphic>
          </wp:anchor>
        </w:drawing>
      </w:r>
    </w:p>
    <w:p w14:paraId="5097C05F">
      <w:pPr>
        <w:jc w:val="left"/>
        <w:rPr>
          <w:rFonts w:hint="default" w:ascii="Times New Roman" w:hAnsi="Times New Roman" w:eastAsia="Segoe UI" w:cs="Times New Roman"/>
          <w:i w:val="0"/>
          <w:iCs w:val="0"/>
          <w:caps w:val="0"/>
          <w:spacing w:val="1"/>
          <w:sz w:val="20"/>
          <w:szCs w:val="20"/>
        </w:rPr>
      </w:pPr>
    </w:p>
    <w:p w14:paraId="38BCF758">
      <w:pPr>
        <w:jc w:val="left"/>
        <w:rPr>
          <w:rFonts w:hint="default" w:ascii="Times New Roman" w:hAnsi="Times New Roman" w:eastAsia="Segoe UI" w:cs="Times New Roman"/>
          <w:i w:val="0"/>
          <w:iCs w:val="0"/>
          <w:caps w:val="0"/>
          <w:spacing w:val="1"/>
          <w:sz w:val="20"/>
          <w:szCs w:val="20"/>
        </w:rPr>
      </w:pPr>
      <w:r>
        <w:rPr>
          <w:rFonts w:hint="default" w:ascii="Times New Roman" w:hAnsi="Times New Roman" w:eastAsia="Segoe UI" w:cs="Times New Roman"/>
          <w:i w:val="0"/>
          <w:iCs w:val="0"/>
          <w:caps w:val="0"/>
          <w:spacing w:val="1"/>
          <w:sz w:val="20"/>
          <w:szCs w:val="20"/>
        </w:rPr>
        <w:t xml:space="preserve"> </w:t>
      </w:r>
    </w:p>
    <w:p w14:paraId="7E3FA700">
      <w:pPr>
        <w:jc w:val="left"/>
        <w:rPr>
          <w:rFonts w:hint="default" w:ascii="Times New Roman" w:hAnsi="Times New Roman" w:eastAsia="Segoe UI" w:cs="Times New Roman"/>
          <w:i w:val="0"/>
          <w:iCs w:val="0"/>
          <w:caps w:val="0"/>
          <w:spacing w:val="1"/>
          <w:sz w:val="20"/>
          <w:szCs w:val="20"/>
        </w:rPr>
      </w:pPr>
    </w:p>
    <w:p w14:paraId="093D7A2D">
      <w:pPr>
        <w:jc w:val="left"/>
        <w:rPr>
          <w:rFonts w:hint="default" w:ascii="Times New Roman" w:hAnsi="Times New Roman" w:eastAsia="Segoe UI" w:cs="Times New Roman"/>
          <w:i w:val="0"/>
          <w:iCs w:val="0"/>
          <w:caps w:val="0"/>
          <w:spacing w:val="1"/>
          <w:sz w:val="20"/>
          <w:szCs w:val="20"/>
        </w:rPr>
      </w:pPr>
    </w:p>
    <w:p w14:paraId="378850C8">
      <w:pPr>
        <w:jc w:val="left"/>
        <w:rPr>
          <w:rFonts w:hint="default" w:ascii="Times New Roman" w:hAnsi="Times New Roman" w:eastAsia="Segoe UI" w:cs="Times New Roman"/>
          <w:i w:val="0"/>
          <w:iCs w:val="0"/>
          <w:caps w:val="0"/>
          <w:spacing w:val="1"/>
          <w:sz w:val="20"/>
          <w:szCs w:val="20"/>
        </w:rPr>
      </w:pPr>
    </w:p>
    <w:p w14:paraId="2781D58C">
      <w:pPr>
        <w:jc w:val="left"/>
        <w:rPr>
          <w:rFonts w:hint="default" w:ascii="Times New Roman" w:hAnsi="Times New Roman" w:eastAsia="Segoe UI" w:cs="Times New Roman"/>
          <w:i w:val="0"/>
          <w:iCs w:val="0"/>
          <w:caps w:val="0"/>
          <w:spacing w:val="1"/>
          <w:sz w:val="20"/>
          <w:szCs w:val="20"/>
        </w:rPr>
      </w:pPr>
    </w:p>
    <w:p w14:paraId="7B571DC7">
      <w:pPr>
        <w:jc w:val="left"/>
        <w:rPr>
          <w:rFonts w:hint="default" w:eastAsia="Segoe UI" w:cs="Times New Roman"/>
          <w:i w:val="0"/>
          <w:iCs w:val="0"/>
          <w:caps w:val="0"/>
          <w:spacing w:val="1"/>
          <w:sz w:val="20"/>
          <w:szCs w:val="20"/>
          <w:lang w:val="en-US"/>
        </w:rPr>
      </w:pPr>
    </w:p>
    <w:p w14:paraId="239DC1C1">
      <w:pPr>
        <w:jc w:val="left"/>
        <w:rPr>
          <w:rFonts w:hint="default" w:eastAsia="Calibri"/>
          <w:b/>
          <w:color w:val="0070C0"/>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(C)</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(D)</w:t>
      </w:r>
    </w:p>
    <w:p w14:paraId="47DE4FAF">
      <w:pPr>
        <w:jc w:val="left"/>
        <w:rPr>
          <w:rFonts w:hint="default" w:ascii="Times New Roman" w:hAnsi="Times New Roman" w:eastAsia="Segoe UI" w:cs="Times New Roman"/>
          <w:i w:val="0"/>
          <w:iCs w:val="0"/>
          <w:caps w:val="0"/>
          <w:spacing w:val="1"/>
          <w:sz w:val="20"/>
          <w:szCs w:val="20"/>
          <w:lang w:val="en-US"/>
        </w:rPr>
      </w:pPr>
    </w:p>
    <w:p w14:paraId="71E9F161">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3360" behindDoc="0" locked="0" layoutInCell="1" allowOverlap="1">
            <wp:simplePos x="0" y="0"/>
            <wp:positionH relativeFrom="column">
              <wp:posOffset>61595</wp:posOffset>
            </wp:positionH>
            <wp:positionV relativeFrom="paragraph">
              <wp:posOffset>90170</wp:posOffset>
            </wp:positionV>
            <wp:extent cx="1102360" cy="1028700"/>
            <wp:effectExtent l="0" t="0" r="10160" b="7620"/>
            <wp:wrapNone/>
            <wp:docPr id="68"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jpeg"/>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02360" cy="1028700"/>
                    </a:xfrm>
                    <a:prstGeom prst="rect">
                      <a:avLst/>
                    </a:prstGeom>
                  </pic:spPr>
                </pic:pic>
              </a:graphicData>
            </a:graphic>
          </wp:anchor>
        </w:drawing>
      </w:r>
    </w:p>
    <w:p w14:paraId="2D0D3877">
      <w:pPr>
        <w:jc w:val="left"/>
        <w:rPr>
          <w:rFonts w:hint="default" w:ascii="Times New Roman" w:hAnsi="Times New Roman" w:eastAsia="Segoe UI" w:cs="Times New Roman"/>
          <w:i w:val="0"/>
          <w:iCs w:val="0"/>
          <w:caps w:val="0"/>
          <w:spacing w:val="1"/>
          <w:sz w:val="20"/>
          <w:szCs w:val="20"/>
        </w:rPr>
      </w:pPr>
      <w:r>
        <w:drawing>
          <wp:anchor distT="0" distB="0" distL="114300" distR="114300" simplePos="0" relativeHeight="251664384" behindDoc="0" locked="0" layoutInCell="1" allowOverlap="1">
            <wp:simplePos x="0" y="0"/>
            <wp:positionH relativeFrom="column">
              <wp:posOffset>1350010</wp:posOffset>
            </wp:positionH>
            <wp:positionV relativeFrom="paragraph">
              <wp:posOffset>4445</wp:posOffset>
            </wp:positionV>
            <wp:extent cx="1993900" cy="901065"/>
            <wp:effectExtent l="0" t="0" r="2540" b="13335"/>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993900" cy="901065"/>
                    </a:xfrm>
                    <a:prstGeom prst="rect">
                      <a:avLst/>
                    </a:prstGeom>
                  </pic:spPr>
                </pic:pic>
              </a:graphicData>
            </a:graphic>
          </wp:anchor>
        </w:drawing>
      </w:r>
    </w:p>
    <w:p w14:paraId="174E1C9E">
      <w:pPr>
        <w:jc w:val="left"/>
        <w:rPr>
          <w:rFonts w:hint="default" w:ascii="Times New Roman" w:hAnsi="Times New Roman" w:eastAsia="Segoe UI" w:cs="Times New Roman"/>
          <w:i w:val="0"/>
          <w:iCs w:val="0"/>
          <w:caps w:val="0"/>
          <w:spacing w:val="1"/>
          <w:sz w:val="20"/>
          <w:szCs w:val="20"/>
        </w:rPr>
      </w:pPr>
    </w:p>
    <w:p w14:paraId="2A991982">
      <w:pPr>
        <w:jc w:val="left"/>
        <w:rPr>
          <w:rFonts w:hint="default" w:ascii="Times New Roman" w:hAnsi="Times New Roman" w:eastAsia="Segoe UI" w:cs="Times New Roman"/>
          <w:i w:val="0"/>
          <w:iCs w:val="0"/>
          <w:caps w:val="0"/>
          <w:spacing w:val="1"/>
          <w:sz w:val="20"/>
          <w:szCs w:val="20"/>
        </w:rPr>
      </w:pPr>
    </w:p>
    <w:p w14:paraId="7F36FC52">
      <w:pPr>
        <w:jc w:val="left"/>
        <w:rPr>
          <w:rFonts w:hint="default" w:ascii="Times New Roman" w:hAnsi="Times New Roman" w:eastAsia="Segoe UI" w:cs="Times New Roman"/>
          <w:i w:val="0"/>
          <w:iCs w:val="0"/>
          <w:caps w:val="0"/>
          <w:spacing w:val="1"/>
          <w:sz w:val="20"/>
          <w:szCs w:val="20"/>
        </w:rPr>
      </w:pPr>
    </w:p>
    <w:p w14:paraId="0A4C14C1">
      <w:pPr>
        <w:jc w:val="left"/>
        <w:rPr>
          <w:rFonts w:hint="default" w:ascii="Times New Roman" w:hAnsi="Times New Roman" w:eastAsia="Segoe UI" w:cs="Times New Roman"/>
          <w:i w:val="0"/>
          <w:iCs w:val="0"/>
          <w:caps w:val="0"/>
          <w:spacing w:val="1"/>
          <w:sz w:val="20"/>
          <w:szCs w:val="20"/>
        </w:rPr>
      </w:pPr>
    </w:p>
    <w:p w14:paraId="493B429D">
      <w:pPr>
        <w:jc w:val="left"/>
        <w:rPr>
          <w:rFonts w:hint="default" w:ascii="Times New Roman" w:hAnsi="Times New Roman" w:eastAsia="Segoe UI" w:cs="Times New Roman"/>
          <w:i w:val="0"/>
          <w:iCs w:val="0"/>
          <w:caps w:val="0"/>
          <w:spacing w:val="1"/>
          <w:sz w:val="20"/>
          <w:szCs w:val="20"/>
        </w:rPr>
      </w:pPr>
    </w:p>
    <w:p w14:paraId="18372AEB">
      <w:pPr>
        <w:jc w:val="left"/>
        <w:rPr>
          <w:rFonts w:hint="default" w:eastAsia="Segoe UI" w:cs="Times New Roman"/>
          <w:i w:val="0"/>
          <w:iCs w:val="0"/>
          <w:caps w:val="0"/>
          <w:spacing w:val="1"/>
          <w:sz w:val="20"/>
          <w:szCs w:val="20"/>
          <w:lang w:val="en-US"/>
        </w:rPr>
      </w:pPr>
      <w:r>
        <w:rPr>
          <w:rFonts w:hint="default" w:ascii="Times New Roman" w:hAnsi="Times New Roman" w:eastAsia="Segoe UI" w:cs="Times New Roman"/>
          <w:i w:val="0"/>
          <w:iCs w:val="0"/>
          <w:caps w:val="0"/>
          <w:spacing w:val="1"/>
          <w:sz w:val="20"/>
          <w:szCs w:val="20"/>
        </w:rPr>
        <w:t xml:space="preserve"> </w:t>
      </w:r>
      <w:r>
        <w:rPr>
          <w:rFonts w:hint="default" w:eastAsia="Segoe UI" w:cs="Times New Roman"/>
          <w:i w:val="0"/>
          <w:iCs w:val="0"/>
          <w:caps w:val="0"/>
          <w:spacing w:val="1"/>
          <w:sz w:val="20"/>
          <w:szCs w:val="20"/>
          <w:lang w:val="en-US"/>
        </w:rPr>
        <w:t xml:space="preserve">                                                                             </w:t>
      </w:r>
    </w:p>
    <w:p w14:paraId="74334DDC">
      <w:pPr>
        <w:jc w:val="left"/>
        <w:rPr>
          <w:rFonts w:hint="default" w:ascii="Times New Roman" w:hAnsi="Times New Roman" w:eastAsia="Segoe UI" w:cs="Times New Roman"/>
          <w:i w:val="0"/>
          <w:iCs w:val="0"/>
          <w:caps w:val="0"/>
          <w:spacing w:val="1"/>
          <w:sz w:val="20"/>
          <w:szCs w:val="20"/>
          <w:lang w:val="en-US"/>
        </w:rPr>
      </w:pP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 xml:space="preserve">(E) </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(F)</w:t>
      </w:r>
    </w:p>
    <w:p w14:paraId="50A2010F">
      <w:pPr>
        <w:jc w:val="left"/>
        <w:rPr>
          <w:rFonts w:hint="default" w:ascii="Times New Roman" w:hAnsi="Times New Roman" w:eastAsia="Segoe UI" w:cs="Times New Roman"/>
          <w:b/>
          <w:bCs/>
          <w:i w:val="0"/>
          <w:iCs w:val="0"/>
          <w:caps w:val="0"/>
          <w:color w:val="5B9BD5" w:themeColor="accent5"/>
          <w:spacing w:val="1"/>
          <w:sz w:val="20"/>
          <w:szCs w:val="20"/>
          <w:lang w:val="en-US"/>
          <w14:textFill>
            <w14:solidFill>
              <w14:schemeClr w14:val="accent5"/>
            </w14:solidFill>
          </w14:textFill>
        </w:rPr>
      </w:pPr>
    </w:p>
    <w:p w14:paraId="444B88E3">
      <w:pPr>
        <w:jc w:val="left"/>
        <w:rPr>
          <w:rFonts w:hint="default" w:ascii="Times New Roman" w:hAnsi="Times New Roman" w:eastAsia="Calibri" w:cs="Times New Roman"/>
          <w:b/>
          <w:color w:val="0070C0"/>
          <w:sz w:val="20"/>
          <w:szCs w:val="20"/>
          <w:lang w:val="en-US"/>
        </w:rPr>
      </w:pPr>
      <w:r>
        <w:rPr>
          <w:rFonts w:hint="default" w:ascii="Times New Roman" w:hAnsi="Times New Roman" w:eastAsia="Segoe UI" w:cs="Times New Roman"/>
          <w:b/>
          <w:bCs/>
          <w:i w:val="0"/>
          <w:iCs w:val="0"/>
          <w:caps w:val="0"/>
          <w:color w:val="5B9BD5" w:themeColor="accent5"/>
          <w:spacing w:val="1"/>
          <w:sz w:val="20"/>
          <w:szCs w:val="20"/>
          <w14:textFill>
            <w14:solidFill>
              <w14:schemeClr w14:val="accent5"/>
            </w14:solidFill>
          </w14:textFill>
        </w:rPr>
        <w:t xml:space="preserve">Figure </w:t>
      </w:r>
      <w:r>
        <w:rPr>
          <w:rFonts w:hint="default" w:eastAsia="Segoe UI" w:cs="Times New Roman"/>
          <w:b/>
          <w:bCs/>
          <w:i w:val="0"/>
          <w:iCs w:val="0"/>
          <w:caps w:val="0"/>
          <w:color w:val="5B9BD5" w:themeColor="accent5"/>
          <w:spacing w:val="1"/>
          <w:sz w:val="20"/>
          <w:szCs w:val="20"/>
          <w:lang w:val="en-US"/>
          <w14:textFill>
            <w14:solidFill>
              <w14:schemeClr w14:val="accent5"/>
            </w14:solidFill>
          </w14:textFill>
        </w:rPr>
        <w:t>1</w:t>
      </w:r>
      <w:r>
        <w:rPr>
          <w:rFonts w:hint="default" w:ascii="Times New Roman" w:hAnsi="Times New Roman" w:eastAsia="Segoe UI" w:cs="Times New Roman"/>
          <w:i w:val="0"/>
          <w:iCs w:val="0"/>
          <w:caps w:val="0"/>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1CC35B17">
      <w:pPr>
        <w:jc w:val="left"/>
        <w:rPr>
          <w:rFonts w:eastAsia="Calibri"/>
          <w:b/>
          <w:color w:val="0070C0"/>
          <w:sz w:val="20"/>
          <w:szCs w:val="20"/>
          <w:lang w:val="en-US"/>
        </w:rPr>
      </w:pPr>
    </w:p>
    <w:p w14:paraId="68EC89F6">
      <w:pPr>
        <w:jc w:val="left"/>
        <w:rPr>
          <w:rFonts w:eastAsia="Calibri"/>
          <w:b/>
          <w:color w:val="0070C0"/>
          <w:sz w:val="20"/>
          <w:szCs w:val="20"/>
          <w:lang w:val="en-US"/>
        </w:rPr>
      </w:pPr>
    </w:p>
    <w:p w14:paraId="1CD5DBEE">
      <w:pPr>
        <w:jc w:val="left"/>
        <w:rPr>
          <w:rFonts w:eastAsia="Calibri"/>
          <w:b/>
          <w:color w:val="0070C0"/>
          <w:sz w:val="20"/>
          <w:szCs w:val="20"/>
          <w:lang w:val="en-US"/>
        </w:rPr>
      </w:pPr>
      <w:r>
        <w:rPr>
          <w:rFonts w:eastAsia="Calibri"/>
          <w:b/>
          <w:color w:val="0070C0"/>
          <w:sz w:val="20"/>
          <w:szCs w:val="20"/>
          <w:lang w:val="en-US"/>
        </w:rPr>
        <w:t>3.2.</w:t>
      </w:r>
      <w:r>
        <w:t xml:space="preserve"> </w:t>
      </w:r>
      <w:r>
        <w:rPr>
          <w:rFonts w:eastAsia="Calibri"/>
          <w:b/>
          <w:color w:val="0070C0"/>
          <w:sz w:val="20"/>
          <w:szCs w:val="20"/>
          <w:lang w:val="en-US"/>
        </w:rPr>
        <w:t>Virtual screening and docking outcomes</w:t>
      </w:r>
    </w:p>
    <w:p w14:paraId="4E92150D">
      <w:pPr>
        <w:jc w:val="left"/>
        <w:rPr>
          <w:rFonts w:eastAsia="Calibri"/>
          <w:b/>
          <w:color w:val="0070C0"/>
          <w:sz w:val="20"/>
          <w:szCs w:val="20"/>
          <w:lang w:val="en-US"/>
        </w:rPr>
      </w:pPr>
    </w:p>
    <w:p w14:paraId="63DFF3D7">
      <w:pPr>
        <w:jc w:val="left"/>
        <w:rPr>
          <w:rFonts w:eastAsia="Calibri"/>
          <w:bCs/>
          <w:sz w:val="20"/>
          <w:szCs w:val="20"/>
          <w:lang w:val="en-US"/>
        </w:rPr>
      </w:pPr>
      <w:r>
        <w:rPr>
          <w:rFonts w:eastAsia="Calibri"/>
          <w:bCs/>
          <w:sz w:val="20"/>
          <w:szCs w:val="20"/>
          <w:lang w:val="en-US"/>
        </w:rPr>
        <w:t>A virtual screening campaign was conducted using 5,322 natural compounds from the ZINC database, filtered through FAFDrugs4 to exclude compounds violating Lipinski’s rules or predicted to be toxic. Docking was performed with AutoDock 4.2</w:t>
      </w:r>
      <w:r>
        <w:rPr>
          <w:rFonts w:hint="default" w:eastAsia="Calibri"/>
          <w:bCs/>
          <w:sz w:val="20"/>
          <w:szCs w:val="20"/>
          <w:lang w:val="en-US"/>
        </w:rPr>
        <w:t xml:space="preserve"> </w:t>
      </w:r>
      <w:r>
        <w:rPr>
          <w:rFonts w:eastAsia="Calibri"/>
          <w:bCs/>
          <w:sz w:val="20"/>
          <w:szCs w:val="20"/>
          <w:lang w:val="en-US"/>
        </w:rPr>
        <w:t xml:space="preserve">implemented in PyRx, focusing on the NRAS active site defined by AutoGrid. Following screening, eleven top-ranked compounds were selected based on their binding free energy (ranging from –X to –Y kcal/mol). </w:t>
      </w:r>
    </w:p>
    <w:p w14:paraId="59D81E22">
      <w:pPr>
        <w:jc w:val="left"/>
        <w:rPr>
          <w:rFonts w:eastAsia="Calibri"/>
          <w:bCs/>
          <w:sz w:val="20"/>
          <w:szCs w:val="20"/>
          <w:lang w:val="en-US"/>
        </w:rPr>
      </w:pPr>
      <w:r>
        <w:rPr>
          <w:rFonts w:eastAsia="Calibri"/>
          <w:bCs/>
          <w:sz w:val="20"/>
          <w:szCs w:val="20"/>
          <w:lang w:val="en-US"/>
        </w:rPr>
        <w:t>The binding scores indicated favorable interactions compared with baseline controls, suggesting that these molecules may serve as potential inhibitors. A summary of docking scores and key interactions is provided in supplementary Table 1.</w:t>
      </w:r>
    </w:p>
    <w:p w14:paraId="5A2C2792">
      <w:pPr>
        <w:jc w:val="left"/>
        <w:rPr>
          <w:rFonts w:eastAsia="Calibri"/>
          <w:bCs/>
          <w:sz w:val="20"/>
          <w:szCs w:val="20"/>
          <w:lang w:val="en-US"/>
        </w:rPr>
      </w:pPr>
    </w:p>
    <w:p w14:paraId="18D286F2">
      <w:pPr>
        <w:jc w:val="left"/>
        <w:rPr>
          <w:rFonts w:eastAsia="Calibri"/>
          <w:b/>
          <w:color w:val="0070C0"/>
          <w:sz w:val="20"/>
          <w:szCs w:val="20"/>
          <w:lang w:val="en-US"/>
        </w:rPr>
      </w:pPr>
      <w:r>
        <w:rPr>
          <w:rFonts w:eastAsia="Calibri"/>
          <w:b/>
          <w:color w:val="0070C0"/>
          <w:sz w:val="20"/>
          <w:szCs w:val="20"/>
          <w:lang w:val="en-US"/>
        </w:rPr>
        <w:t>3.2. Conserved residue interactions</w:t>
      </w:r>
    </w:p>
    <w:p w14:paraId="1D5674FB">
      <w:pPr>
        <w:jc w:val="left"/>
        <w:rPr>
          <w:rFonts w:eastAsia="Calibri"/>
          <w:bCs/>
          <w:sz w:val="20"/>
          <w:szCs w:val="20"/>
          <w:lang w:val="en-US"/>
        </w:rPr>
      </w:pPr>
    </w:p>
    <w:p w14:paraId="51D635E7">
      <w:pPr>
        <w:jc w:val="left"/>
        <w:rPr>
          <w:rFonts w:eastAsia="Calibri"/>
          <w:bCs/>
          <w:sz w:val="20"/>
          <w:szCs w:val="20"/>
        </w:rPr>
      </w:pPr>
      <w:r>
        <w:rPr>
          <w:rFonts w:eastAsia="Calibri"/>
          <w:bCs/>
          <w:sz w:val="20"/>
          <w:szCs w:val="20"/>
        </w:rPr>
        <w:t>Analysis of the docked complexes revealed frequent involvement of conserved functional residues that are critical for NRAS activity.</w:t>
      </w:r>
    </w:p>
    <w:p w14:paraId="5E18BFB0">
      <w:pPr>
        <w:jc w:val="left"/>
        <w:rPr>
          <w:rFonts w:eastAsia="Calibri"/>
          <w:bCs/>
          <w:sz w:val="20"/>
          <w:szCs w:val="20"/>
        </w:rPr>
      </w:pPr>
      <w:r>
        <w:rPr>
          <w:rFonts w:eastAsia="Calibri"/>
          <w:bCs/>
          <w:sz w:val="20"/>
          <w:szCs w:val="20"/>
        </w:rPr>
        <w:t>Tyr-32 contributed hydrophobic stabilization in five ligand complexes (e.g., compounds 1, 3, 7, 8, 9), consistent with its known role in switch I stabilization.</w:t>
      </w:r>
    </w:p>
    <w:p w14:paraId="4448423E">
      <w:pPr>
        <w:jc w:val="left"/>
        <w:rPr>
          <w:rFonts w:eastAsia="Calibri"/>
          <w:bCs/>
          <w:sz w:val="20"/>
          <w:szCs w:val="20"/>
        </w:rPr>
      </w:pPr>
      <w:r>
        <w:rPr>
          <w:rFonts w:eastAsia="Calibri"/>
          <w:bCs/>
          <w:sz w:val="20"/>
          <w:szCs w:val="20"/>
        </w:rPr>
        <w:t>Thr-35 formed a hydrogen bond with compound 2 (ZINC02096813, 3.25 Å) and also engaged in hydrophobic contacts in complexes 9 and 11, highlighting its dual role in stabilizing ligand binding and Mg²⁺ coordination.</w:t>
      </w:r>
      <w:r>
        <w:rPr>
          <w:rFonts w:hint="default" w:eastAsia="Calibri"/>
          <w:bCs/>
          <w:sz w:val="20"/>
          <w:szCs w:val="20"/>
          <w:lang w:val="en-US"/>
        </w:rPr>
        <w:t xml:space="preserve"> </w:t>
      </w:r>
      <w:r>
        <w:rPr>
          <w:rFonts w:eastAsia="Calibri"/>
          <w:bCs/>
          <w:sz w:val="20"/>
          <w:szCs w:val="20"/>
        </w:rPr>
        <w:t>Phe-28 frequently participated in hydrophobic interactions, observed in seven complexes, which supports its reported role in stabilizing nucleotide binding.</w:t>
      </w:r>
      <w:r>
        <w:rPr>
          <w:rFonts w:hint="default" w:eastAsia="Calibri"/>
          <w:bCs/>
          <w:sz w:val="20"/>
          <w:szCs w:val="20"/>
          <w:lang w:val="en-US"/>
        </w:rPr>
        <w:t xml:space="preserve"> </w:t>
      </w:r>
      <w:r>
        <w:rPr>
          <w:rFonts w:eastAsia="Calibri"/>
          <w:bCs/>
          <w:sz w:val="20"/>
          <w:szCs w:val="20"/>
        </w:rPr>
        <w:t>Asp-119, crucial for nucleotide specificity, showed consistent involvement in nine complexes, although absent in complexes 6 and 9.</w:t>
      </w:r>
    </w:p>
    <w:p w14:paraId="6E398C42">
      <w:pPr>
        <w:jc w:val="left"/>
        <w:rPr>
          <w:rFonts w:eastAsia="Calibri"/>
          <w:bCs/>
          <w:sz w:val="20"/>
          <w:szCs w:val="20"/>
        </w:rPr>
      </w:pPr>
      <w:r>
        <w:rPr>
          <w:rFonts w:eastAsia="Calibri"/>
          <w:bCs/>
          <w:sz w:val="20"/>
          <w:szCs w:val="20"/>
        </w:rPr>
        <w:t>Overall, these findings emphasize that ligand binding often overlaps with regions essential for nucleotide recognition and conformational stabilization.</w:t>
      </w:r>
    </w:p>
    <w:p w14:paraId="172DED95">
      <w:pPr>
        <w:jc w:val="left"/>
        <w:rPr>
          <w:rFonts w:eastAsia="Calibri"/>
          <w:b/>
          <w:color w:val="0070C0"/>
          <w:sz w:val="20"/>
          <w:szCs w:val="20"/>
          <w:lang w:val="en-US"/>
        </w:rPr>
      </w:pPr>
    </w:p>
    <w:p w14:paraId="054B4371">
      <w:pPr>
        <w:jc w:val="left"/>
        <w:rPr>
          <w:rFonts w:eastAsia="Calibri"/>
          <w:b/>
          <w:color w:val="0D0D0D"/>
          <w:sz w:val="20"/>
          <w:szCs w:val="20"/>
          <w:lang w:val="en-US"/>
        </w:rPr>
      </w:pPr>
    </w:p>
    <w:p w14:paraId="26449B53">
      <w:pPr>
        <w:jc w:val="left"/>
        <w:rPr>
          <w:rFonts w:eastAsia="Calibri"/>
          <w:b/>
          <w:color w:val="0D0D0D"/>
          <w:sz w:val="20"/>
          <w:szCs w:val="20"/>
          <w:lang w:val="en-US"/>
        </w:rPr>
      </w:pPr>
    </w:p>
    <w:p w14:paraId="26403611">
      <w:pPr>
        <w:jc w:val="left"/>
        <w:rPr>
          <w:rFonts w:eastAsia="Calibri"/>
          <w:b/>
          <w:color w:val="0D0D0D"/>
          <w:sz w:val="20"/>
          <w:szCs w:val="20"/>
          <w:lang w:val="en-US"/>
        </w:rPr>
        <w:sectPr>
          <w:type w:val="continuous"/>
          <w:pgSz w:w="11907" w:h="16839"/>
          <w:pgMar w:top="1701" w:right="1134" w:bottom="1418" w:left="1134" w:header="709" w:footer="709" w:gutter="0"/>
          <w:pgNumType w:start="207"/>
          <w:cols w:space="567" w:num="2"/>
          <w:docGrid w:linePitch="360" w:charSpace="0"/>
        </w:sectPr>
      </w:pPr>
    </w:p>
    <w:p w14:paraId="50897DF6">
      <w:pPr>
        <w:jc w:val="left"/>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pPr>
    </w:p>
    <w:p w14:paraId="42524844">
      <w:pPr>
        <w:jc w:val="left"/>
        <w:rPr>
          <w:rFonts w:hint="default" w:ascii="Times New Roman" w:hAnsi="Times New Roman" w:eastAsia="Calibri" w:cs="Times New Roman"/>
          <w:b w:val="0"/>
          <w:bCs/>
          <w:color w:val="auto"/>
          <w:sz w:val="20"/>
          <w:szCs w:val="20"/>
          <w:lang w:val="en-US"/>
        </w:rPr>
      </w:pPr>
      <w:r>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t>Table 1.</w:t>
      </w:r>
      <w:r>
        <w:rPr>
          <w:rFonts w:hint="default" w:ascii="Times New Roman" w:hAnsi="Times New Roman" w:eastAsia="Calibri" w:cs="Times New Roman"/>
          <w:b w:val="0"/>
          <w:bCs/>
          <w:color w:val="auto"/>
          <w:sz w:val="20"/>
          <w:szCs w:val="20"/>
          <w:lang w:val="en-US"/>
        </w:rPr>
        <w:t xml:space="preserve"> </w:t>
      </w:r>
      <w:r>
        <w:rPr>
          <w:rFonts w:hint="default" w:ascii="Times New Roman" w:hAnsi="Times New Roman" w:eastAsia="Segoe UI" w:cs="Times New Roman"/>
          <w:b w:val="0"/>
          <w:bCs/>
          <w:i w:val="0"/>
          <w:iCs w:val="0"/>
          <w:caps w:val="0"/>
          <w:color w:val="auto"/>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4930C147">
      <w:pPr>
        <w:jc w:val="left"/>
        <w:rPr>
          <w:rFonts w:hint="default" w:ascii="Times New Roman" w:hAnsi="Times New Roman" w:eastAsia="Calibri" w:cs="Times New Roman"/>
          <w:b w:val="0"/>
          <w:bCs/>
          <w:color w:val="auto"/>
          <w:sz w:val="20"/>
          <w:szCs w:val="20"/>
          <w:lang w:val="en-US"/>
        </w:rPr>
      </w:pPr>
    </w:p>
    <w:tbl>
      <w:tblPr>
        <w:tblStyle w:val="23"/>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1417"/>
        <w:gridCol w:w="3790"/>
        <w:gridCol w:w="3156"/>
      </w:tblGrid>
      <w:tr w14:paraId="094D5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3DF1BE">
            <w:pPr>
              <w:jc w:val="left"/>
              <w:rPr>
                <w:sz w:val="18"/>
                <w:szCs w:val="18"/>
              </w:rPr>
            </w:pPr>
            <w:r>
              <w:rPr>
                <w:sz w:val="18"/>
                <w:szCs w:val="18"/>
              </w:rPr>
              <w:t>ZINC ID</w:t>
            </w:r>
          </w:p>
        </w:tc>
        <w:tc>
          <w:tcPr>
            <w:tcW w:w="1417" w:type="dxa"/>
          </w:tcPr>
          <w:p w14:paraId="226FE542">
            <w:pPr>
              <w:jc w:val="left"/>
              <w:rPr>
                <w:sz w:val="18"/>
                <w:szCs w:val="18"/>
              </w:rPr>
            </w:pPr>
            <w:r>
              <w:rPr>
                <w:sz w:val="18"/>
                <w:szCs w:val="18"/>
              </w:rPr>
              <w:t xml:space="preserve">Binding free </w:t>
            </w:r>
          </w:p>
          <w:p w14:paraId="39BAE9A5">
            <w:pPr>
              <w:jc w:val="left"/>
              <w:rPr>
                <w:sz w:val="18"/>
                <w:szCs w:val="18"/>
              </w:rPr>
            </w:pPr>
            <w:r>
              <w:rPr>
                <w:sz w:val="18"/>
                <w:szCs w:val="18"/>
              </w:rPr>
              <w:t xml:space="preserve">energy </w:t>
            </w:r>
          </w:p>
          <w:p w14:paraId="52A24285">
            <w:pPr>
              <w:jc w:val="left"/>
              <w:rPr>
                <w:sz w:val="18"/>
                <w:szCs w:val="18"/>
              </w:rPr>
            </w:pPr>
            <w:r>
              <w:rPr>
                <w:sz w:val="18"/>
                <w:szCs w:val="18"/>
              </w:rPr>
              <w:t>(kcal/mol)</w:t>
            </w:r>
          </w:p>
        </w:tc>
        <w:tc>
          <w:tcPr>
            <w:tcW w:w="3790" w:type="dxa"/>
          </w:tcPr>
          <w:p w14:paraId="35DED184">
            <w:pPr>
              <w:jc w:val="left"/>
              <w:rPr>
                <w:sz w:val="18"/>
                <w:szCs w:val="18"/>
              </w:rPr>
            </w:pPr>
            <w:r>
              <w:rPr>
                <w:sz w:val="18"/>
                <w:szCs w:val="18"/>
              </w:rPr>
              <w:t>Hydrogen bonding pairs HD::HA</w:t>
            </w:r>
          </w:p>
        </w:tc>
        <w:tc>
          <w:tcPr>
            <w:tcW w:w="3156" w:type="dxa"/>
          </w:tcPr>
          <w:p w14:paraId="40188FB1">
            <w:pPr>
              <w:jc w:val="left"/>
              <w:rPr>
                <w:sz w:val="18"/>
                <w:szCs w:val="18"/>
              </w:rPr>
            </w:pPr>
            <w:r>
              <w:rPr>
                <w:sz w:val="18"/>
                <w:szCs w:val="18"/>
              </w:rPr>
              <w:t>Residues in Hydrophobic Interactions or van der Waals contact</w:t>
            </w:r>
          </w:p>
        </w:tc>
      </w:tr>
      <w:tr w14:paraId="7BA36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64A7FF2">
            <w:pPr>
              <w:jc w:val="left"/>
              <w:rPr>
                <w:sz w:val="18"/>
                <w:szCs w:val="18"/>
              </w:rPr>
            </w:pPr>
            <w:r>
              <w:rPr>
                <w:sz w:val="18"/>
                <w:szCs w:val="18"/>
              </w:rPr>
              <w:t>ZINC02107288</w:t>
            </w:r>
          </w:p>
        </w:tc>
        <w:tc>
          <w:tcPr>
            <w:tcW w:w="1417" w:type="dxa"/>
          </w:tcPr>
          <w:p w14:paraId="231B6000">
            <w:pPr>
              <w:jc w:val="left"/>
              <w:rPr>
                <w:sz w:val="18"/>
                <w:szCs w:val="18"/>
              </w:rPr>
            </w:pPr>
            <w:r>
              <w:rPr>
                <w:sz w:val="18"/>
                <w:szCs w:val="18"/>
              </w:rPr>
              <w:t>-10.62</w:t>
            </w:r>
          </w:p>
        </w:tc>
        <w:tc>
          <w:tcPr>
            <w:tcW w:w="3790" w:type="dxa"/>
          </w:tcPr>
          <w:p w14:paraId="6C3EA7DB">
            <w:pPr>
              <w:jc w:val="left"/>
              <w:rPr>
                <w:sz w:val="18"/>
                <w:szCs w:val="18"/>
              </w:rPr>
            </w:pPr>
            <w:r>
              <w:rPr>
                <w:sz w:val="18"/>
                <w:szCs w:val="18"/>
              </w:rPr>
              <w:t>Lys-16(N):: Unk0(C)OXT</w:t>
            </w:r>
          </w:p>
          <w:p w14:paraId="3ABA5DD1">
            <w:pPr>
              <w:jc w:val="left"/>
              <w:rPr>
                <w:sz w:val="18"/>
                <w:szCs w:val="18"/>
              </w:rPr>
            </w:pPr>
            <w:r>
              <w:rPr>
                <w:sz w:val="18"/>
                <w:szCs w:val="18"/>
              </w:rPr>
              <w:t>Lys-16(NZ):: Unk0(C)OXT</w:t>
            </w:r>
          </w:p>
          <w:p w14:paraId="1AADEC13">
            <w:pPr>
              <w:jc w:val="left"/>
              <w:rPr>
                <w:sz w:val="18"/>
                <w:szCs w:val="18"/>
                <w:lang w:val="pt-BR"/>
              </w:rPr>
            </w:pPr>
            <w:r>
              <w:rPr>
                <w:sz w:val="18"/>
                <w:szCs w:val="18"/>
                <w:lang w:val="pt-BR"/>
              </w:rPr>
              <w:t>Gly-15(N):: Unk0(C)OXT</w:t>
            </w:r>
          </w:p>
          <w:p w14:paraId="1D4663E1">
            <w:pPr>
              <w:jc w:val="left"/>
              <w:rPr>
                <w:sz w:val="18"/>
                <w:szCs w:val="18"/>
                <w:lang w:val="pt-BR"/>
              </w:rPr>
            </w:pPr>
            <w:r>
              <w:rPr>
                <w:sz w:val="18"/>
                <w:szCs w:val="18"/>
                <w:lang w:val="pt-BR"/>
              </w:rPr>
              <w:t>Ser-17(N)::Unk0(C)O</w:t>
            </w:r>
          </w:p>
          <w:p w14:paraId="30727373">
            <w:pPr>
              <w:jc w:val="left"/>
              <w:rPr>
                <w:sz w:val="18"/>
                <w:szCs w:val="18"/>
              </w:rPr>
            </w:pPr>
            <w:r>
              <w:rPr>
                <w:sz w:val="18"/>
                <w:szCs w:val="18"/>
              </w:rPr>
              <w:t>Asp-33(N)::Unk0(C11)O</w:t>
            </w:r>
          </w:p>
          <w:p w14:paraId="31C3CBE9">
            <w:pPr>
              <w:jc w:val="left"/>
              <w:rPr>
                <w:sz w:val="18"/>
                <w:szCs w:val="18"/>
              </w:rPr>
            </w:pPr>
          </w:p>
        </w:tc>
        <w:tc>
          <w:tcPr>
            <w:tcW w:w="3156" w:type="dxa"/>
          </w:tcPr>
          <w:p w14:paraId="3F7267E9">
            <w:pPr>
              <w:jc w:val="left"/>
              <w:rPr>
                <w:sz w:val="18"/>
                <w:szCs w:val="18"/>
              </w:rPr>
            </w:pPr>
            <w:r>
              <w:rPr>
                <w:sz w:val="18"/>
                <w:szCs w:val="18"/>
              </w:rPr>
              <w:t>Val-14, Asp-13, Gly-60, Asp-12,</w:t>
            </w:r>
          </w:p>
          <w:p w14:paraId="23092D50">
            <w:pPr>
              <w:jc w:val="left"/>
              <w:rPr>
                <w:sz w:val="18"/>
                <w:szCs w:val="18"/>
              </w:rPr>
            </w:pPr>
            <w:r>
              <w:rPr>
                <w:sz w:val="18"/>
                <w:szCs w:val="18"/>
              </w:rPr>
              <w:t>Tyr-32, Glu-31, Ala-18, Asn-116, Lys-117, Asp-119, Lys-147,</w:t>
            </w:r>
          </w:p>
          <w:p w14:paraId="321C1D78">
            <w:pPr>
              <w:jc w:val="left"/>
              <w:rPr>
                <w:sz w:val="18"/>
                <w:szCs w:val="18"/>
              </w:rPr>
            </w:pPr>
            <w:r>
              <w:rPr>
                <w:sz w:val="18"/>
                <w:szCs w:val="18"/>
              </w:rPr>
              <w:t>Phe-28, Pro-34</w:t>
            </w:r>
          </w:p>
        </w:tc>
      </w:tr>
      <w:tr w14:paraId="3C583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602F324">
            <w:pPr>
              <w:jc w:val="left"/>
              <w:rPr>
                <w:sz w:val="18"/>
                <w:szCs w:val="18"/>
              </w:rPr>
            </w:pPr>
            <w:r>
              <w:rPr>
                <w:sz w:val="18"/>
                <w:szCs w:val="18"/>
              </w:rPr>
              <w:t>ZINC02096813</w:t>
            </w:r>
          </w:p>
        </w:tc>
        <w:tc>
          <w:tcPr>
            <w:tcW w:w="1417" w:type="dxa"/>
          </w:tcPr>
          <w:p w14:paraId="7A36914E">
            <w:pPr>
              <w:jc w:val="left"/>
              <w:rPr>
                <w:sz w:val="18"/>
                <w:szCs w:val="18"/>
              </w:rPr>
            </w:pPr>
            <w:r>
              <w:rPr>
                <w:sz w:val="18"/>
                <w:szCs w:val="18"/>
              </w:rPr>
              <w:t>-10.61</w:t>
            </w:r>
          </w:p>
        </w:tc>
        <w:tc>
          <w:tcPr>
            <w:tcW w:w="3790" w:type="dxa"/>
          </w:tcPr>
          <w:p w14:paraId="1A714663">
            <w:pPr>
              <w:jc w:val="left"/>
              <w:rPr>
                <w:sz w:val="18"/>
                <w:szCs w:val="18"/>
                <w:lang w:val="pt-BR"/>
              </w:rPr>
            </w:pPr>
            <w:r>
              <w:rPr>
                <w:sz w:val="18"/>
                <w:szCs w:val="18"/>
                <w:lang w:val="pt-BR"/>
              </w:rPr>
              <w:t>Thr-35(N):: Unl1(C23) O5</w:t>
            </w:r>
          </w:p>
          <w:p w14:paraId="06A610EC">
            <w:pPr>
              <w:jc w:val="left"/>
              <w:rPr>
                <w:sz w:val="18"/>
                <w:szCs w:val="18"/>
                <w:lang w:val="pt-BR"/>
              </w:rPr>
            </w:pPr>
            <w:r>
              <w:rPr>
                <w:sz w:val="18"/>
                <w:szCs w:val="18"/>
                <w:lang w:val="pt-BR"/>
              </w:rPr>
              <w:t>Asp-12(OD1):: Unl1(N)</w:t>
            </w:r>
          </w:p>
          <w:p w14:paraId="2BE3CFC1">
            <w:pPr>
              <w:jc w:val="left"/>
              <w:rPr>
                <w:sz w:val="18"/>
                <w:szCs w:val="18"/>
              </w:rPr>
            </w:pPr>
            <w:r>
              <w:rPr>
                <w:sz w:val="18"/>
                <w:szCs w:val="18"/>
              </w:rPr>
              <w:t>Gly-60(N):: Unl1(OXT)</w:t>
            </w:r>
          </w:p>
          <w:p w14:paraId="5DA5E46C">
            <w:pPr>
              <w:jc w:val="left"/>
              <w:rPr>
                <w:sz w:val="18"/>
                <w:szCs w:val="18"/>
              </w:rPr>
            </w:pPr>
            <w:r>
              <w:rPr>
                <w:sz w:val="18"/>
                <w:szCs w:val="18"/>
              </w:rPr>
              <w:t>Lys-16(NZ):: Unl1(OXT)</w:t>
            </w:r>
          </w:p>
          <w:p w14:paraId="4038DDC0">
            <w:pPr>
              <w:jc w:val="left"/>
              <w:rPr>
                <w:sz w:val="18"/>
                <w:szCs w:val="18"/>
              </w:rPr>
            </w:pPr>
          </w:p>
        </w:tc>
        <w:tc>
          <w:tcPr>
            <w:tcW w:w="3156" w:type="dxa"/>
          </w:tcPr>
          <w:p w14:paraId="609FD269">
            <w:pPr>
              <w:jc w:val="left"/>
              <w:rPr>
                <w:sz w:val="18"/>
                <w:szCs w:val="18"/>
                <w:lang w:val="pt-BR"/>
              </w:rPr>
            </w:pPr>
            <w:r>
              <w:rPr>
                <w:sz w:val="18"/>
                <w:szCs w:val="18"/>
                <w:lang w:val="pt-BR"/>
              </w:rPr>
              <w:t>Ser-17, Gly-15, Asn-116, Lys-117, Phe-28, Lys-147, Ala-146, Asp-119, Ser-145, Ala-18, Tyr-32,</w:t>
            </w:r>
          </w:p>
          <w:p w14:paraId="6E57E0CE">
            <w:pPr>
              <w:jc w:val="left"/>
              <w:rPr>
                <w:sz w:val="18"/>
                <w:szCs w:val="18"/>
              </w:rPr>
            </w:pPr>
            <w:r>
              <w:rPr>
                <w:sz w:val="18"/>
                <w:szCs w:val="18"/>
              </w:rPr>
              <w:t>Asp-13</w:t>
            </w:r>
          </w:p>
        </w:tc>
      </w:tr>
      <w:tr w14:paraId="40673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F3B029C">
            <w:pPr>
              <w:jc w:val="left"/>
              <w:rPr>
                <w:sz w:val="18"/>
                <w:szCs w:val="18"/>
              </w:rPr>
            </w:pPr>
            <w:r>
              <w:rPr>
                <w:sz w:val="18"/>
                <w:szCs w:val="18"/>
              </w:rPr>
              <w:t>ZINC02096815</w:t>
            </w:r>
          </w:p>
        </w:tc>
        <w:tc>
          <w:tcPr>
            <w:tcW w:w="1417" w:type="dxa"/>
          </w:tcPr>
          <w:p w14:paraId="35DFCDA0">
            <w:pPr>
              <w:jc w:val="left"/>
              <w:rPr>
                <w:sz w:val="18"/>
                <w:szCs w:val="18"/>
              </w:rPr>
            </w:pPr>
            <w:r>
              <w:rPr>
                <w:sz w:val="18"/>
                <w:szCs w:val="18"/>
              </w:rPr>
              <w:t>-10.33</w:t>
            </w:r>
          </w:p>
        </w:tc>
        <w:tc>
          <w:tcPr>
            <w:tcW w:w="3790" w:type="dxa"/>
          </w:tcPr>
          <w:p w14:paraId="65E03A61">
            <w:pPr>
              <w:jc w:val="left"/>
              <w:rPr>
                <w:sz w:val="18"/>
                <w:szCs w:val="18"/>
                <w:lang w:val="pt-BR"/>
              </w:rPr>
            </w:pPr>
            <w:r>
              <w:rPr>
                <w:sz w:val="18"/>
                <w:szCs w:val="18"/>
                <w:lang w:val="pt-BR"/>
              </w:rPr>
              <w:t>Lys-16(N):: Unl1(C23)O5</w:t>
            </w:r>
          </w:p>
          <w:p w14:paraId="662C9179">
            <w:pPr>
              <w:jc w:val="left"/>
              <w:rPr>
                <w:sz w:val="18"/>
                <w:szCs w:val="18"/>
                <w:lang w:val="pt-BR"/>
              </w:rPr>
            </w:pPr>
            <w:r>
              <w:rPr>
                <w:sz w:val="18"/>
                <w:szCs w:val="18"/>
                <w:lang w:val="pt-BR"/>
              </w:rPr>
              <w:t>Lys-16(NZ):: Unl1(C23)OXT Gly15(N):: Unl1(C23)O5</w:t>
            </w:r>
          </w:p>
          <w:p w14:paraId="56D5C0EC">
            <w:pPr>
              <w:jc w:val="left"/>
              <w:rPr>
                <w:sz w:val="18"/>
                <w:szCs w:val="18"/>
              </w:rPr>
            </w:pPr>
            <w:r>
              <w:rPr>
                <w:sz w:val="18"/>
                <w:szCs w:val="18"/>
              </w:rPr>
              <w:t>Ser17(OG):: Unl1(C20)O4</w:t>
            </w:r>
          </w:p>
          <w:p w14:paraId="61570223">
            <w:pPr>
              <w:jc w:val="left"/>
              <w:rPr>
                <w:sz w:val="18"/>
                <w:szCs w:val="18"/>
              </w:rPr>
            </w:pPr>
          </w:p>
        </w:tc>
        <w:tc>
          <w:tcPr>
            <w:tcW w:w="3156" w:type="dxa"/>
          </w:tcPr>
          <w:p w14:paraId="61F9E1D6">
            <w:pPr>
              <w:jc w:val="left"/>
              <w:rPr>
                <w:sz w:val="18"/>
                <w:szCs w:val="18"/>
              </w:rPr>
            </w:pPr>
            <w:r>
              <w:rPr>
                <w:sz w:val="18"/>
                <w:szCs w:val="18"/>
              </w:rPr>
              <w:t>Asp-12, Thr-58, Asp-13, Asp-33,</w:t>
            </w:r>
          </w:p>
          <w:p w14:paraId="4A59C8E0">
            <w:pPr>
              <w:jc w:val="left"/>
              <w:rPr>
                <w:sz w:val="18"/>
                <w:szCs w:val="18"/>
              </w:rPr>
            </w:pPr>
            <w:r>
              <w:rPr>
                <w:sz w:val="18"/>
                <w:szCs w:val="18"/>
              </w:rPr>
              <w:t>Try-32, Glu-31, Phe-28, Lys-147, Asp-119, Ala-146,</w:t>
            </w:r>
          </w:p>
          <w:p w14:paraId="717C160F">
            <w:pPr>
              <w:jc w:val="left"/>
              <w:rPr>
                <w:sz w:val="18"/>
                <w:szCs w:val="18"/>
              </w:rPr>
            </w:pPr>
            <w:r>
              <w:rPr>
                <w:sz w:val="18"/>
                <w:szCs w:val="18"/>
              </w:rPr>
              <w:t>Lys-117, Asn-116, Thr-35</w:t>
            </w:r>
          </w:p>
        </w:tc>
      </w:tr>
      <w:tr w14:paraId="72325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51EBF5E7">
            <w:pPr>
              <w:jc w:val="left"/>
              <w:rPr>
                <w:sz w:val="18"/>
                <w:szCs w:val="18"/>
              </w:rPr>
            </w:pPr>
            <w:r>
              <w:rPr>
                <w:sz w:val="18"/>
                <w:szCs w:val="18"/>
              </w:rPr>
              <w:t>ZINC02114326</w:t>
            </w:r>
          </w:p>
        </w:tc>
        <w:tc>
          <w:tcPr>
            <w:tcW w:w="1417" w:type="dxa"/>
          </w:tcPr>
          <w:p w14:paraId="64457B61">
            <w:pPr>
              <w:jc w:val="left"/>
              <w:rPr>
                <w:sz w:val="18"/>
                <w:szCs w:val="18"/>
              </w:rPr>
            </w:pPr>
            <w:r>
              <w:rPr>
                <w:sz w:val="18"/>
                <w:szCs w:val="18"/>
              </w:rPr>
              <w:t>-10.23</w:t>
            </w:r>
          </w:p>
        </w:tc>
        <w:tc>
          <w:tcPr>
            <w:tcW w:w="3790" w:type="dxa"/>
          </w:tcPr>
          <w:p w14:paraId="589B179F">
            <w:pPr>
              <w:jc w:val="left"/>
              <w:rPr>
                <w:sz w:val="18"/>
                <w:szCs w:val="18"/>
              </w:rPr>
            </w:pPr>
            <w:r>
              <w:rPr>
                <w:sz w:val="18"/>
                <w:szCs w:val="18"/>
              </w:rPr>
              <w:t>Asn-116(ND2):: Unl1(CL) Lys-147(NZ):: Unl1(OXT) Asp-33(N):: Unl1 (C12) O4</w:t>
            </w:r>
          </w:p>
          <w:p w14:paraId="50E6115E">
            <w:pPr>
              <w:jc w:val="left"/>
              <w:rPr>
                <w:sz w:val="18"/>
                <w:szCs w:val="18"/>
              </w:rPr>
            </w:pPr>
          </w:p>
        </w:tc>
        <w:tc>
          <w:tcPr>
            <w:tcW w:w="3156" w:type="dxa"/>
          </w:tcPr>
          <w:p w14:paraId="25351E7D">
            <w:pPr>
              <w:jc w:val="left"/>
              <w:rPr>
                <w:sz w:val="18"/>
                <w:szCs w:val="18"/>
              </w:rPr>
            </w:pPr>
            <w:r>
              <w:rPr>
                <w:sz w:val="18"/>
                <w:szCs w:val="18"/>
              </w:rPr>
              <w:t>Phe-28, Asp-119, Leu-120, Gly-15, Lys-117, Asp-30, Lys-16, Ser-17, Ala-18, Tyr-32, Glu-31</w:t>
            </w:r>
          </w:p>
          <w:p w14:paraId="01DF6500">
            <w:pPr>
              <w:jc w:val="left"/>
              <w:rPr>
                <w:sz w:val="18"/>
                <w:szCs w:val="18"/>
              </w:rPr>
            </w:pPr>
          </w:p>
        </w:tc>
      </w:tr>
      <w:tr w14:paraId="3CA4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1159B89A">
            <w:pPr>
              <w:jc w:val="left"/>
              <w:rPr>
                <w:sz w:val="18"/>
                <w:szCs w:val="18"/>
              </w:rPr>
            </w:pPr>
            <w:r>
              <w:rPr>
                <w:sz w:val="18"/>
                <w:szCs w:val="18"/>
              </w:rPr>
              <w:t>ZINC01020381</w:t>
            </w:r>
          </w:p>
        </w:tc>
        <w:tc>
          <w:tcPr>
            <w:tcW w:w="1417" w:type="dxa"/>
          </w:tcPr>
          <w:p w14:paraId="3A0BAEB5">
            <w:pPr>
              <w:jc w:val="left"/>
              <w:rPr>
                <w:sz w:val="18"/>
                <w:szCs w:val="18"/>
              </w:rPr>
            </w:pPr>
            <w:r>
              <w:rPr>
                <w:sz w:val="18"/>
                <w:szCs w:val="18"/>
              </w:rPr>
              <w:t>-10.16</w:t>
            </w:r>
          </w:p>
        </w:tc>
        <w:tc>
          <w:tcPr>
            <w:tcW w:w="3790" w:type="dxa"/>
          </w:tcPr>
          <w:p w14:paraId="6D3A2985">
            <w:pPr>
              <w:jc w:val="left"/>
              <w:rPr>
                <w:sz w:val="18"/>
                <w:szCs w:val="18"/>
                <w:lang w:val="pt-BR"/>
              </w:rPr>
            </w:pPr>
            <w:r>
              <w:rPr>
                <w:sz w:val="18"/>
                <w:szCs w:val="18"/>
                <w:lang w:val="pt-BR"/>
              </w:rPr>
              <w:t>Gly-15(N):: Unl1(C24) O2 Lys-16(N):: Unl1(C24) O2 Lys-16(NZ):: Unl1(C24) O2</w:t>
            </w:r>
          </w:p>
        </w:tc>
        <w:tc>
          <w:tcPr>
            <w:tcW w:w="3156" w:type="dxa"/>
          </w:tcPr>
          <w:p w14:paraId="6B57D65D">
            <w:pPr>
              <w:jc w:val="left"/>
              <w:rPr>
                <w:sz w:val="18"/>
                <w:szCs w:val="18"/>
              </w:rPr>
            </w:pPr>
            <w:r>
              <w:rPr>
                <w:sz w:val="18"/>
                <w:szCs w:val="18"/>
              </w:rPr>
              <w:t>Asp-119, Lys-147, Asn-116, Ala-146, Ser-145, Glu-31, Phe-28, Asp-30, Asp-13, Thr-58, Asp-33</w:t>
            </w:r>
          </w:p>
          <w:p w14:paraId="23C7A227">
            <w:pPr>
              <w:jc w:val="left"/>
              <w:rPr>
                <w:sz w:val="18"/>
                <w:szCs w:val="18"/>
              </w:rPr>
            </w:pPr>
          </w:p>
        </w:tc>
      </w:tr>
      <w:tr w14:paraId="12EA8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A6076AB">
            <w:pPr>
              <w:jc w:val="left"/>
              <w:rPr>
                <w:sz w:val="18"/>
                <w:szCs w:val="18"/>
              </w:rPr>
            </w:pPr>
            <w:r>
              <w:rPr>
                <w:sz w:val="18"/>
                <w:szCs w:val="18"/>
              </w:rPr>
              <w:t>ZINC06167356</w:t>
            </w:r>
          </w:p>
        </w:tc>
        <w:tc>
          <w:tcPr>
            <w:tcW w:w="1417" w:type="dxa"/>
          </w:tcPr>
          <w:p w14:paraId="31B53365">
            <w:pPr>
              <w:jc w:val="left"/>
              <w:rPr>
                <w:sz w:val="18"/>
                <w:szCs w:val="18"/>
              </w:rPr>
            </w:pPr>
            <w:r>
              <w:rPr>
                <w:sz w:val="18"/>
                <w:szCs w:val="18"/>
              </w:rPr>
              <w:t>-10.16</w:t>
            </w:r>
          </w:p>
        </w:tc>
        <w:tc>
          <w:tcPr>
            <w:tcW w:w="3790" w:type="dxa"/>
          </w:tcPr>
          <w:p w14:paraId="0F818927">
            <w:pPr>
              <w:jc w:val="left"/>
              <w:rPr>
                <w:sz w:val="18"/>
                <w:szCs w:val="18"/>
                <w:lang w:val="pt-BR"/>
              </w:rPr>
            </w:pPr>
            <w:r>
              <w:rPr>
                <w:sz w:val="18"/>
                <w:szCs w:val="18"/>
                <w:lang w:val="pt-BR"/>
              </w:rPr>
              <w:t>Thr-58(O)::Unl1(C6) O6 Gly-60(N):: Unl1(C6) O6 Lys-117(NZ):: Unl1(C18) O5 Asp-30(N):: Unl1(C16) O4 Glu-31(N):: Unl1(C16) O 4 Ala-18(N):: Unl1(C9) O 2 Ser-17(N):: Unl1(O1)</w:t>
            </w:r>
          </w:p>
          <w:p w14:paraId="77776060">
            <w:pPr>
              <w:jc w:val="left"/>
              <w:rPr>
                <w:sz w:val="18"/>
                <w:szCs w:val="18"/>
                <w:lang w:val="pt-BR"/>
              </w:rPr>
            </w:pPr>
          </w:p>
        </w:tc>
        <w:tc>
          <w:tcPr>
            <w:tcW w:w="3156" w:type="dxa"/>
          </w:tcPr>
          <w:p w14:paraId="3536549C">
            <w:pPr>
              <w:jc w:val="left"/>
              <w:rPr>
                <w:sz w:val="18"/>
                <w:szCs w:val="18"/>
              </w:rPr>
            </w:pPr>
            <w:r>
              <w:rPr>
                <w:sz w:val="18"/>
                <w:szCs w:val="18"/>
              </w:rPr>
              <w:t>Asp-33, Asp-12, Lys-16, Thr-35, Gly-15, Pro-34, Ala-59, Asp-13, Val-29</w:t>
            </w:r>
          </w:p>
          <w:p w14:paraId="683B11A1">
            <w:pPr>
              <w:jc w:val="left"/>
              <w:rPr>
                <w:sz w:val="18"/>
                <w:szCs w:val="18"/>
              </w:rPr>
            </w:pPr>
          </w:p>
          <w:p w14:paraId="39B94075">
            <w:pPr>
              <w:jc w:val="left"/>
              <w:rPr>
                <w:sz w:val="18"/>
                <w:szCs w:val="18"/>
              </w:rPr>
            </w:pPr>
          </w:p>
        </w:tc>
      </w:tr>
      <w:tr w14:paraId="3CB13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4B1B8167">
            <w:pPr>
              <w:jc w:val="left"/>
              <w:rPr>
                <w:sz w:val="18"/>
                <w:szCs w:val="18"/>
              </w:rPr>
            </w:pPr>
            <w:r>
              <w:rPr>
                <w:sz w:val="18"/>
                <w:szCs w:val="18"/>
              </w:rPr>
              <w:t>ZINC02120343</w:t>
            </w:r>
          </w:p>
        </w:tc>
        <w:tc>
          <w:tcPr>
            <w:tcW w:w="1417" w:type="dxa"/>
          </w:tcPr>
          <w:p w14:paraId="794033E4">
            <w:pPr>
              <w:jc w:val="left"/>
              <w:rPr>
                <w:sz w:val="18"/>
                <w:szCs w:val="18"/>
              </w:rPr>
            </w:pPr>
            <w:r>
              <w:rPr>
                <w:sz w:val="18"/>
                <w:szCs w:val="18"/>
              </w:rPr>
              <w:t>-10.14</w:t>
            </w:r>
          </w:p>
        </w:tc>
        <w:tc>
          <w:tcPr>
            <w:tcW w:w="3790" w:type="dxa"/>
          </w:tcPr>
          <w:p w14:paraId="2F13AC1D">
            <w:pPr>
              <w:jc w:val="left"/>
              <w:rPr>
                <w:sz w:val="18"/>
                <w:szCs w:val="18"/>
                <w:lang w:val="pt-BR"/>
              </w:rPr>
            </w:pPr>
            <w:r>
              <w:rPr>
                <w:sz w:val="18"/>
                <w:szCs w:val="18"/>
                <w:lang w:val="pt-BR"/>
              </w:rPr>
              <w:t>Asp-33(N):: Unl1(C9) O2 Ser-17(N):: Unl1(C22) O5 Lys-16(N):: Unl1(C22) O4 Lys-16(NZ):: Unl1(C22) O 4 Asp-13(N):: Unl1(C22) O4 Gly-15(N):: Unl1(C22) O4</w:t>
            </w:r>
          </w:p>
          <w:p w14:paraId="20BE98CC">
            <w:pPr>
              <w:jc w:val="left"/>
              <w:rPr>
                <w:sz w:val="18"/>
                <w:szCs w:val="18"/>
                <w:lang w:val="pt-BR"/>
              </w:rPr>
            </w:pPr>
          </w:p>
        </w:tc>
        <w:tc>
          <w:tcPr>
            <w:tcW w:w="3156" w:type="dxa"/>
          </w:tcPr>
          <w:p w14:paraId="4AF88FCB">
            <w:pPr>
              <w:jc w:val="left"/>
              <w:rPr>
                <w:sz w:val="18"/>
                <w:szCs w:val="18"/>
              </w:rPr>
            </w:pPr>
            <w:r>
              <w:rPr>
                <w:sz w:val="18"/>
                <w:szCs w:val="18"/>
              </w:rPr>
              <w:t>Asp-119,Ser-145, Lys-147,Ala-146, Phe-28,Ala-18,Asn-116, Lys-117,Glu-31,Tyr-32, Pro-34,Asp-12,Val-14</w:t>
            </w:r>
          </w:p>
        </w:tc>
      </w:tr>
      <w:tr w14:paraId="4341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75676913">
            <w:pPr>
              <w:jc w:val="left"/>
              <w:rPr>
                <w:sz w:val="18"/>
                <w:szCs w:val="18"/>
              </w:rPr>
            </w:pPr>
            <w:r>
              <w:rPr>
                <w:sz w:val="18"/>
                <w:szCs w:val="18"/>
              </w:rPr>
              <w:t>ZINC02102162</w:t>
            </w:r>
          </w:p>
        </w:tc>
        <w:tc>
          <w:tcPr>
            <w:tcW w:w="1417" w:type="dxa"/>
          </w:tcPr>
          <w:p w14:paraId="1B3700CE">
            <w:pPr>
              <w:jc w:val="left"/>
              <w:rPr>
                <w:sz w:val="18"/>
                <w:szCs w:val="18"/>
              </w:rPr>
            </w:pPr>
            <w:r>
              <w:rPr>
                <w:sz w:val="18"/>
                <w:szCs w:val="18"/>
              </w:rPr>
              <w:t>-10.14</w:t>
            </w:r>
          </w:p>
        </w:tc>
        <w:tc>
          <w:tcPr>
            <w:tcW w:w="3790" w:type="dxa"/>
          </w:tcPr>
          <w:p w14:paraId="28269EE7">
            <w:pPr>
              <w:jc w:val="left"/>
              <w:rPr>
                <w:sz w:val="18"/>
                <w:szCs w:val="18"/>
                <w:lang w:val="pt-BR"/>
              </w:rPr>
            </w:pPr>
            <w:r>
              <w:rPr>
                <w:sz w:val="18"/>
                <w:szCs w:val="18"/>
                <w:lang w:val="pt-BR"/>
              </w:rPr>
              <w:t>Lys-16(N):: Unl1(C22) O6 Lys-16(N)::Unl1(C22) O5 Val-14(N):: Unl1(C22) O5 Gly-15(N):: Unl1(C22) O5 Ser-17(N):: Unl1(C22) O6</w:t>
            </w:r>
          </w:p>
          <w:p w14:paraId="6CAAC301">
            <w:pPr>
              <w:jc w:val="left"/>
              <w:rPr>
                <w:sz w:val="18"/>
                <w:szCs w:val="18"/>
                <w:lang w:val="pt-BR"/>
              </w:rPr>
            </w:pPr>
          </w:p>
        </w:tc>
        <w:tc>
          <w:tcPr>
            <w:tcW w:w="3156" w:type="dxa"/>
          </w:tcPr>
          <w:p w14:paraId="6E07FB51">
            <w:pPr>
              <w:jc w:val="left"/>
              <w:rPr>
                <w:sz w:val="18"/>
                <w:szCs w:val="18"/>
              </w:rPr>
            </w:pPr>
            <w:r>
              <w:rPr>
                <w:sz w:val="18"/>
                <w:szCs w:val="18"/>
              </w:rPr>
              <w:t>Pro-34,Asp-12, Asp-13,Asp-33, Glu-31,Tyr-32, Phe-28,Lys-117, Asn-116,Ala-18, Ala-146,Lys-147, Asp-119</w:t>
            </w:r>
          </w:p>
        </w:tc>
      </w:tr>
      <w:tr w14:paraId="50F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384027F3">
            <w:pPr>
              <w:jc w:val="left"/>
              <w:rPr>
                <w:sz w:val="18"/>
                <w:szCs w:val="18"/>
              </w:rPr>
            </w:pPr>
            <w:r>
              <w:rPr>
                <w:sz w:val="18"/>
                <w:szCs w:val="18"/>
              </w:rPr>
              <w:t>ZINC02114643</w:t>
            </w:r>
          </w:p>
        </w:tc>
        <w:tc>
          <w:tcPr>
            <w:tcW w:w="1417" w:type="dxa"/>
          </w:tcPr>
          <w:p w14:paraId="10495B1D">
            <w:pPr>
              <w:jc w:val="left"/>
              <w:rPr>
                <w:sz w:val="18"/>
                <w:szCs w:val="18"/>
              </w:rPr>
            </w:pPr>
            <w:r>
              <w:rPr>
                <w:sz w:val="18"/>
                <w:szCs w:val="18"/>
              </w:rPr>
              <w:t>-10.1</w:t>
            </w:r>
          </w:p>
        </w:tc>
        <w:tc>
          <w:tcPr>
            <w:tcW w:w="3790" w:type="dxa"/>
          </w:tcPr>
          <w:p w14:paraId="69392619">
            <w:pPr>
              <w:jc w:val="left"/>
              <w:rPr>
                <w:sz w:val="18"/>
                <w:szCs w:val="18"/>
                <w:lang w:val="pt-BR"/>
              </w:rPr>
            </w:pPr>
            <w:r>
              <w:rPr>
                <w:sz w:val="18"/>
                <w:szCs w:val="18"/>
                <w:lang w:val="pt-BR"/>
              </w:rPr>
              <w:t>Asp-33(N)::Unl1(C16) O4 Lys-16(N)::Unl1(C24) O5 Lys-16(NZ)::Unl1(C24) O6 Gly-15(N)::Unl1(C24) O5</w:t>
            </w:r>
          </w:p>
          <w:p w14:paraId="5077809F">
            <w:pPr>
              <w:jc w:val="left"/>
              <w:rPr>
                <w:sz w:val="18"/>
                <w:szCs w:val="18"/>
                <w:lang w:val="pt-BR"/>
              </w:rPr>
            </w:pPr>
          </w:p>
        </w:tc>
        <w:tc>
          <w:tcPr>
            <w:tcW w:w="3156" w:type="dxa"/>
          </w:tcPr>
          <w:p w14:paraId="138E310D">
            <w:pPr>
              <w:jc w:val="left"/>
              <w:rPr>
                <w:sz w:val="18"/>
                <w:szCs w:val="18"/>
                <w:lang w:val="pt-BR"/>
              </w:rPr>
            </w:pPr>
            <w:r>
              <w:rPr>
                <w:sz w:val="18"/>
                <w:szCs w:val="18"/>
                <w:lang w:val="pt-BR"/>
              </w:rPr>
              <w:t>Asp-19,Phe-28, Lys-147,Lys-147, Leu-120,Tyr-32, Ala-18,Ala-146, Lys-117,Thr-35, Glu-31,Pro-34,Asp-13</w:t>
            </w:r>
          </w:p>
        </w:tc>
      </w:tr>
      <w:tr w14:paraId="67B77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00AE13C3">
            <w:pPr>
              <w:jc w:val="left"/>
              <w:rPr>
                <w:sz w:val="18"/>
                <w:szCs w:val="18"/>
              </w:rPr>
            </w:pPr>
            <w:r>
              <w:rPr>
                <w:sz w:val="18"/>
                <w:szCs w:val="18"/>
              </w:rPr>
              <w:t>ZINC00518885</w:t>
            </w:r>
          </w:p>
        </w:tc>
        <w:tc>
          <w:tcPr>
            <w:tcW w:w="1417" w:type="dxa"/>
          </w:tcPr>
          <w:p w14:paraId="3138D8F0">
            <w:pPr>
              <w:jc w:val="left"/>
              <w:rPr>
                <w:sz w:val="18"/>
                <w:szCs w:val="18"/>
              </w:rPr>
            </w:pPr>
            <w:r>
              <w:rPr>
                <w:sz w:val="18"/>
                <w:szCs w:val="18"/>
              </w:rPr>
              <w:t>-10.06</w:t>
            </w:r>
          </w:p>
        </w:tc>
        <w:tc>
          <w:tcPr>
            <w:tcW w:w="3790" w:type="dxa"/>
          </w:tcPr>
          <w:p w14:paraId="6CE73266">
            <w:pPr>
              <w:jc w:val="left"/>
              <w:rPr>
                <w:sz w:val="18"/>
                <w:szCs w:val="18"/>
                <w:lang w:val="pt-BR"/>
              </w:rPr>
            </w:pPr>
            <w:r>
              <w:rPr>
                <w:sz w:val="18"/>
                <w:szCs w:val="18"/>
                <w:lang w:val="pt-BR"/>
              </w:rPr>
              <w:t>Lys-117(N):: Unk0(C9) O2 Ala-146(N):: Unk0(C9) O2 Asn-116(ND2)::Unk0(O3) Asp-13(N):: Unk0(OXT) Lys-16(N)::Unk0(O) Lys-16(NZ)::Unk0(O) Gly-15(N)::Unk0(O) Val-14(N)::Unk0(O)</w:t>
            </w:r>
          </w:p>
          <w:p w14:paraId="7C8555C5">
            <w:pPr>
              <w:jc w:val="left"/>
              <w:rPr>
                <w:sz w:val="18"/>
                <w:szCs w:val="18"/>
                <w:lang w:val="pt-BR"/>
              </w:rPr>
            </w:pPr>
          </w:p>
        </w:tc>
        <w:tc>
          <w:tcPr>
            <w:tcW w:w="3156" w:type="dxa"/>
          </w:tcPr>
          <w:p w14:paraId="22385F94">
            <w:pPr>
              <w:jc w:val="left"/>
              <w:rPr>
                <w:sz w:val="18"/>
                <w:szCs w:val="18"/>
                <w:lang w:val="pt-BR"/>
              </w:rPr>
            </w:pPr>
            <w:r>
              <w:rPr>
                <w:sz w:val="18"/>
                <w:szCs w:val="18"/>
                <w:lang w:val="pt-BR"/>
              </w:rPr>
              <w:t>Asp-119,Phe-28, Asp-33,Pro-34,Asp-12, Ala-18,Ser-17,Lys-147, Ser-145</w:t>
            </w:r>
          </w:p>
        </w:tc>
      </w:tr>
      <w:tr w14:paraId="57CC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 w:hRule="atLeast"/>
        </w:trPr>
        <w:tc>
          <w:tcPr>
            <w:tcW w:w="1555" w:type="dxa"/>
          </w:tcPr>
          <w:p w14:paraId="0392D8EC">
            <w:pPr>
              <w:jc w:val="left"/>
              <w:rPr>
                <w:sz w:val="18"/>
                <w:szCs w:val="18"/>
              </w:rPr>
            </w:pPr>
            <w:r>
              <w:rPr>
                <w:sz w:val="18"/>
                <w:szCs w:val="18"/>
              </w:rPr>
              <w:t>ZINC03882094</w:t>
            </w:r>
          </w:p>
        </w:tc>
        <w:tc>
          <w:tcPr>
            <w:tcW w:w="1417" w:type="dxa"/>
          </w:tcPr>
          <w:p w14:paraId="33987BE0">
            <w:pPr>
              <w:jc w:val="left"/>
              <w:rPr>
                <w:sz w:val="18"/>
                <w:szCs w:val="18"/>
              </w:rPr>
            </w:pPr>
            <w:r>
              <w:rPr>
                <w:sz w:val="18"/>
                <w:szCs w:val="18"/>
              </w:rPr>
              <w:t>-10.04</w:t>
            </w:r>
          </w:p>
        </w:tc>
        <w:tc>
          <w:tcPr>
            <w:tcW w:w="3790" w:type="dxa"/>
          </w:tcPr>
          <w:p w14:paraId="7BD5054E">
            <w:pPr>
              <w:jc w:val="left"/>
              <w:rPr>
                <w:sz w:val="18"/>
                <w:szCs w:val="18"/>
                <w:lang w:val="pt-BR"/>
              </w:rPr>
            </w:pPr>
            <w:r>
              <w:rPr>
                <w:sz w:val="18"/>
                <w:szCs w:val="18"/>
                <w:lang w:val="pt-BR"/>
              </w:rPr>
              <w:t>Lys-16(NZ)::Unl1(C21) O3 Gly-15(N):: Unl1(C21) O3 Ser-17(N)::Unl1(C22) O4</w:t>
            </w:r>
          </w:p>
        </w:tc>
        <w:tc>
          <w:tcPr>
            <w:tcW w:w="3156" w:type="dxa"/>
          </w:tcPr>
          <w:p w14:paraId="363985BC">
            <w:pPr>
              <w:jc w:val="left"/>
              <w:rPr>
                <w:sz w:val="18"/>
                <w:szCs w:val="18"/>
              </w:rPr>
            </w:pPr>
            <w:r>
              <w:rPr>
                <w:sz w:val="18"/>
                <w:szCs w:val="18"/>
              </w:rPr>
              <w:t>Thr-35,Asp-13, Val-14,Asp-12, Asp-30,Glu-13, Asp-119,Lys-117, Phe-28,Asp-57, Ala-18,Thr-58</w:t>
            </w:r>
          </w:p>
        </w:tc>
      </w:tr>
    </w:tbl>
    <w:p w14:paraId="19FB39A7">
      <w:pPr>
        <w:jc w:val="left"/>
        <w:rPr>
          <w:rFonts w:eastAsia="Calibri"/>
          <w:bCs/>
          <w:sz w:val="20"/>
          <w:szCs w:val="20"/>
        </w:rPr>
      </w:pPr>
    </w:p>
    <w:p w14:paraId="106AFE65">
      <w:pPr>
        <w:jc w:val="left"/>
        <w:rPr>
          <w:rFonts w:hint="default" w:eastAsia="Calibri"/>
          <w:b w:val="0"/>
          <w:bCs/>
          <w:color w:val="auto"/>
          <w:sz w:val="20"/>
          <w:szCs w:val="20"/>
          <w:lang w:val="en-US"/>
        </w:rPr>
      </w:pPr>
      <w:r>
        <w:rPr>
          <w:rFonts w:eastAsia="Calibri"/>
          <w:bCs/>
          <w:sz w:val="20"/>
          <w:szCs w:val="20"/>
        </w:rPr>
        <w:t>Beyond conserved sites, mutant residues also established direct ligand interactions. Asp-12 (from G12D) formed hydrogen bonds in compound 2 (2.88 Å) and engaged in hydrophobic contacts in other complexes. Asp-13 (from G13D) formed hydrogen bonds in compounds 7 (3.05 Å) and 10 (2.84 Å). Arg-61 (from Q61R) sporadically contributed stabilizing electrostatic or hydrogen-bond contacts depending on the ligand. 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engagement—hydrogen bonds with mutant residues alongside hydrophobic contacts with conserved structural stabilizers—suggests enhanced stability and specificity of binding. These compounds therefore represent the most promising leads for further optimization and in vitro testing against NRAS-driven melanoma.</w:t>
      </w:r>
      <w:r>
        <w:rPr>
          <w:rFonts w:hint="default" w:eastAsia="Calibri"/>
          <w:bCs/>
          <w:sz w:val="20"/>
          <w:szCs w:val="20"/>
          <w:lang w:val="en-US"/>
        </w:rPr>
        <w:t xml:space="preserve"> </w:t>
      </w:r>
      <w:r>
        <w:rPr>
          <w:rFonts w:hint="default" w:eastAsia="Calibri"/>
          <w:b w:val="0"/>
          <w:bCs/>
          <w:color w:val="auto"/>
          <w:sz w:val="20"/>
          <w:szCs w:val="20"/>
        </w:rPr>
        <w:t>Collectively, these observations suggest that gain-of-function mutations in NRAS do more than alter intrinsic catalytic properties; they actively reshape the protein’s binding pocket, creating new avenues for ligand engagement that are absent in the wild-type context. This mutant-induced plasticity manifests in the binding profiles of the eleven shortlisted compounds, among which three candidates—ZINC02096813, ZINC02120343, and ZINC00518885—emerged as top binders. These compounds stood out by consistently engaging both conserved residues (Tyr-32, Phe-28, Asp-119) and mutant residues, forming a dual network of hydrogen bonds and hydrophobic contacts. This synergy of interactions enhances both the stability and specificity of binding, pointing to a potentially improved resistance to competitive displacement and better selectivity for the mutant protein over the wild-type.</w:t>
      </w:r>
      <w:r>
        <w:rPr>
          <w:rFonts w:hint="default" w:eastAsia="Calibri"/>
          <w:b w:val="0"/>
          <w:bCs/>
          <w:color w:val="auto"/>
          <w:sz w:val="20"/>
          <w:szCs w:val="20"/>
          <w:lang w:val="en-US"/>
        </w:rPr>
        <w:t xml:space="preserve"> </w:t>
      </w:r>
    </w:p>
    <w:p w14:paraId="69AB1B10">
      <w:pPr>
        <w:jc w:val="left"/>
        <w:rPr>
          <w:rFonts w:eastAsia="Calibri"/>
          <w:b w:val="0"/>
          <w:bCs/>
          <w:color w:val="auto"/>
          <w:sz w:val="20"/>
          <w:szCs w:val="20"/>
        </w:rPr>
      </w:pPr>
      <w:r>
        <w:rPr>
          <w:rFonts w:hint="default" w:eastAsia="Calibri"/>
          <w:b w:val="0"/>
          <w:bCs/>
          <w:color w:val="auto"/>
          <w:sz w:val="20"/>
          <w:szCs w:val="20"/>
        </w:rPr>
        <w:t>Taken together, these results underscore the value of targeting both conserved and mutant-specific interactions for inhibitor design. The identified lead compounds, which demonstrate dual engagement of structural and mutant contacts, are primed for further optimization and experimental validation as candidate therapeutics against NRAS-driven melanoma. Their unique binding profiles suggest they may exploit structural features distinctive to mutant NRAS, ultimately contributing to the development of precision therapies for cancers harboring these oncogenic mutations</w:t>
      </w:r>
    </w:p>
    <w:p w14:paraId="49F1433B">
      <w:pPr>
        <w:numPr>
          <w:ilvl w:val="0"/>
          <w:numId w:val="2"/>
        </w:numPr>
        <w:jc w:val="left"/>
        <w:rPr>
          <w:rFonts w:hint="default"/>
          <w:lang w:val="en-US"/>
        </w:rPr>
      </w:pPr>
      <w:r>
        <w:drawing>
          <wp:anchor distT="0" distB="0" distL="114300" distR="114300" simplePos="0" relativeHeight="251668480" behindDoc="0" locked="0" layoutInCell="1" allowOverlap="1">
            <wp:simplePos x="0" y="0"/>
            <wp:positionH relativeFrom="column">
              <wp:posOffset>4883785</wp:posOffset>
            </wp:positionH>
            <wp:positionV relativeFrom="paragraph">
              <wp:posOffset>91440</wp:posOffset>
            </wp:positionV>
            <wp:extent cx="1092835" cy="1282065"/>
            <wp:effectExtent l="0" t="0" r="4445" b="13335"/>
            <wp:wrapNone/>
            <wp:docPr id="25" name="docshap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ocshape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1092835" cy="1282065"/>
                    </a:xfrm>
                    <a:prstGeom prst="rect">
                      <a:avLst/>
                    </a:prstGeom>
                    <a:noFill/>
                    <a:ln>
                      <a:noFill/>
                    </a:ln>
                  </pic:spPr>
                </pic:pic>
              </a:graphicData>
            </a:graphic>
          </wp:anchor>
        </w:drawing>
      </w:r>
      <w:r>
        <w:drawing>
          <wp:anchor distT="0" distB="0" distL="114300" distR="114300" simplePos="0" relativeHeight="251666432" behindDoc="0" locked="0" layoutInCell="1" allowOverlap="1">
            <wp:simplePos x="0" y="0"/>
            <wp:positionH relativeFrom="column">
              <wp:posOffset>1792605</wp:posOffset>
            </wp:positionH>
            <wp:positionV relativeFrom="paragraph">
              <wp:posOffset>85090</wp:posOffset>
            </wp:positionV>
            <wp:extent cx="1062990" cy="1293495"/>
            <wp:effectExtent l="0" t="0" r="3810" b="1905"/>
            <wp:wrapNone/>
            <wp:docPr id="14" name="docshap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shape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1062990" cy="1293495"/>
                    </a:xfrm>
                    <a:prstGeom prst="rect">
                      <a:avLst/>
                    </a:prstGeom>
                    <a:noFill/>
                    <a:ln>
                      <a:noFill/>
                    </a:ln>
                  </pic:spPr>
                </pic:pic>
              </a:graphicData>
            </a:graphic>
          </wp:anchor>
        </w:drawing>
      </w:r>
      <w:r>
        <w:drawing>
          <wp:anchor distT="0" distB="0" distL="114300" distR="114300" simplePos="0" relativeHeight="251665408" behindDoc="0" locked="0" layoutInCell="1" allowOverlap="1">
            <wp:simplePos x="0" y="0"/>
            <wp:positionH relativeFrom="column">
              <wp:posOffset>216535</wp:posOffset>
            </wp:positionH>
            <wp:positionV relativeFrom="paragraph">
              <wp:posOffset>53340</wp:posOffset>
            </wp:positionV>
            <wp:extent cx="1224915" cy="1386205"/>
            <wp:effectExtent l="0" t="0" r="9525" b="635"/>
            <wp:wrapNone/>
            <wp:docPr id="21" name="docshap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ocshape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1224915" cy="1386205"/>
                    </a:xfrm>
                    <a:prstGeom prst="rect">
                      <a:avLst/>
                    </a:prstGeom>
                    <a:noFill/>
                    <a:ln>
                      <a:noFill/>
                    </a:ln>
                  </pic:spPr>
                </pic:pic>
              </a:graphicData>
            </a:graphic>
          </wp:anchor>
        </w:drawing>
      </w:r>
      <w:r>
        <w:rPr>
          <w:rFonts w:hint="default"/>
          <w:lang w:val="en-US"/>
        </w:rPr>
        <w:t xml:space="preserve">                                 (B)                                     (C)                                   (D)</w:t>
      </w:r>
    </w:p>
    <w:p w14:paraId="59D6C2B5">
      <w:pPr>
        <w:jc w:val="left"/>
      </w:pPr>
      <w:r>
        <w:drawing>
          <wp:anchor distT="0" distB="0" distL="114300" distR="114300" simplePos="0" relativeHeight="251667456" behindDoc="0" locked="0" layoutInCell="1" allowOverlap="1">
            <wp:simplePos x="0" y="0"/>
            <wp:positionH relativeFrom="column">
              <wp:posOffset>3310890</wp:posOffset>
            </wp:positionH>
            <wp:positionV relativeFrom="paragraph">
              <wp:posOffset>16510</wp:posOffset>
            </wp:positionV>
            <wp:extent cx="1126490" cy="1290320"/>
            <wp:effectExtent l="0" t="0" r="1270" b="5080"/>
            <wp:wrapNone/>
            <wp:docPr id="24" name="docshap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ocshape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1126490" cy="1290320"/>
                    </a:xfrm>
                    <a:prstGeom prst="rect">
                      <a:avLst/>
                    </a:prstGeom>
                    <a:noFill/>
                    <a:ln>
                      <a:noFill/>
                    </a:ln>
                  </pic:spPr>
                </pic:pic>
              </a:graphicData>
            </a:graphic>
          </wp:anchor>
        </w:drawing>
      </w:r>
    </w:p>
    <w:p w14:paraId="3FE3F631">
      <w:pPr>
        <w:jc w:val="left"/>
      </w:pPr>
    </w:p>
    <w:p w14:paraId="5BB86FF8">
      <w:pPr>
        <w:jc w:val="left"/>
      </w:pPr>
    </w:p>
    <w:p w14:paraId="02E11BDB">
      <w:pPr>
        <w:jc w:val="left"/>
      </w:pPr>
    </w:p>
    <w:p w14:paraId="69AB6608">
      <w:pPr>
        <w:jc w:val="left"/>
      </w:pPr>
    </w:p>
    <w:p w14:paraId="4A208628">
      <w:pPr>
        <w:jc w:val="left"/>
      </w:pPr>
    </w:p>
    <w:p w14:paraId="18228C57">
      <w:pPr>
        <w:jc w:val="left"/>
      </w:pPr>
    </w:p>
    <w:p w14:paraId="22C3FC91">
      <w:pPr>
        <w:numPr>
          <w:ilvl w:val="0"/>
          <w:numId w:val="0"/>
        </w:numPr>
        <w:jc w:val="left"/>
        <w:rPr>
          <w:rFonts w:hint="default"/>
          <w:lang w:val="en-US"/>
        </w:rPr>
      </w:pPr>
      <w:r>
        <w:drawing>
          <wp:anchor distT="0" distB="0" distL="114300" distR="114300" simplePos="0" relativeHeight="251671552" behindDoc="0" locked="0" layoutInCell="1" allowOverlap="1">
            <wp:simplePos x="0" y="0"/>
            <wp:positionH relativeFrom="column">
              <wp:posOffset>3124200</wp:posOffset>
            </wp:positionH>
            <wp:positionV relativeFrom="paragraph">
              <wp:posOffset>135890</wp:posOffset>
            </wp:positionV>
            <wp:extent cx="1186180" cy="1481455"/>
            <wp:effectExtent l="0" t="0" r="2540" b="12065"/>
            <wp:wrapNone/>
            <wp:docPr id="33" name="docshap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ocshape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1186180" cy="148145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188595</wp:posOffset>
            </wp:positionH>
            <wp:positionV relativeFrom="paragraph">
              <wp:posOffset>140970</wp:posOffset>
            </wp:positionV>
            <wp:extent cx="986790" cy="1390650"/>
            <wp:effectExtent l="0" t="0" r="3810" b="11430"/>
            <wp:wrapNone/>
            <wp:docPr id="27" name="docshap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ocshape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986790" cy="1390650"/>
                    </a:xfrm>
                    <a:prstGeom prst="rect">
                      <a:avLst/>
                    </a:prstGeom>
                    <a:noFill/>
                    <a:ln>
                      <a:noFill/>
                    </a:ln>
                  </pic:spPr>
                </pic:pic>
              </a:graphicData>
            </a:graphic>
          </wp:anchor>
        </w:drawing>
      </w:r>
      <w:r>
        <w:rPr>
          <w:rFonts w:hint="default"/>
          <w:lang w:val="en-US"/>
        </w:rPr>
        <w:t>(E)                             (F)                                   (G)                                         (H)</w:t>
      </w:r>
    </w:p>
    <w:p w14:paraId="14BC5436">
      <w:pPr>
        <w:jc w:val="left"/>
      </w:pPr>
      <w:r>
        <w:drawing>
          <wp:anchor distT="0" distB="0" distL="114300" distR="114300" simplePos="0" relativeHeight="251672576" behindDoc="0" locked="0" layoutInCell="1" allowOverlap="1">
            <wp:simplePos x="0" y="0"/>
            <wp:positionH relativeFrom="column">
              <wp:posOffset>4544060</wp:posOffset>
            </wp:positionH>
            <wp:positionV relativeFrom="paragraph">
              <wp:posOffset>57785</wp:posOffset>
            </wp:positionV>
            <wp:extent cx="1050290" cy="1304925"/>
            <wp:effectExtent l="0" t="0" r="1270" b="5715"/>
            <wp:wrapNone/>
            <wp:docPr id="39" name="docshap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ocshape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050290" cy="1304925"/>
                    </a:xfrm>
                    <a:prstGeom prst="rect">
                      <a:avLst/>
                    </a:prstGeom>
                    <a:noFill/>
                    <a:ln>
                      <a:noFill/>
                    </a:ln>
                  </pic:spPr>
                </pic:pic>
              </a:graphicData>
            </a:graphic>
          </wp:anchor>
        </w:drawing>
      </w:r>
      <w:r>
        <w:drawing>
          <wp:anchor distT="0" distB="0" distL="114300" distR="114300" simplePos="0" relativeHeight="251670528" behindDoc="0" locked="0" layoutInCell="1" allowOverlap="1">
            <wp:simplePos x="0" y="0"/>
            <wp:positionH relativeFrom="column">
              <wp:posOffset>1470660</wp:posOffset>
            </wp:positionH>
            <wp:positionV relativeFrom="paragraph">
              <wp:posOffset>15875</wp:posOffset>
            </wp:positionV>
            <wp:extent cx="1064895" cy="1353185"/>
            <wp:effectExtent l="0" t="0" r="1905" b="3175"/>
            <wp:wrapNone/>
            <wp:docPr id="30" name="docshap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cshape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1064895" cy="1353185"/>
                    </a:xfrm>
                    <a:prstGeom prst="rect">
                      <a:avLst/>
                    </a:prstGeom>
                    <a:noFill/>
                    <a:ln>
                      <a:noFill/>
                    </a:ln>
                  </pic:spPr>
                </pic:pic>
              </a:graphicData>
            </a:graphic>
          </wp:anchor>
        </w:drawing>
      </w:r>
    </w:p>
    <w:p w14:paraId="5F82A931">
      <w:pPr>
        <w:jc w:val="left"/>
      </w:pPr>
    </w:p>
    <w:p w14:paraId="56CCEFAE">
      <w:pPr>
        <w:jc w:val="left"/>
        <w:sectPr>
          <w:type w:val="continuous"/>
          <w:pgSz w:w="11907" w:h="16839"/>
          <w:pgMar w:top="1701" w:right="1134" w:bottom="1701" w:left="1134" w:header="706" w:footer="706" w:gutter="0"/>
          <w:pgNumType w:start="125"/>
          <w:cols w:space="567" w:num="1"/>
          <w:docGrid w:linePitch="360" w:charSpace="0"/>
        </w:sectPr>
      </w:pPr>
    </w:p>
    <w:p w14:paraId="1DDD44CA">
      <w:pPr>
        <w:bidi w:val="0"/>
        <w:jc w:val="left"/>
        <w:rPr>
          <w:rFonts w:hint="default" w:ascii="Times New Roman" w:hAnsi="Times New Roman" w:eastAsia="Segoe UI" w:cs="Times New Roman"/>
          <w:b w:val="0"/>
          <w:bCs w:val="0"/>
          <w:i w:val="0"/>
          <w:iCs w:val="0"/>
          <w:caps w:val="0"/>
          <w:spacing w:val="1"/>
          <w:sz w:val="20"/>
          <w:szCs w:val="20"/>
        </w:rPr>
      </w:pPr>
    </w:p>
    <w:p w14:paraId="42C8F1CF">
      <w:pPr>
        <w:bidi w:val="0"/>
        <w:rPr>
          <w:rFonts w:hint="default"/>
          <w:b/>
          <w:bCs/>
          <w:color w:val="5B9BD5" w:themeColor="accent5"/>
          <w:sz w:val="20"/>
          <w:szCs w:val="20"/>
          <w14:textFill>
            <w14:solidFill>
              <w14:schemeClr w14:val="accent5"/>
            </w14:solidFill>
          </w14:textFill>
        </w:rPr>
      </w:pPr>
    </w:p>
    <w:p w14:paraId="0F494528">
      <w:pPr>
        <w:bidi w:val="0"/>
        <w:rPr>
          <w:rFonts w:hint="default"/>
          <w:b/>
          <w:bCs/>
          <w:color w:val="5B9BD5" w:themeColor="accent5"/>
          <w:sz w:val="20"/>
          <w:szCs w:val="20"/>
          <w:lang w:val="en-US"/>
          <w14:textFill>
            <w14:solidFill>
              <w14:schemeClr w14:val="accent5"/>
            </w14:solidFill>
          </w14:textFill>
        </w:rPr>
      </w:pPr>
      <w:r>
        <w:rPr>
          <w:rFonts w:hint="default"/>
          <w:lang w:val="en-US"/>
        </w:rPr>
        <w:t>(I)                              (J)</w:t>
      </w:r>
    </w:p>
    <w:p w14:paraId="3D1FE63A">
      <w:pPr>
        <w:numPr>
          <w:ilvl w:val="0"/>
          <w:numId w:val="0"/>
        </w:numPr>
        <w:jc w:val="left"/>
        <w:rPr>
          <w:rFonts w:hint="default"/>
          <w:lang w:val="en-US"/>
        </w:rPr>
      </w:pPr>
      <w:r>
        <w:rPr>
          <w:rFonts w:hint="default"/>
          <w:lang w:val="en-US"/>
        </w:rPr>
        <w:t>(I)                                (J)</w:t>
      </w:r>
    </w:p>
    <w:p w14:paraId="1B4DD3E4">
      <w:pPr>
        <w:numPr>
          <w:ilvl w:val="0"/>
          <w:numId w:val="0"/>
        </w:numPr>
        <w:jc w:val="left"/>
        <w:rPr>
          <w:rFonts w:hint="default"/>
          <w:lang w:val="en-US"/>
        </w:rPr>
      </w:pPr>
      <w:r>
        <w:drawing>
          <wp:anchor distT="0" distB="0" distL="114300" distR="114300" simplePos="0" relativeHeight="251673600" behindDoc="0" locked="0" layoutInCell="1" allowOverlap="1">
            <wp:simplePos x="0" y="0"/>
            <wp:positionH relativeFrom="column">
              <wp:posOffset>-74295</wp:posOffset>
            </wp:positionH>
            <wp:positionV relativeFrom="paragraph">
              <wp:posOffset>78740</wp:posOffset>
            </wp:positionV>
            <wp:extent cx="1076325" cy="1496695"/>
            <wp:effectExtent l="0" t="0" r="5715" b="12065"/>
            <wp:wrapNone/>
            <wp:docPr id="42" name="docshap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docshape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1076325" cy="1496695"/>
                    </a:xfrm>
                    <a:prstGeom prst="rect">
                      <a:avLst/>
                    </a:prstGeom>
                    <a:noFill/>
                    <a:ln>
                      <a:noFill/>
                    </a:ln>
                  </pic:spPr>
                </pic:pic>
              </a:graphicData>
            </a:graphic>
          </wp:anchor>
        </w:drawing>
      </w:r>
      <w:r>
        <w:drawing>
          <wp:anchor distT="0" distB="0" distL="114300" distR="114300" simplePos="0" relativeHeight="251674624" behindDoc="0" locked="0" layoutInCell="1" allowOverlap="1">
            <wp:simplePos x="0" y="0"/>
            <wp:positionH relativeFrom="column">
              <wp:posOffset>1491615</wp:posOffset>
            </wp:positionH>
            <wp:positionV relativeFrom="paragraph">
              <wp:posOffset>105410</wp:posOffset>
            </wp:positionV>
            <wp:extent cx="1089660" cy="1444625"/>
            <wp:effectExtent l="0" t="0" r="7620" b="3175"/>
            <wp:wrapNone/>
            <wp:docPr id="26" name="docshap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ocshape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1089660" cy="1444625"/>
                    </a:xfrm>
                    <a:prstGeom prst="rect">
                      <a:avLst/>
                    </a:prstGeom>
                    <a:noFill/>
                    <a:ln>
                      <a:noFill/>
                    </a:ln>
                  </pic:spPr>
                </pic:pic>
              </a:graphicData>
            </a:graphic>
          </wp:anchor>
        </w:drawing>
      </w:r>
    </w:p>
    <w:p w14:paraId="46A6C0FB">
      <w:pPr>
        <w:bidi w:val="0"/>
        <w:rPr>
          <w:rFonts w:hint="default"/>
          <w:b/>
          <w:bCs/>
          <w:color w:val="5B9BD5" w:themeColor="accent5"/>
          <w:sz w:val="20"/>
          <w:szCs w:val="20"/>
          <w14:textFill>
            <w14:solidFill>
              <w14:schemeClr w14:val="accent5"/>
            </w14:solidFill>
          </w14:textFill>
        </w:rPr>
      </w:pPr>
    </w:p>
    <w:p w14:paraId="36F274A7">
      <w:pPr>
        <w:bidi w:val="0"/>
        <w:rPr>
          <w:rFonts w:hint="default"/>
          <w:b/>
          <w:bCs/>
          <w:color w:val="5B9BD5" w:themeColor="accent5"/>
          <w:sz w:val="20"/>
          <w:szCs w:val="20"/>
          <w14:textFill>
            <w14:solidFill>
              <w14:schemeClr w14:val="accent5"/>
            </w14:solidFill>
          </w14:textFill>
        </w:rPr>
      </w:pPr>
    </w:p>
    <w:p w14:paraId="4DE60501">
      <w:pPr>
        <w:bidi w:val="0"/>
        <w:rPr>
          <w:rFonts w:hint="default"/>
          <w:b/>
          <w:bCs/>
          <w:color w:val="5B9BD5" w:themeColor="accent5"/>
          <w:sz w:val="20"/>
          <w:szCs w:val="20"/>
          <w14:textFill>
            <w14:solidFill>
              <w14:schemeClr w14:val="accent5"/>
            </w14:solidFill>
          </w14:textFill>
        </w:rPr>
      </w:pPr>
    </w:p>
    <w:p w14:paraId="6F6A214D">
      <w:pPr>
        <w:bidi w:val="0"/>
        <w:rPr>
          <w:rFonts w:hint="default"/>
          <w:b/>
          <w:bCs/>
          <w:color w:val="5B9BD5" w:themeColor="accent5"/>
          <w:sz w:val="20"/>
          <w:szCs w:val="20"/>
          <w14:textFill>
            <w14:solidFill>
              <w14:schemeClr w14:val="accent5"/>
            </w14:solidFill>
          </w14:textFill>
        </w:rPr>
      </w:pPr>
    </w:p>
    <w:p w14:paraId="7BC36D56">
      <w:pPr>
        <w:bidi w:val="0"/>
        <w:rPr>
          <w:rFonts w:hint="default"/>
          <w:b/>
          <w:bCs/>
          <w:color w:val="5B9BD5" w:themeColor="accent5"/>
          <w:sz w:val="20"/>
          <w:szCs w:val="20"/>
          <w14:textFill>
            <w14:solidFill>
              <w14:schemeClr w14:val="accent5"/>
            </w14:solidFill>
          </w14:textFill>
        </w:rPr>
      </w:pPr>
    </w:p>
    <w:p w14:paraId="794A89ED">
      <w:pPr>
        <w:bidi w:val="0"/>
        <w:rPr>
          <w:rFonts w:hint="default"/>
          <w:b/>
          <w:bCs/>
          <w:color w:val="5B9BD5" w:themeColor="accent5"/>
          <w:sz w:val="20"/>
          <w:szCs w:val="20"/>
          <w14:textFill>
            <w14:solidFill>
              <w14:schemeClr w14:val="accent5"/>
            </w14:solidFill>
          </w14:textFill>
        </w:rPr>
      </w:pPr>
    </w:p>
    <w:p w14:paraId="49BE2FAD">
      <w:pPr>
        <w:bidi w:val="0"/>
        <w:rPr>
          <w:rFonts w:hint="default"/>
          <w:b/>
          <w:bCs/>
          <w:color w:val="5B9BD5" w:themeColor="accent5"/>
          <w:sz w:val="20"/>
          <w:szCs w:val="20"/>
          <w14:textFill>
            <w14:solidFill>
              <w14:schemeClr w14:val="accent5"/>
            </w14:solidFill>
          </w14:textFill>
        </w:rPr>
      </w:pPr>
    </w:p>
    <w:p w14:paraId="4AC5A00E">
      <w:pPr>
        <w:bidi w:val="0"/>
        <w:rPr>
          <w:rFonts w:hint="default"/>
          <w:b/>
          <w:bCs/>
          <w:color w:val="5B9BD5" w:themeColor="accent5"/>
          <w:sz w:val="20"/>
          <w:szCs w:val="20"/>
          <w14:textFill>
            <w14:solidFill>
              <w14:schemeClr w14:val="accent5"/>
            </w14:solidFill>
          </w14:textFill>
        </w:rPr>
      </w:pPr>
    </w:p>
    <w:p w14:paraId="45228B32">
      <w:pPr>
        <w:bidi w:val="0"/>
        <w:rPr>
          <w:rFonts w:hint="default"/>
          <w:b/>
          <w:bCs/>
          <w:color w:val="5B9BD5" w:themeColor="accent5"/>
          <w:sz w:val="20"/>
          <w:szCs w:val="20"/>
          <w14:textFill>
            <w14:solidFill>
              <w14:schemeClr w14:val="accent5"/>
            </w14:solidFill>
          </w14:textFill>
        </w:rPr>
      </w:pPr>
    </w:p>
    <w:p w14:paraId="117E4FA7">
      <w:pPr>
        <w:bidi w:val="0"/>
        <w:rPr>
          <w:rFonts w:hint="default"/>
          <w:b/>
          <w:bCs/>
          <w:color w:val="5B9BD5" w:themeColor="accent5"/>
          <w:sz w:val="20"/>
          <w:szCs w:val="20"/>
          <w14:textFill>
            <w14:solidFill>
              <w14:schemeClr w14:val="accent5"/>
            </w14:solidFill>
          </w14:textFill>
        </w:rPr>
      </w:pPr>
    </w:p>
    <w:p w14:paraId="6B1A8EFB">
      <w:pPr>
        <w:bidi w:val="0"/>
        <w:rPr>
          <w:rFonts w:hint="default"/>
          <w:b/>
          <w:bCs/>
          <w:color w:val="5B9BD5" w:themeColor="accent5"/>
          <w:sz w:val="20"/>
          <w:szCs w:val="20"/>
          <w14:textFill>
            <w14:solidFill>
              <w14:schemeClr w14:val="accent5"/>
            </w14:solidFill>
          </w14:textFill>
        </w:rPr>
      </w:pPr>
    </w:p>
    <w:p w14:paraId="2C9C87CD">
      <w:pPr>
        <w:bidi w:val="0"/>
        <w:rPr>
          <w:rFonts w:hint="default"/>
          <w:b/>
          <w:bCs/>
          <w:color w:val="5B9BD5" w:themeColor="accent5"/>
          <w:sz w:val="20"/>
          <w:szCs w:val="20"/>
          <w:lang w:val="en-US"/>
          <w14:textFill>
            <w14:solidFill>
              <w14:schemeClr w14:val="accent5"/>
            </w14:solidFill>
          </w14:textFill>
        </w:rPr>
      </w:pPr>
      <w:r>
        <w:drawing>
          <wp:anchor distT="0" distB="0" distL="114300" distR="114300" simplePos="0" relativeHeight="251675648" behindDoc="0" locked="0" layoutInCell="1" allowOverlap="1">
            <wp:simplePos x="0" y="0"/>
            <wp:positionH relativeFrom="column">
              <wp:posOffset>854075</wp:posOffset>
            </wp:positionH>
            <wp:positionV relativeFrom="paragraph">
              <wp:posOffset>7620</wp:posOffset>
            </wp:positionV>
            <wp:extent cx="1009650" cy="1243965"/>
            <wp:effectExtent l="0" t="0" r="11430" b="5715"/>
            <wp:wrapNone/>
            <wp:docPr id="9" name="docshap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ocshape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1009650" cy="1243965"/>
                    </a:xfrm>
                    <a:prstGeom prst="rect">
                      <a:avLst/>
                    </a:prstGeom>
                    <a:noFill/>
                    <a:ln>
                      <a:noFill/>
                    </a:ln>
                  </pic:spPr>
                </pic:pic>
              </a:graphicData>
            </a:graphic>
          </wp:anchor>
        </w:drawing>
      </w:r>
      <w:r>
        <w:rPr>
          <w:rFonts w:hint="default"/>
          <w:b/>
          <w:bCs/>
          <w:color w:val="5B9BD5" w:themeColor="accent5"/>
          <w:sz w:val="20"/>
          <w:szCs w:val="20"/>
          <w:lang w:val="en-US"/>
          <w14:textFill>
            <w14:solidFill>
              <w14:schemeClr w14:val="accent5"/>
            </w14:solidFill>
          </w14:textFill>
        </w:rPr>
        <w:t xml:space="preserve">             </w:t>
      </w:r>
      <w:r>
        <w:rPr>
          <w:rFonts w:hint="default"/>
          <w:b w:val="0"/>
          <w:bCs w:val="0"/>
          <w:color w:val="auto"/>
          <w:sz w:val="20"/>
          <w:szCs w:val="20"/>
          <w:lang w:val="en-US"/>
        </w:rPr>
        <w:t xml:space="preserve">     (K)</w:t>
      </w:r>
    </w:p>
    <w:p w14:paraId="7C4ED787">
      <w:pPr>
        <w:bidi w:val="0"/>
        <w:rPr>
          <w:rFonts w:hint="default"/>
          <w:b/>
          <w:bCs/>
          <w:color w:val="5B9BD5" w:themeColor="accent5"/>
          <w:sz w:val="20"/>
          <w:szCs w:val="20"/>
          <w14:textFill>
            <w14:solidFill>
              <w14:schemeClr w14:val="accent5"/>
            </w14:solidFill>
          </w14:textFill>
        </w:rPr>
      </w:pPr>
    </w:p>
    <w:p w14:paraId="0E459BBF">
      <w:pPr>
        <w:bidi w:val="0"/>
        <w:rPr>
          <w:rFonts w:hint="default"/>
          <w:b/>
          <w:bCs/>
          <w:color w:val="5B9BD5" w:themeColor="accent5"/>
          <w:sz w:val="20"/>
          <w:szCs w:val="20"/>
          <w14:textFill>
            <w14:solidFill>
              <w14:schemeClr w14:val="accent5"/>
            </w14:solidFill>
          </w14:textFill>
        </w:rPr>
      </w:pPr>
    </w:p>
    <w:p w14:paraId="3736147D">
      <w:pPr>
        <w:bidi w:val="0"/>
        <w:rPr>
          <w:rFonts w:hint="default"/>
          <w:b/>
          <w:bCs/>
          <w:color w:val="5B9BD5" w:themeColor="accent5"/>
          <w:sz w:val="20"/>
          <w:szCs w:val="20"/>
          <w14:textFill>
            <w14:solidFill>
              <w14:schemeClr w14:val="accent5"/>
            </w14:solidFill>
          </w14:textFill>
        </w:rPr>
      </w:pPr>
    </w:p>
    <w:p w14:paraId="10DE1476">
      <w:pPr>
        <w:bidi w:val="0"/>
        <w:rPr>
          <w:rFonts w:hint="default"/>
          <w:b/>
          <w:bCs/>
          <w:color w:val="5B9BD5" w:themeColor="accent5"/>
          <w:sz w:val="20"/>
          <w:szCs w:val="20"/>
          <w14:textFill>
            <w14:solidFill>
              <w14:schemeClr w14:val="accent5"/>
            </w14:solidFill>
          </w14:textFill>
        </w:rPr>
      </w:pPr>
    </w:p>
    <w:p w14:paraId="0A9D5777">
      <w:pPr>
        <w:bidi w:val="0"/>
        <w:rPr>
          <w:rFonts w:hint="default"/>
          <w:b/>
          <w:bCs/>
          <w:color w:val="5B9BD5" w:themeColor="accent5"/>
          <w:sz w:val="20"/>
          <w:szCs w:val="20"/>
          <w14:textFill>
            <w14:solidFill>
              <w14:schemeClr w14:val="accent5"/>
            </w14:solidFill>
          </w14:textFill>
        </w:rPr>
      </w:pPr>
    </w:p>
    <w:p w14:paraId="14C548DE">
      <w:pPr>
        <w:bidi w:val="0"/>
        <w:rPr>
          <w:rFonts w:hint="default"/>
          <w:b/>
          <w:bCs/>
          <w:color w:val="5B9BD5" w:themeColor="accent5"/>
          <w:sz w:val="20"/>
          <w:szCs w:val="20"/>
          <w14:textFill>
            <w14:solidFill>
              <w14:schemeClr w14:val="accent5"/>
            </w14:solidFill>
          </w14:textFill>
        </w:rPr>
      </w:pPr>
    </w:p>
    <w:p w14:paraId="19018E5E">
      <w:pPr>
        <w:bidi w:val="0"/>
        <w:rPr>
          <w:rFonts w:hint="default"/>
          <w:b/>
          <w:bCs/>
          <w:color w:val="5B9BD5" w:themeColor="accent5"/>
          <w:sz w:val="20"/>
          <w:szCs w:val="20"/>
          <w14:textFill>
            <w14:solidFill>
              <w14:schemeClr w14:val="accent5"/>
            </w14:solidFill>
          </w14:textFill>
        </w:rPr>
      </w:pPr>
    </w:p>
    <w:p w14:paraId="2A28C818">
      <w:pPr>
        <w:bidi w:val="0"/>
        <w:rPr>
          <w:rFonts w:hint="default"/>
          <w:b/>
          <w:bCs/>
          <w:color w:val="5B9BD5" w:themeColor="accent5"/>
          <w:sz w:val="20"/>
          <w:szCs w:val="20"/>
          <w14:textFill>
            <w14:solidFill>
              <w14:schemeClr w14:val="accent5"/>
            </w14:solidFill>
          </w14:textFill>
        </w:rPr>
      </w:pPr>
    </w:p>
    <w:p w14:paraId="584D1DD9">
      <w:pPr>
        <w:bidi w:val="0"/>
        <w:rPr>
          <w:rFonts w:hint="default"/>
          <w:sz w:val="20"/>
          <w:szCs w:val="20"/>
        </w:rPr>
      </w:pPr>
      <w:r>
        <w:rPr>
          <w:rFonts w:hint="default"/>
          <w:b/>
          <w:bCs/>
          <w:color w:val="5B9BD5" w:themeColor="accent5"/>
          <w:sz w:val="20"/>
          <w:szCs w:val="20"/>
          <w14:textFill>
            <w14:solidFill>
              <w14:schemeClr w14:val="accent5"/>
            </w14:solidFill>
          </w14:textFill>
        </w:rPr>
        <w:t>Figure 2</w:t>
      </w:r>
      <w:r>
        <w:rPr>
          <w:rFonts w:hint="default"/>
          <w:sz w:val="20"/>
          <w:szCs w:val="20"/>
        </w:rPr>
        <w:t>. Comparative 2D representations of protein-ligand interactions for docked complexes, generated using LigPlot+.</w:t>
      </w:r>
    </w:p>
    <w:p w14:paraId="36E40D4B">
      <w:pPr>
        <w:bidi w:val="0"/>
        <w:rPr>
          <w:rFonts w:hint="default"/>
          <w:sz w:val="20"/>
          <w:szCs w:val="20"/>
        </w:rPr>
      </w:pPr>
    </w:p>
    <w:p w14:paraId="01158942">
      <w:pPr>
        <w:bidi w:val="0"/>
        <w:rPr>
          <w:rFonts w:hint="default" w:ascii="Times New Roman" w:hAnsi="Times New Roman" w:eastAsia="Segoe UI" w:cs="Times New Roman"/>
          <w:i w:val="0"/>
          <w:iCs w:val="0"/>
          <w:caps w:val="0"/>
          <w:spacing w:val="1"/>
          <w:sz w:val="20"/>
          <w:szCs w:val="20"/>
          <w:u w:val="none"/>
          <w:bdr w:val="single" w:color="auto" w:sz="2" w:space="0"/>
        </w:rPr>
      </w:pPr>
      <w:r>
        <w:rPr>
          <w:rFonts w:hint="default"/>
          <w:sz w:val="20"/>
          <w:szCs w:val="20"/>
          <w:lang w:val="en-US"/>
        </w:rPr>
        <w:t xml:space="preserve">Each panel depicts hydrogen bonding (green dashed lines) and hydrophobic contacts (red spokes) between the docked ligand (labeled UNK or UNL) and surrounding protein residues. </w:t>
      </w:r>
      <w:r>
        <w:rPr>
          <w:rFonts w:hint="default" w:ascii="Times New Roman" w:hAnsi="Times New Roman" w:eastAsia="Segoe UI" w:cs="Times New Roman"/>
          <w:i w:val="0"/>
          <w:iCs w:val="0"/>
          <w:caps w:val="0"/>
          <w:spacing w:val="1"/>
          <w:sz w:val="20"/>
          <w:szCs w:val="20"/>
        </w:rPr>
        <w:t>Each panel presents a detailed schematic of the non-covalent binding environment for a specific ligand within its target protein structure, with both the ligand and surrounding residues depicted in ball-and-stick format for clarity at atomic resolution. Hydrogen bonding interactions are marked by dashed green lines linking donor and acceptor atoms, while hydrophobic contacts are highlighted by spoked red arcs oriented toward the ligand, illustrating side-chain proximity and surface complementarity. This standardized visualization enables straightforward comparison of key contacts—including hydrogen bonds and</w:t>
      </w:r>
      <w:r>
        <w:rPr>
          <w:rFonts w:hint="default" w:eastAsia="Segoe UI" w:cs="Times New Roman"/>
          <w:i w:val="0"/>
          <w:iCs w:val="0"/>
          <w:caps w:val="0"/>
          <w:spacing w:val="1"/>
          <w:sz w:val="20"/>
          <w:szCs w:val="20"/>
          <w:lang w:val="en-US"/>
        </w:rPr>
        <w:t xml:space="preserve"> </w:t>
      </w:r>
      <w:r>
        <w:rPr>
          <w:rFonts w:hint="default" w:ascii="Times New Roman" w:hAnsi="Times New Roman" w:eastAsia="Segoe UI" w:cs="Times New Roman"/>
          <w:i w:val="0"/>
          <w:iCs w:val="0"/>
          <w:caps w:val="0"/>
          <w:spacing w:val="1"/>
          <w:sz w:val="20"/>
          <w:szCs w:val="20"/>
        </w:rPr>
        <w:t>hydrophobic interactions—among different ligand binding poses and mutant protein variants, providing insight into structural determinants of binding affinity.</w:t>
      </w:r>
      <w:r>
        <w:rPr>
          <w:rFonts w:hint="default" w:ascii="Times New Roman" w:hAnsi="Times New Roman" w:eastAsia="Segoe UI" w:cs="Times New Roman"/>
          <w:i w:val="0"/>
          <w:iCs w:val="0"/>
          <w:caps w:val="0"/>
          <w:spacing w:val="1"/>
          <w:sz w:val="20"/>
          <w:szCs w:val="20"/>
          <w:u w:val="none"/>
          <w:bdr w:val="single" w:color="auto" w:sz="2" w:space="0"/>
        </w:rPr>
        <w:fldChar w:fldCharType="begin"/>
      </w:r>
      <w:r>
        <w:rPr>
          <w:rFonts w:hint="default" w:ascii="Times New Roman" w:hAnsi="Times New Roman" w:eastAsia="Segoe UI" w:cs="Times New Roman"/>
          <w:i w:val="0"/>
          <w:iCs w:val="0"/>
          <w:caps w:val="0"/>
          <w:spacing w:val="1"/>
          <w:sz w:val="20"/>
          <w:szCs w:val="20"/>
          <w:u w:val="none"/>
          <w:bdr w:val="single" w:color="auto" w:sz="2" w:space="0"/>
        </w:rPr>
        <w:instrText xml:space="preserve"> HYPERLINK "https://www.ebi.ac.uk/thornton-srv/software/LigPlus/manual/manual.html" \t "https://www.perplexity.ai/search/_blank" </w:instrText>
      </w:r>
      <w:r>
        <w:rPr>
          <w:rFonts w:hint="default" w:ascii="Times New Roman" w:hAnsi="Times New Roman" w:eastAsia="Segoe UI" w:cs="Times New Roman"/>
          <w:i w:val="0"/>
          <w:iCs w:val="0"/>
          <w:caps w:val="0"/>
          <w:spacing w:val="1"/>
          <w:sz w:val="20"/>
          <w:szCs w:val="20"/>
          <w:u w:val="none"/>
          <w:bdr w:val="single" w:color="auto" w:sz="2" w:space="0"/>
        </w:rPr>
        <w:fldChar w:fldCharType="separate"/>
      </w:r>
      <w:r>
        <w:rPr>
          <w:rFonts w:hint="default" w:ascii="Times New Roman" w:hAnsi="Times New Roman" w:eastAsia="Segoe UI" w:cs="Times New Roman"/>
          <w:i w:val="0"/>
          <w:iCs w:val="0"/>
          <w:caps w:val="0"/>
          <w:spacing w:val="1"/>
          <w:sz w:val="20"/>
          <w:szCs w:val="20"/>
          <w:u w:val="none"/>
          <w:bdr w:val="single" w:color="auto" w:sz="2" w:space="0"/>
        </w:rPr>
        <w:fldChar w:fldCharType="end"/>
      </w:r>
    </w:p>
    <w:p w14:paraId="4FC95189">
      <w:pPr>
        <w:bidi w:val="0"/>
        <w:jc w:val="left"/>
        <w:rPr>
          <w:rFonts w:hint="default" w:ascii="Times New Roman" w:hAnsi="Times New Roman" w:eastAsia="Segoe UI" w:cs="Times New Roman"/>
          <w:i w:val="0"/>
          <w:iCs w:val="0"/>
          <w:caps w:val="0"/>
          <w:spacing w:val="1"/>
          <w:sz w:val="20"/>
          <w:szCs w:val="20"/>
        </w:rPr>
      </w:pPr>
      <w:r>
        <w:rPr>
          <w:rFonts w:hint="default" w:ascii="Times New Roman" w:hAnsi="Times New Roman" w:eastAsia="Segoe UI" w:cs="Times New Roman"/>
          <w:i w:val="0"/>
          <w:iCs w:val="0"/>
          <w:caps w:val="0"/>
          <w:spacing w:val="1"/>
          <w:sz w:val="20"/>
          <w:szCs w:val="20"/>
        </w:rPr>
        <w:t>The ability of LigPlot+ to display multiple ligand-protein pairs in parallel aids the interpretation of structure-activity relationships and binding mode selectivity by overlaying or aligning interaction networks. This visual summary highlights critical residues, hydrogen-bond patterns, and hydrophobic contacts that govern ligand recognition, making LigPlot+ diagrams valuable for drug discovery, mutational analysis, and rational design efforts. The atomic-level clarity and automatic annotation of interactions accelerate the evaluation of protein-ligand complexes and enable rapid dissemination of binding site features in publications and reports.</w:t>
      </w:r>
    </w:p>
    <w:p w14:paraId="2D8E1C50">
      <w:pPr>
        <w:jc w:val="left"/>
        <w:rPr>
          <w:rFonts w:hint="default" w:ascii="Times New Roman" w:hAnsi="Times New Roman" w:eastAsia="Calibri" w:cs="Times New Roman"/>
          <w:b/>
          <w:bCs/>
          <w:color w:val="0070C0"/>
          <w:sz w:val="20"/>
          <w:szCs w:val="20"/>
          <w:lang w:val="en-US"/>
        </w:rPr>
      </w:pPr>
    </w:p>
    <w:p w14:paraId="5462D305">
      <w:pPr>
        <w:jc w:val="left"/>
        <w:rPr>
          <w:rFonts w:eastAsia="Calibri"/>
          <w:b/>
          <w:bCs/>
          <w:color w:val="0070C0"/>
          <w:sz w:val="20"/>
          <w:szCs w:val="20"/>
          <w:lang w:val="en-US"/>
        </w:rPr>
      </w:pPr>
      <w:r>
        <w:rPr>
          <w:rFonts w:eastAsia="Calibri"/>
          <w:b/>
          <w:bCs/>
          <w:color w:val="0070C0"/>
          <w:sz w:val="20"/>
          <w:szCs w:val="20"/>
          <w:lang w:val="en-US"/>
        </w:rPr>
        <w:t>4. DISCUSSION</w:t>
      </w:r>
    </w:p>
    <w:p w14:paraId="5F09DBF1">
      <w:pPr>
        <w:jc w:val="left"/>
        <w:rPr>
          <w:rFonts w:eastAsia="Calibri"/>
          <w:b/>
          <w:bCs/>
          <w:color w:val="0070C0"/>
          <w:sz w:val="20"/>
          <w:szCs w:val="20"/>
          <w:lang w:val="en-US"/>
        </w:rPr>
      </w:pPr>
    </w:p>
    <w:p w14:paraId="3F091EE1">
      <w:pPr>
        <w:jc w:val="left"/>
        <w:rPr>
          <w:rFonts w:eastAsia="Calibri"/>
          <w:sz w:val="20"/>
          <w:szCs w:val="20"/>
          <w:lang w:val="en-US"/>
        </w:rPr>
      </w:pPr>
      <w:r>
        <w:rPr>
          <w:rFonts w:eastAsia="Calibri"/>
          <w:sz w:val="20"/>
          <w:szCs w:val="20"/>
          <w:lang w:val="en-US"/>
        </w:rPr>
        <w:t>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(Johnson et al., 2017).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714C6B64">
      <w:pPr>
        <w:jc w:val="left"/>
        <w:rPr>
          <w:rFonts w:eastAsia="Calibri"/>
          <w:sz w:val="20"/>
          <w:szCs w:val="20"/>
          <w:lang w:val="en-US"/>
        </w:rPr>
      </w:pPr>
    </w:p>
    <w:p w14:paraId="2E9EB106">
      <w:pPr>
        <w:jc w:val="left"/>
        <w:rPr>
          <w:rFonts w:eastAsia="Calibri"/>
          <w:color w:val="0070C0"/>
          <w:sz w:val="20"/>
          <w:szCs w:val="20"/>
          <w:lang w:val="en-US"/>
        </w:rPr>
      </w:pPr>
      <w:r>
        <w:rPr>
          <w:rFonts w:eastAsia="Calibri"/>
          <w:b/>
          <w:bCs/>
          <w:color w:val="0070C0"/>
          <w:sz w:val="20"/>
          <w:szCs w:val="20"/>
          <w:lang w:val="en-US"/>
        </w:rPr>
        <w:t>4</w:t>
      </w:r>
      <w:r>
        <w:rPr>
          <w:rFonts w:eastAsia="Calibri"/>
          <w:bCs/>
          <w:color w:val="0070C0"/>
          <w:sz w:val="20"/>
          <w:szCs w:val="20"/>
          <w:lang w:val="en-US"/>
        </w:rPr>
        <w:t>.</w:t>
      </w:r>
      <w:r>
        <w:rPr>
          <w:rFonts w:eastAsia="Calibri"/>
          <w:b/>
          <w:color w:val="0070C0"/>
          <w:sz w:val="20"/>
          <w:szCs w:val="20"/>
          <w:lang w:val="en-US"/>
        </w:rPr>
        <w:t>CONCLUSION</w:t>
      </w:r>
    </w:p>
    <w:p w14:paraId="18FA0A79">
      <w:pPr>
        <w:tabs>
          <w:tab w:val="left" w:pos="709"/>
        </w:tabs>
        <w:jc w:val="left"/>
        <w:rPr>
          <w:color w:val="000000"/>
          <w:sz w:val="20"/>
          <w:szCs w:val="20"/>
        </w:rPr>
      </w:pPr>
    </w:p>
    <w:p w14:paraId="4B708EE3">
      <w:pPr>
        <w:tabs>
          <w:tab w:val="left" w:pos="709"/>
        </w:tabs>
        <w:jc w:val="left"/>
        <w:rPr>
          <w:sz w:val="20"/>
          <w:szCs w:val="20"/>
        </w:rPr>
      </w:pPr>
      <w:r>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r>
        <w:rPr>
          <w:sz w:val="20"/>
          <w:szCs w:val="20"/>
        </w:rPr>
        <w:t xml:space="preserve">. </w:t>
      </w:r>
    </w:p>
    <w:p w14:paraId="38266685">
      <w:pPr>
        <w:jc w:val="left"/>
        <w:rPr>
          <w:rFonts w:eastAsia="Calibri"/>
          <w:b/>
          <w:bCs/>
          <w:color w:val="0070C0"/>
          <w:sz w:val="20"/>
          <w:szCs w:val="20"/>
          <w:lang w:val="en-US"/>
        </w:rPr>
      </w:pPr>
    </w:p>
    <w:p w14:paraId="3437BDCE">
      <w:pPr>
        <w:jc w:val="left"/>
        <w:rPr>
          <w:rFonts w:eastAsia="Calibri"/>
          <w:b/>
          <w:bCs/>
          <w:color w:val="0070C0"/>
          <w:sz w:val="20"/>
          <w:szCs w:val="20"/>
          <w:lang w:val="en-US"/>
        </w:rPr>
      </w:pPr>
      <w:r>
        <w:rPr>
          <w:rFonts w:eastAsia="Calibri"/>
          <w:b/>
          <w:bCs/>
          <w:color w:val="0070C0"/>
          <w:sz w:val="20"/>
          <w:szCs w:val="20"/>
          <w:lang w:val="en-US"/>
        </w:rPr>
        <w:t>Acknowledgements</w:t>
      </w:r>
    </w:p>
    <w:p w14:paraId="7D60B3BE">
      <w:pPr>
        <w:jc w:val="left"/>
        <w:rPr>
          <w:rFonts w:eastAsia="Calibri"/>
          <w:b/>
          <w:bCs/>
          <w:color w:val="0070C0"/>
          <w:sz w:val="20"/>
          <w:szCs w:val="20"/>
          <w:lang w:val="en-US"/>
        </w:rPr>
      </w:pPr>
    </w:p>
    <w:p w14:paraId="1F3ACBD1">
      <w:pPr>
        <w:jc w:val="left"/>
        <w:rPr>
          <w:rFonts w:eastAsia="Calibri"/>
          <w:bCs/>
          <w:color w:val="000000" w:themeColor="text1"/>
          <w:sz w:val="20"/>
          <w:szCs w:val="20"/>
          <w:lang w:val="en-US"/>
          <w14:textFill>
            <w14:solidFill>
              <w14:schemeClr w14:val="tx1"/>
            </w14:solidFill>
          </w14:textFill>
        </w:rPr>
      </w:pPr>
      <w:r>
        <w:rPr>
          <w:rFonts w:eastAsia="Calibri"/>
          <w:bCs/>
          <w:color w:val="000000" w:themeColor="text1"/>
          <w:sz w:val="20"/>
          <w:szCs w:val="20"/>
          <w:lang w:val="en-US"/>
          <w14:textFill>
            <w14:solidFill>
              <w14:schemeClr w14:val="tx1"/>
            </w14:solidFill>
          </w14:textFill>
        </w:rPr>
        <w:t>The authors gratefully acknowledge Dr. Rohan Meshram from Savitribai Phule Pune University for his invaluable co-guidance and support throughout the study.</w:t>
      </w:r>
    </w:p>
    <w:p w14:paraId="7D8F277B">
      <w:pPr>
        <w:jc w:val="left"/>
        <w:rPr>
          <w:rFonts w:eastAsia="Calibri"/>
          <w:b/>
          <w:bCs/>
          <w:color w:val="0070C0"/>
          <w:sz w:val="20"/>
          <w:szCs w:val="20"/>
        </w:rPr>
      </w:pPr>
    </w:p>
    <w:p w14:paraId="2DA9D87C">
      <w:pPr>
        <w:jc w:val="left"/>
        <w:rPr>
          <w:rFonts w:eastAsia="Calibri"/>
          <w:b/>
          <w:bCs/>
          <w:color w:val="0070C0"/>
          <w:sz w:val="20"/>
          <w:szCs w:val="20"/>
          <w:lang w:val="en-US"/>
        </w:rPr>
      </w:pPr>
      <w:r>
        <w:rPr>
          <w:rFonts w:eastAsia="Calibri"/>
          <w:b/>
          <w:bCs/>
          <w:color w:val="0070C0"/>
          <w:sz w:val="20"/>
          <w:szCs w:val="20"/>
          <w:lang w:val="en-US"/>
        </w:rPr>
        <w:t>Conflict of Interest</w:t>
      </w:r>
    </w:p>
    <w:p w14:paraId="004E1248">
      <w:pPr>
        <w:jc w:val="left"/>
        <w:rPr>
          <w:rFonts w:eastAsia="Calibri"/>
          <w:b/>
          <w:bCs/>
          <w:color w:val="0070C0"/>
          <w:sz w:val="20"/>
          <w:szCs w:val="20"/>
          <w:lang w:val="en-US"/>
        </w:rPr>
      </w:pPr>
    </w:p>
    <w:p w14:paraId="18E1713F">
      <w:pPr>
        <w:jc w:val="left"/>
        <w:rPr>
          <w:rFonts w:eastAsia="Calibri"/>
          <w:sz w:val="20"/>
          <w:szCs w:val="20"/>
          <w:lang w:val="en-US"/>
        </w:rPr>
      </w:pPr>
      <w:r>
        <w:rPr>
          <w:rFonts w:eastAsia="Calibri"/>
          <w:sz w:val="20"/>
          <w:szCs w:val="20"/>
          <w:lang w:val="en-US"/>
        </w:rPr>
        <w:t>The authors declare that they have no conflicts of interest.</w:t>
      </w:r>
    </w:p>
    <w:p w14:paraId="6C9D82F3">
      <w:pPr>
        <w:jc w:val="left"/>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pPr>
    </w:p>
    <w:p w14:paraId="7F76766F">
      <w:pPr>
        <w:jc w:val="left"/>
        <w:rPr>
          <w:rFonts w:hint="default" w:ascii="Times New Roman" w:hAnsi="Times New Roman" w:eastAsia="Calibri" w:cs="Times New Roman"/>
          <w:b w:val="0"/>
          <w:bCs/>
          <w:color w:val="auto"/>
          <w:sz w:val="20"/>
          <w:szCs w:val="20"/>
          <w:lang w:val="en-US"/>
        </w:rPr>
      </w:pPr>
      <w:r>
        <w:rPr>
          <w:rFonts w:hint="default" w:ascii="Times New Roman" w:hAnsi="Times New Roman" w:eastAsia="Calibri" w:cs="Times New Roman"/>
          <w:b/>
          <w:bCs w:val="0"/>
          <w:color w:val="5B9BD5" w:themeColor="accent5"/>
          <w:sz w:val="20"/>
          <w:szCs w:val="20"/>
          <w:lang w:val="en-US"/>
          <w14:textFill>
            <w14:solidFill>
              <w14:schemeClr w14:val="accent5"/>
            </w14:solidFill>
          </w14:textFill>
        </w:rPr>
        <w:t>Table 1.</w:t>
      </w:r>
      <w:r>
        <w:rPr>
          <w:rFonts w:hint="default" w:ascii="Times New Roman" w:hAnsi="Times New Roman" w:eastAsia="Calibri" w:cs="Times New Roman"/>
          <w:b w:val="0"/>
          <w:bCs/>
          <w:color w:val="auto"/>
          <w:sz w:val="20"/>
          <w:szCs w:val="20"/>
          <w:lang w:val="en-US"/>
        </w:rPr>
        <w:t xml:space="preserve"> </w:t>
      </w:r>
      <w:r>
        <w:rPr>
          <w:rFonts w:hint="default" w:ascii="Times New Roman" w:hAnsi="Times New Roman" w:eastAsia="Segoe UI" w:cs="Times New Roman"/>
          <w:b w:val="0"/>
          <w:bCs/>
          <w:i w:val="0"/>
          <w:iCs w:val="0"/>
          <w:caps w:val="0"/>
          <w:color w:val="auto"/>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1623773C">
      <w:pPr>
        <w:jc w:val="left"/>
        <w:rPr>
          <w:rFonts w:eastAsia="Calibri"/>
          <w:sz w:val="20"/>
          <w:szCs w:val="20"/>
          <w:lang w:val="en-US"/>
        </w:rPr>
      </w:pPr>
    </w:p>
    <w:p w14:paraId="0D29CE54">
      <w:pPr>
        <w:jc w:val="left"/>
        <w:rPr>
          <w:rFonts w:hint="default" w:ascii="Times New Roman" w:hAnsi="Times New Roman" w:eastAsia="Calibri" w:cs="Times New Roman"/>
          <w:b/>
          <w:color w:val="0070C0"/>
          <w:sz w:val="20"/>
          <w:szCs w:val="20"/>
          <w:lang w:val="en-US"/>
        </w:rPr>
      </w:pPr>
      <w:r>
        <w:rPr>
          <w:rFonts w:hint="default" w:ascii="Times New Roman" w:hAnsi="Times New Roman" w:eastAsia="Segoe UI" w:cs="Times New Roman"/>
          <w:b/>
          <w:bCs/>
          <w:i w:val="0"/>
          <w:iCs w:val="0"/>
          <w:caps w:val="0"/>
          <w:color w:val="5B9BD5" w:themeColor="accent5"/>
          <w:spacing w:val="1"/>
          <w:sz w:val="20"/>
          <w:szCs w:val="20"/>
          <w14:textFill>
            <w14:solidFill>
              <w14:schemeClr w14:val="accent5"/>
            </w14:solidFill>
          </w14:textFill>
        </w:rPr>
        <w:t xml:space="preserve">Figure </w:t>
      </w:r>
      <w:r>
        <w:rPr>
          <w:rFonts w:hint="default" w:eastAsia="Segoe UI" w:cs="Times New Roman"/>
          <w:b/>
          <w:bCs/>
          <w:i w:val="0"/>
          <w:iCs w:val="0"/>
          <w:caps w:val="0"/>
          <w:color w:val="5B9BD5" w:themeColor="accent5"/>
          <w:spacing w:val="1"/>
          <w:sz w:val="20"/>
          <w:szCs w:val="20"/>
          <w:lang w:val="en-US"/>
          <w14:textFill>
            <w14:solidFill>
              <w14:schemeClr w14:val="accent5"/>
            </w14:solidFill>
          </w14:textFill>
        </w:rPr>
        <w:t>1</w:t>
      </w:r>
      <w:r>
        <w:rPr>
          <w:rFonts w:hint="default" w:ascii="Times New Roman" w:hAnsi="Times New Roman" w:eastAsia="Segoe UI" w:cs="Times New Roman"/>
          <w:i w:val="0"/>
          <w:iCs w:val="0"/>
          <w:caps w:val="0"/>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7C93315B">
      <w:pPr>
        <w:jc w:val="left"/>
        <w:rPr>
          <w:rFonts w:eastAsia="Calibri"/>
          <w:sz w:val="20"/>
          <w:szCs w:val="20"/>
          <w:lang w:val="en-US"/>
        </w:rPr>
      </w:pPr>
    </w:p>
    <w:p w14:paraId="0C35EE8D">
      <w:pPr>
        <w:bidi w:val="0"/>
        <w:rPr>
          <w:rFonts w:hint="default"/>
          <w:sz w:val="20"/>
          <w:szCs w:val="20"/>
        </w:rPr>
      </w:pPr>
      <w:r>
        <w:rPr>
          <w:rFonts w:hint="default"/>
          <w:b/>
          <w:bCs/>
          <w:color w:val="5B9BD5" w:themeColor="accent5"/>
          <w:sz w:val="20"/>
          <w:szCs w:val="20"/>
          <w14:textFill>
            <w14:solidFill>
              <w14:schemeClr w14:val="accent5"/>
            </w14:solidFill>
          </w14:textFill>
        </w:rPr>
        <w:t>Figure 2</w:t>
      </w:r>
      <w:r>
        <w:rPr>
          <w:rFonts w:hint="default"/>
          <w:sz w:val="20"/>
          <w:szCs w:val="20"/>
        </w:rPr>
        <w:t>. Comparative 2D representations of protein-ligand interactions for docked complexes, generated using LigPlot+.</w:t>
      </w:r>
    </w:p>
    <w:p w14:paraId="7DD2F393">
      <w:pPr>
        <w:jc w:val="left"/>
        <w:rPr>
          <w:rFonts w:eastAsia="Calibri"/>
          <w:b/>
          <w:color w:val="0070C0"/>
          <w:sz w:val="20"/>
          <w:szCs w:val="20"/>
          <w:lang w:val="en-US"/>
        </w:rPr>
      </w:pPr>
    </w:p>
    <w:p w14:paraId="04B77FF5">
      <w:pPr>
        <w:jc w:val="left"/>
        <w:rPr>
          <w:rFonts w:eastAsia="Calibri"/>
          <w:b/>
          <w:color w:val="0070C0"/>
          <w:sz w:val="20"/>
          <w:szCs w:val="20"/>
          <w:lang w:val="en-US"/>
        </w:rPr>
      </w:pPr>
      <w:r>
        <w:rPr>
          <w:rFonts w:eastAsia="Calibri"/>
          <w:b/>
          <w:color w:val="0070C0"/>
          <w:sz w:val="20"/>
          <w:szCs w:val="20"/>
          <w:lang w:val="en-US"/>
        </w:rPr>
        <w:t xml:space="preserve">REFERENCES </w:t>
      </w:r>
    </w:p>
    <w:p w14:paraId="62AFF75E">
      <w:pPr>
        <w:jc w:val="left"/>
        <w:rPr>
          <w:sz w:val="20"/>
        </w:rPr>
      </w:pPr>
    </w:p>
    <w:p w14:paraId="163B2BCA">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Ahmad Najem, M., Krayem, M., Perdrix, A., Kerger, J., Awada, A., Journe, F., &amp; Ghanem, G., 2017. New drug combination strategies in melanoma: Current status and future directions. Anticancer Research, 37, 5941–5953. </w:t>
      </w:r>
      <w:r>
        <w:rPr>
          <w:rFonts w:hint="default"/>
          <w:sz w:val="20"/>
          <w:szCs w:val="20"/>
          <w:lang w:val="en-US"/>
        </w:rPr>
        <w:fldChar w:fldCharType="begin"/>
      </w:r>
      <w:r>
        <w:rPr>
          <w:rFonts w:hint="default"/>
          <w:sz w:val="20"/>
          <w:szCs w:val="20"/>
          <w:lang w:val="en-US"/>
        </w:rPr>
        <w:instrText xml:space="preserve"> HYPERLINK "https://doi.org/10.21873/anticanres.12041" </w:instrText>
      </w:r>
      <w:r>
        <w:rPr>
          <w:rFonts w:hint="default"/>
          <w:sz w:val="20"/>
          <w:szCs w:val="20"/>
          <w:lang w:val="en-US"/>
        </w:rPr>
        <w:fldChar w:fldCharType="separate"/>
      </w:r>
      <w:r>
        <w:rPr>
          <w:rStyle w:val="18"/>
          <w:rFonts w:hint="default"/>
          <w:sz w:val="20"/>
          <w:szCs w:val="20"/>
          <w:lang w:val="en-US"/>
        </w:rPr>
        <w:t>https://doi.org/10.21873/anticanres.12041</w:t>
      </w:r>
      <w:r>
        <w:rPr>
          <w:rFonts w:hint="default"/>
          <w:sz w:val="20"/>
          <w:szCs w:val="20"/>
          <w:lang w:val="en-US"/>
        </w:rPr>
        <w:fldChar w:fldCharType="end"/>
      </w:r>
      <w:r>
        <w:rPr>
          <w:rFonts w:hint="default"/>
          <w:sz w:val="20"/>
          <w:szCs w:val="20"/>
          <w:lang w:val="en-US"/>
        </w:rPr>
        <w:t xml:space="preserve"> </w:t>
      </w:r>
    </w:p>
    <w:p w14:paraId="4F56B658">
      <w:pPr>
        <w:bidi w:val="0"/>
        <w:jc w:val="left"/>
        <w:rPr>
          <w:rFonts w:hint="default"/>
          <w:sz w:val="20"/>
          <w:szCs w:val="20"/>
          <w:lang w:val="en-US"/>
        </w:rPr>
      </w:pPr>
    </w:p>
    <w:p w14:paraId="0395A952">
      <w:pPr>
        <w:numPr>
          <w:ilvl w:val="0"/>
          <w:numId w:val="3"/>
        </w:numPr>
        <w:bidi w:val="0"/>
        <w:ind w:left="425" w:leftChars="0" w:hanging="425" w:firstLineChars="0"/>
        <w:jc w:val="left"/>
        <w:rPr>
          <w:rFonts w:hint="default"/>
          <w:sz w:val="20"/>
          <w:szCs w:val="20"/>
          <w:lang w:val="en-US"/>
        </w:rPr>
      </w:pPr>
      <w:r>
        <w:rPr>
          <w:rFonts w:hint="default"/>
          <w:sz w:val="20"/>
          <w:szCs w:val="20"/>
          <w:lang w:val="en-US"/>
        </w:rPr>
        <w:t>Cancer.Net Editorial Board, 2025. Melanoma: Statistics. American Society of Clinical Oncology. https://www.cancer.net/cancer-types/melanoma/statistics (accessed 21 September 2025).</w:t>
      </w:r>
    </w:p>
    <w:p w14:paraId="255710F9">
      <w:pPr>
        <w:bidi w:val="0"/>
        <w:jc w:val="left"/>
        <w:rPr>
          <w:rFonts w:hint="default"/>
          <w:sz w:val="20"/>
          <w:szCs w:val="20"/>
          <w:lang w:val="en-US"/>
        </w:rPr>
      </w:pPr>
    </w:p>
    <w:p w14:paraId="7A8F8BBA">
      <w:pPr>
        <w:numPr>
          <w:ilvl w:val="0"/>
          <w:numId w:val="3"/>
        </w:numPr>
        <w:bidi w:val="0"/>
        <w:ind w:left="425" w:leftChars="0" w:hanging="425" w:firstLineChars="0"/>
        <w:jc w:val="left"/>
        <w:rPr>
          <w:rFonts w:hint="default"/>
          <w:sz w:val="20"/>
          <w:szCs w:val="20"/>
          <w:lang w:val="en-US"/>
        </w:rPr>
      </w:pPr>
      <w:r>
        <w:rPr>
          <w:rFonts w:hint="default"/>
          <w:sz w:val="20"/>
          <w:szCs w:val="20"/>
          <w:lang w:val="en-US"/>
        </w:rPr>
        <w:t>Cancer.Net Editorial Board, 2025. Melanoma: Stages. American Society of Clinical Oncology. https://www.cancer.net/cancer-types/melanoma/stages (accessed 21 September 2025).</w:t>
      </w:r>
    </w:p>
    <w:p w14:paraId="1381FCE5">
      <w:pPr>
        <w:bidi w:val="0"/>
        <w:jc w:val="left"/>
        <w:rPr>
          <w:rFonts w:hint="default"/>
          <w:sz w:val="20"/>
          <w:szCs w:val="20"/>
          <w:lang w:val="en-US"/>
        </w:rPr>
      </w:pPr>
    </w:p>
    <w:p w14:paraId="74527498">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Davis, L. E., Shalin, S. C., &amp; Tackett, A. J., 2019. Current state of melanoma diagnosis and treatment. Cancer Biology &amp; Therapy, 20(11), 1366–1379. </w:t>
      </w:r>
      <w:r>
        <w:rPr>
          <w:rFonts w:hint="default"/>
          <w:sz w:val="20"/>
          <w:szCs w:val="20"/>
          <w:lang w:val="en-US"/>
        </w:rPr>
        <w:fldChar w:fldCharType="begin"/>
      </w:r>
      <w:r>
        <w:rPr>
          <w:rFonts w:hint="default"/>
          <w:sz w:val="20"/>
          <w:szCs w:val="20"/>
          <w:lang w:val="en-US"/>
        </w:rPr>
        <w:instrText xml:space="preserve"> HYPERLINK "https://doi.org/10.1080/15384047.2019.1640032" </w:instrText>
      </w:r>
      <w:r>
        <w:rPr>
          <w:rFonts w:hint="default"/>
          <w:sz w:val="20"/>
          <w:szCs w:val="20"/>
          <w:lang w:val="en-US"/>
        </w:rPr>
        <w:fldChar w:fldCharType="separate"/>
      </w:r>
      <w:r>
        <w:rPr>
          <w:rStyle w:val="18"/>
          <w:rFonts w:hint="default"/>
          <w:sz w:val="20"/>
          <w:szCs w:val="20"/>
          <w:lang w:val="en-US"/>
        </w:rPr>
        <w:t>https://doi.org/10.1080/15384047.2019.1640032</w:t>
      </w:r>
      <w:r>
        <w:rPr>
          <w:rFonts w:hint="default"/>
          <w:sz w:val="20"/>
          <w:szCs w:val="20"/>
          <w:lang w:val="en-US"/>
        </w:rPr>
        <w:fldChar w:fldCharType="end"/>
      </w:r>
      <w:r>
        <w:rPr>
          <w:rFonts w:hint="default"/>
          <w:sz w:val="20"/>
          <w:szCs w:val="20"/>
          <w:lang w:val="en-US"/>
        </w:rPr>
        <w:t xml:space="preserve"> </w:t>
      </w:r>
    </w:p>
    <w:p w14:paraId="6691E1EE">
      <w:pPr>
        <w:bidi w:val="0"/>
        <w:jc w:val="left"/>
        <w:rPr>
          <w:rFonts w:hint="default"/>
          <w:sz w:val="20"/>
          <w:szCs w:val="20"/>
          <w:lang w:val="en-US"/>
        </w:rPr>
      </w:pPr>
    </w:p>
    <w:p w14:paraId="64FFF4B4">
      <w:pPr>
        <w:numPr>
          <w:ilvl w:val="0"/>
          <w:numId w:val="3"/>
        </w:numPr>
        <w:bidi w:val="0"/>
        <w:ind w:left="425" w:leftChars="0" w:hanging="425" w:firstLineChars="0"/>
        <w:jc w:val="left"/>
        <w:rPr>
          <w:rFonts w:hint="default"/>
          <w:sz w:val="20"/>
          <w:szCs w:val="20"/>
          <w:lang w:val="en-US"/>
        </w:rPr>
      </w:pPr>
      <w:r>
        <w:rPr>
          <w:rFonts w:hint="default"/>
          <w:sz w:val="20"/>
          <w:szCs w:val="20"/>
          <w:lang w:val="en-US"/>
        </w:rPr>
        <w:t>FAF-Drugs4, 2025. ADME/Tox filtering. Université Paris-Diderot. http://fafdrugs4.mti.univ-paris-diderot.fr/ (accessed 21 September 2025).</w:t>
      </w:r>
    </w:p>
    <w:p w14:paraId="6D4A4777">
      <w:pPr>
        <w:bidi w:val="0"/>
        <w:jc w:val="left"/>
        <w:rPr>
          <w:rFonts w:hint="default"/>
          <w:sz w:val="20"/>
          <w:szCs w:val="20"/>
          <w:lang w:val="en-US"/>
        </w:rPr>
      </w:pPr>
    </w:p>
    <w:p w14:paraId="73A0CD36">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Johnson, C. W., Reid, D., Parker, J. A., et al., 2017. The small GTPases K-Ras, N-Ras, and H-Ras have distinct biochemical properties determined by allosteric effects. Journal of Biological Chemistry, 292(31), 12981–12993. </w:t>
      </w:r>
      <w:r>
        <w:rPr>
          <w:rFonts w:hint="default"/>
          <w:sz w:val="20"/>
          <w:szCs w:val="20"/>
          <w:lang w:val="en-US"/>
        </w:rPr>
        <w:fldChar w:fldCharType="begin"/>
      </w:r>
      <w:r>
        <w:rPr>
          <w:rFonts w:hint="default"/>
          <w:sz w:val="20"/>
          <w:szCs w:val="20"/>
          <w:lang w:val="en-US"/>
        </w:rPr>
        <w:instrText xml:space="preserve"> HYPERLINK "https://doi.org/10.1074/jbc.M117.778886" </w:instrText>
      </w:r>
      <w:r>
        <w:rPr>
          <w:rFonts w:hint="default"/>
          <w:sz w:val="20"/>
          <w:szCs w:val="20"/>
          <w:lang w:val="en-US"/>
        </w:rPr>
        <w:fldChar w:fldCharType="separate"/>
      </w:r>
      <w:r>
        <w:rPr>
          <w:rStyle w:val="18"/>
          <w:rFonts w:hint="default"/>
          <w:sz w:val="20"/>
          <w:szCs w:val="20"/>
          <w:lang w:val="en-US"/>
        </w:rPr>
        <w:t>https://doi.org/10.1074/jbc.M117.778886</w:t>
      </w:r>
      <w:r>
        <w:rPr>
          <w:rFonts w:hint="default"/>
          <w:sz w:val="20"/>
          <w:szCs w:val="20"/>
          <w:lang w:val="en-US"/>
        </w:rPr>
        <w:fldChar w:fldCharType="end"/>
      </w:r>
      <w:r>
        <w:rPr>
          <w:rFonts w:hint="default"/>
          <w:sz w:val="20"/>
          <w:szCs w:val="20"/>
          <w:lang w:val="en-US"/>
        </w:rPr>
        <w:t xml:space="preserve"> </w:t>
      </w:r>
    </w:p>
    <w:p w14:paraId="451A37B6">
      <w:pPr>
        <w:bidi w:val="0"/>
        <w:jc w:val="left"/>
        <w:rPr>
          <w:rFonts w:hint="default"/>
          <w:sz w:val="20"/>
          <w:szCs w:val="20"/>
          <w:lang w:val="en-US"/>
        </w:rPr>
      </w:pPr>
    </w:p>
    <w:p w14:paraId="752F1AD1">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Johnson, D. B., &amp; Puzanov, I., 2015. Treatment of NRAS-mutant melanoma. Current Treatment Options in Oncology, 16(4), 15. </w:t>
      </w:r>
      <w:r>
        <w:rPr>
          <w:rFonts w:hint="default"/>
          <w:sz w:val="20"/>
          <w:szCs w:val="20"/>
          <w:lang w:val="en-US"/>
        </w:rPr>
        <w:fldChar w:fldCharType="begin"/>
      </w:r>
      <w:r>
        <w:rPr>
          <w:rFonts w:hint="default"/>
          <w:sz w:val="20"/>
          <w:szCs w:val="20"/>
          <w:lang w:val="en-US"/>
        </w:rPr>
        <w:instrText xml:space="preserve"> HYPERLINK "https://doi.org/10.1007/s11864-015-0330-z" </w:instrText>
      </w:r>
      <w:r>
        <w:rPr>
          <w:rFonts w:hint="default"/>
          <w:sz w:val="20"/>
          <w:szCs w:val="20"/>
          <w:lang w:val="en-US"/>
        </w:rPr>
        <w:fldChar w:fldCharType="separate"/>
      </w:r>
      <w:r>
        <w:rPr>
          <w:rStyle w:val="18"/>
          <w:rFonts w:hint="default"/>
          <w:sz w:val="20"/>
          <w:szCs w:val="20"/>
          <w:lang w:val="en-US"/>
        </w:rPr>
        <w:t>https://doi.org/10.1007/s11864-015-0330-z</w:t>
      </w:r>
      <w:r>
        <w:rPr>
          <w:rFonts w:hint="default"/>
          <w:sz w:val="20"/>
          <w:szCs w:val="20"/>
          <w:lang w:val="en-US"/>
        </w:rPr>
        <w:fldChar w:fldCharType="end"/>
      </w:r>
      <w:r>
        <w:rPr>
          <w:rFonts w:hint="default"/>
          <w:sz w:val="20"/>
          <w:szCs w:val="20"/>
          <w:lang w:val="en-US"/>
        </w:rPr>
        <w:t xml:space="preserve"> </w:t>
      </w:r>
    </w:p>
    <w:p w14:paraId="3CD0C947">
      <w:pPr>
        <w:bidi w:val="0"/>
        <w:jc w:val="left"/>
        <w:rPr>
          <w:rFonts w:hint="default"/>
          <w:sz w:val="20"/>
          <w:szCs w:val="20"/>
          <w:lang w:val="en-US"/>
        </w:rPr>
      </w:pPr>
    </w:p>
    <w:p w14:paraId="5B1ED7A9">
      <w:pPr>
        <w:numPr>
          <w:ilvl w:val="0"/>
          <w:numId w:val="3"/>
        </w:numPr>
        <w:bidi w:val="0"/>
        <w:ind w:left="425" w:leftChars="0" w:hanging="425" w:firstLineChars="0"/>
        <w:jc w:val="left"/>
        <w:rPr>
          <w:rFonts w:hint="default"/>
          <w:sz w:val="20"/>
          <w:szCs w:val="20"/>
          <w:lang w:val="en-US"/>
        </w:rPr>
      </w:pPr>
      <w:r>
        <w:rPr>
          <w:rFonts w:hint="default"/>
          <w:sz w:val="20"/>
          <w:szCs w:val="20"/>
          <w:lang w:val="en-US"/>
        </w:rPr>
        <w:t>LigPlus, 2025. Automatic generation of ligand–protein interaction diagrams. European Bioinformatics Institute. https://www.ebi.ac.uk/thornton-srv/software/LigPlus/ (accessed 21 September 2025).</w:t>
      </w:r>
    </w:p>
    <w:p w14:paraId="60621B42">
      <w:pPr>
        <w:bidi w:val="0"/>
        <w:jc w:val="left"/>
        <w:rPr>
          <w:rFonts w:hint="default"/>
          <w:sz w:val="20"/>
          <w:szCs w:val="20"/>
          <w:lang w:val="en-US"/>
        </w:rPr>
      </w:pPr>
    </w:p>
    <w:p w14:paraId="54E46BD9">
      <w:pPr>
        <w:numPr>
          <w:ilvl w:val="0"/>
          <w:numId w:val="3"/>
        </w:numPr>
        <w:bidi w:val="0"/>
        <w:ind w:left="425" w:leftChars="0" w:hanging="425" w:firstLineChars="0"/>
        <w:jc w:val="left"/>
        <w:rPr>
          <w:rFonts w:hint="default"/>
          <w:sz w:val="20"/>
          <w:szCs w:val="20"/>
          <w:lang w:val="en-US"/>
        </w:rPr>
      </w:pPr>
      <w:r>
        <w:rPr>
          <w:rFonts w:hint="default"/>
          <w:sz w:val="20"/>
          <w:szCs w:val="20"/>
          <w:lang w:val="en-US"/>
        </w:rPr>
        <w:t>National Cancer Institute, 2025. The Cancer Genome Atlas (TCGA) – Melanoma skin cancer. https://www.cancer.gov/about-nci/organization/ccg/research/structural-genomics/tcga/studied-cancers/melanoma-skin (accessed 21 September 2025).</w:t>
      </w:r>
    </w:p>
    <w:p w14:paraId="2969086B">
      <w:pPr>
        <w:bidi w:val="0"/>
        <w:jc w:val="left"/>
        <w:rPr>
          <w:rFonts w:hint="default"/>
          <w:sz w:val="20"/>
          <w:szCs w:val="20"/>
          <w:lang w:val="en-US"/>
        </w:rPr>
      </w:pPr>
    </w:p>
    <w:p w14:paraId="5A8FF41B">
      <w:pPr>
        <w:numPr>
          <w:ilvl w:val="0"/>
          <w:numId w:val="3"/>
        </w:numPr>
        <w:bidi w:val="0"/>
        <w:ind w:left="425" w:leftChars="0" w:hanging="425" w:firstLineChars="0"/>
        <w:jc w:val="left"/>
        <w:rPr>
          <w:rFonts w:hint="default"/>
          <w:sz w:val="20"/>
          <w:szCs w:val="20"/>
          <w:lang w:val="en-US"/>
        </w:rPr>
      </w:pPr>
      <w:r>
        <w:rPr>
          <w:rFonts w:hint="default"/>
          <w:sz w:val="20"/>
          <w:szCs w:val="20"/>
          <w:lang w:val="en-US"/>
        </w:rPr>
        <w:t>PROCHECK, 2025. Stereochemical quality assessment of protein structures. European Bioinformatics Institute. https://www.ebi.ac.uk/thornton-srv/software/PROCHECK/ (accessed 21 September 2025).</w:t>
      </w:r>
    </w:p>
    <w:p w14:paraId="33755500">
      <w:pPr>
        <w:bidi w:val="0"/>
        <w:jc w:val="left"/>
        <w:rPr>
          <w:rFonts w:hint="default"/>
          <w:sz w:val="20"/>
          <w:szCs w:val="20"/>
          <w:lang w:val="en-US"/>
        </w:rPr>
      </w:pPr>
    </w:p>
    <w:p w14:paraId="429AB687">
      <w:pPr>
        <w:numPr>
          <w:ilvl w:val="0"/>
          <w:numId w:val="3"/>
        </w:numPr>
        <w:bidi w:val="0"/>
        <w:ind w:left="425" w:leftChars="0" w:hanging="425" w:firstLineChars="0"/>
        <w:jc w:val="left"/>
        <w:rPr>
          <w:rFonts w:hint="default"/>
          <w:sz w:val="20"/>
          <w:szCs w:val="20"/>
          <w:lang w:val="en-US"/>
        </w:rPr>
      </w:pPr>
      <w:r>
        <w:rPr>
          <w:rFonts w:hint="default"/>
          <w:sz w:val="20"/>
          <w:szCs w:val="20"/>
          <w:lang w:val="en-US"/>
        </w:rPr>
        <w:t>ProSA, 2025. Protein structure analysis. https://prosa.services.came.sbg.ac.at/prosa.php (accessed 21 September 2025).</w:t>
      </w:r>
    </w:p>
    <w:p w14:paraId="11482FE5">
      <w:pPr>
        <w:bidi w:val="0"/>
        <w:jc w:val="left"/>
        <w:rPr>
          <w:rFonts w:hint="default"/>
          <w:sz w:val="20"/>
          <w:szCs w:val="20"/>
          <w:lang w:val="en-US"/>
        </w:rPr>
      </w:pPr>
    </w:p>
    <w:p w14:paraId="2708606B">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Wellbrock, C., &amp; Arozarena, I., 2016. The complexity of the ERK/MAP-kinase pathway and the treatment of melanoma skin cancer. Frontiers in Cell and Developmental Biology, 4, 33. </w:t>
      </w:r>
      <w:r>
        <w:rPr>
          <w:rFonts w:hint="default"/>
          <w:sz w:val="20"/>
          <w:szCs w:val="20"/>
          <w:lang w:val="en-US"/>
        </w:rPr>
        <w:fldChar w:fldCharType="begin"/>
      </w:r>
      <w:r>
        <w:rPr>
          <w:rFonts w:hint="default"/>
          <w:sz w:val="20"/>
          <w:szCs w:val="20"/>
          <w:lang w:val="en-US"/>
        </w:rPr>
        <w:instrText xml:space="preserve"> HYPERLINK "https://doi.org/10.3389/fcell.2016.00033" </w:instrText>
      </w:r>
      <w:r>
        <w:rPr>
          <w:rFonts w:hint="default"/>
          <w:sz w:val="20"/>
          <w:szCs w:val="20"/>
          <w:lang w:val="en-US"/>
        </w:rPr>
        <w:fldChar w:fldCharType="separate"/>
      </w:r>
      <w:r>
        <w:rPr>
          <w:rStyle w:val="18"/>
          <w:rFonts w:hint="default"/>
          <w:sz w:val="20"/>
          <w:szCs w:val="20"/>
          <w:lang w:val="en-US"/>
        </w:rPr>
        <w:t>https://doi.org/10.3389/fcell.2016.00033</w:t>
      </w:r>
      <w:r>
        <w:rPr>
          <w:rFonts w:hint="default"/>
          <w:sz w:val="20"/>
          <w:szCs w:val="20"/>
          <w:lang w:val="en-US"/>
        </w:rPr>
        <w:fldChar w:fldCharType="end"/>
      </w:r>
      <w:r>
        <w:rPr>
          <w:rFonts w:hint="default"/>
          <w:sz w:val="20"/>
          <w:szCs w:val="20"/>
          <w:lang w:val="en-US"/>
        </w:rPr>
        <w:t xml:space="preserve"> </w:t>
      </w:r>
    </w:p>
    <w:p w14:paraId="0BC64010">
      <w:pPr>
        <w:bidi w:val="0"/>
        <w:jc w:val="left"/>
        <w:rPr>
          <w:rFonts w:hint="default"/>
          <w:sz w:val="20"/>
          <w:szCs w:val="20"/>
          <w:lang w:val="en-US"/>
        </w:rPr>
      </w:pPr>
    </w:p>
    <w:p w14:paraId="2F5E86DD">
      <w:pPr>
        <w:numPr>
          <w:ilvl w:val="0"/>
          <w:numId w:val="3"/>
        </w:numPr>
        <w:bidi w:val="0"/>
        <w:ind w:left="425" w:leftChars="0" w:hanging="425" w:firstLineChars="0"/>
        <w:jc w:val="left"/>
        <w:rPr>
          <w:rFonts w:hint="default"/>
          <w:sz w:val="20"/>
          <w:szCs w:val="20"/>
          <w:lang w:val="en-US"/>
        </w:rPr>
      </w:pPr>
      <w:r>
        <w:rPr>
          <w:rFonts w:hint="default"/>
          <w:sz w:val="20"/>
          <w:szCs w:val="20"/>
          <w:lang w:val="en-US"/>
        </w:rPr>
        <w:t>ZINC Database, 2025. Ligand discovery and virtual screening. https://zinc.docking.org/ (accessed 21 September 2025).</w:t>
      </w:r>
    </w:p>
    <w:p w14:paraId="1A7948BD">
      <w:pPr>
        <w:bidi w:val="0"/>
        <w:jc w:val="left"/>
        <w:rPr>
          <w:rFonts w:hint="default"/>
          <w:sz w:val="20"/>
          <w:szCs w:val="20"/>
          <w:lang w:val="en-US"/>
        </w:rPr>
      </w:pPr>
    </w:p>
    <w:p w14:paraId="4BC03100">
      <w:pPr>
        <w:numPr>
          <w:ilvl w:val="0"/>
          <w:numId w:val="3"/>
        </w:numPr>
        <w:bidi w:val="0"/>
        <w:ind w:left="425" w:leftChars="0" w:hanging="425" w:firstLineChars="0"/>
        <w:jc w:val="left"/>
        <w:rPr>
          <w:rFonts w:hint="default"/>
          <w:sz w:val="20"/>
          <w:szCs w:val="20"/>
          <w:lang w:val="en-US"/>
        </w:rPr>
      </w:pPr>
      <w:r>
        <w:rPr>
          <w:rFonts w:hint="default"/>
          <w:sz w:val="20"/>
          <w:szCs w:val="20"/>
          <w:lang w:val="en-US"/>
        </w:rPr>
        <w:t xml:space="preserve">Kanehisa, M., &amp; Goto, S. (2000). KEGG: Kyoto Encyclopedia of Genes and Genomes. Nucleic Acids Research, 28(1), 27–30. </w:t>
      </w:r>
      <w:r>
        <w:rPr>
          <w:rFonts w:hint="default"/>
          <w:sz w:val="20"/>
          <w:szCs w:val="20"/>
          <w:lang w:val="en-US"/>
        </w:rPr>
        <w:fldChar w:fldCharType="begin"/>
      </w:r>
      <w:r>
        <w:rPr>
          <w:rFonts w:hint="default"/>
          <w:sz w:val="20"/>
          <w:szCs w:val="20"/>
          <w:lang w:val="en-US"/>
        </w:rPr>
        <w:instrText xml:space="preserve"> HYPERLINK "https://doi.org/10.1093/nar/28.1.27" </w:instrText>
      </w:r>
      <w:r>
        <w:rPr>
          <w:rFonts w:hint="default"/>
          <w:sz w:val="20"/>
          <w:szCs w:val="20"/>
          <w:lang w:val="en-US"/>
        </w:rPr>
        <w:fldChar w:fldCharType="separate"/>
      </w:r>
      <w:r>
        <w:rPr>
          <w:rStyle w:val="18"/>
          <w:rFonts w:hint="default"/>
          <w:sz w:val="20"/>
          <w:szCs w:val="20"/>
          <w:lang w:val="en-US"/>
        </w:rPr>
        <w:t>https://doi.org/10.1093/nar/28.1.27</w:t>
      </w:r>
      <w:r>
        <w:rPr>
          <w:rFonts w:hint="default"/>
          <w:sz w:val="20"/>
          <w:szCs w:val="20"/>
          <w:lang w:val="en-US"/>
        </w:rPr>
        <w:fldChar w:fldCharType="end"/>
      </w:r>
      <w:r>
        <w:rPr>
          <w:rFonts w:hint="default"/>
          <w:sz w:val="20"/>
          <w:szCs w:val="20"/>
          <w:lang w:val="en-US"/>
        </w:rPr>
        <w:t xml:space="preserve"> </w:t>
      </w:r>
    </w:p>
    <w:p w14:paraId="58689EEE">
      <w:pPr>
        <w:jc w:val="left"/>
        <w:rPr>
          <w:color w:val="000000" w:themeColor="text1"/>
          <w:sz w:val="20"/>
          <w:szCs w:val="20"/>
          <w:lang w:val="en-US"/>
          <w14:textFill>
            <w14:solidFill>
              <w14:schemeClr w14:val="tx1"/>
            </w14:solidFill>
          </w14:textFill>
        </w:rPr>
      </w:pPr>
    </w:p>
    <w:p w14:paraId="40A5F7B6">
      <w:pPr>
        <w:jc w:val="left"/>
        <w:rPr>
          <w:b/>
          <w:color w:val="000000" w:themeColor="text1"/>
          <w:sz w:val="20"/>
          <w:szCs w:val="20"/>
          <w:lang w:val="en-US"/>
          <w14:textFill>
            <w14:solidFill>
              <w14:schemeClr w14:val="tx1"/>
            </w14:solidFill>
          </w14:textFill>
        </w:rPr>
      </w:pPr>
    </w:p>
    <w:p w14:paraId="18937F7D">
      <w:pPr>
        <w:jc w:val="left"/>
        <w:rPr>
          <w:sz w:val="20"/>
          <w:szCs w:val="20"/>
          <w:lang w:val="en-US"/>
        </w:rPr>
      </w:pPr>
    </w:p>
    <w:sectPr>
      <w:type w:val="continuous"/>
      <w:pgSz w:w="11907" w:h="16839"/>
      <w:pgMar w:top="1701" w:right="1134" w:bottom="1418" w:left="1134" w:header="709" w:footer="709" w:gutter="0"/>
      <w:pgNumType w:start="211"/>
      <w:cols w:space="567"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1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26587">
    <w:pPr>
      <w:pStyle w:val="16"/>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9ED2E">
    <w:pPr>
      <w:pStyle w:val="17"/>
      <w:tabs>
        <w:tab w:val="right" w:pos="9639"/>
        <w:tab w:val="clear" w:pos="9072"/>
      </w:tabs>
      <w:rPr>
        <w:i/>
        <w:sz w:val="16"/>
        <w:szCs w:val="16"/>
      </w:rPr>
    </w:pPr>
  </w:p>
  <w:p w14:paraId="3BBCDB26">
    <w:pPr>
      <w:pStyle w:val="17"/>
      <w:tabs>
        <w:tab w:val="left" w:pos="8505"/>
        <w:tab w:val="right" w:pos="9639"/>
        <w:tab w:val="clear" w:pos="9072"/>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r>
    <w:r>
      <w:rPr>
        <w:sz w:val="17"/>
        <w:szCs w:val="17"/>
      </w:rPr>
      <w:t xml:space="preserve">        </w:t>
    </w:r>
  </w:p>
  <w:p w14:paraId="573007B0">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r>
    <w:r>
      <w:rPr>
        <w:b/>
        <w:color w:val="0070C0"/>
        <w:sz w:val="18"/>
        <w:szCs w:val="18"/>
        <w:u w:val="single"/>
      </w:rPr>
      <w:t xml:space="preserve">                       E-ISSN: 2602-277X</w:t>
    </w:r>
  </w:p>
  <w:p w14:paraId="68A3BE55">
    <w:pPr>
      <w:shd w:val="clear" w:color="auto" w:fill="FFFFFF"/>
      <w:rPr>
        <w:b/>
        <w:color w:val="C00000"/>
        <w:sz w:val="18"/>
        <w:szCs w:val="18"/>
        <w:u w:val="singl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CFA669"/>
    <w:multiLevelType w:val="singleLevel"/>
    <w:tmpl w:val="CDCFA669"/>
    <w:lvl w:ilvl="0" w:tentative="0">
      <w:start w:val="1"/>
      <w:numFmt w:val="upperLetter"/>
      <w:suff w:val="space"/>
      <w:lvlText w:val="(%1)"/>
      <w:lvlJc w:val="left"/>
    </w:lvl>
  </w:abstractNum>
  <w:abstractNum w:abstractNumId="1">
    <w:nsid w:val="19E79C98"/>
    <w:multiLevelType w:val="singleLevel"/>
    <w:tmpl w:val="19E79C98"/>
    <w:lvl w:ilvl="0" w:tentative="0">
      <w:start w:val="1"/>
      <w:numFmt w:val="upperLetter"/>
      <w:suff w:val="space"/>
      <w:lvlText w:val="(%1)"/>
      <w:lvlJc w:val="left"/>
    </w:lvl>
  </w:abstractNum>
  <w:abstractNum w:abstractNumId="2">
    <w:nsid w:val="1D9AAB12"/>
    <w:multiLevelType w:val="singleLevel"/>
    <w:tmpl w:val="1D9AAB12"/>
    <w:lvl w:ilvl="0" w:tentative="0">
      <w:start w:val="1"/>
      <w:numFmt w:val="decimal"/>
      <w:lvlText w:val="%1."/>
      <w:lvlJc w:val="left"/>
      <w:pPr>
        <w:tabs>
          <w:tab w:val="left" w:pos="425"/>
        </w:tabs>
        <w:ind w:left="425" w:leftChars="0" w:hanging="425"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7340"/>
    <w:rsid w:val="00046D01"/>
    <w:rsid w:val="001F777F"/>
    <w:rsid w:val="00282360"/>
    <w:rsid w:val="002C5819"/>
    <w:rsid w:val="002D48DC"/>
    <w:rsid w:val="00481897"/>
    <w:rsid w:val="004A6D23"/>
    <w:rsid w:val="004B2199"/>
    <w:rsid w:val="005072DE"/>
    <w:rsid w:val="00513BE3"/>
    <w:rsid w:val="00550E32"/>
    <w:rsid w:val="0065288D"/>
    <w:rsid w:val="006F66E4"/>
    <w:rsid w:val="008A3F7B"/>
    <w:rsid w:val="009B67E4"/>
    <w:rsid w:val="00A02F5F"/>
    <w:rsid w:val="00A47340"/>
    <w:rsid w:val="00AB01C8"/>
    <w:rsid w:val="00C15925"/>
    <w:rsid w:val="00CA7852"/>
    <w:rsid w:val="00CB755B"/>
    <w:rsid w:val="00D41E14"/>
    <w:rsid w:val="00D81A69"/>
    <w:rsid w:val="00DE1DAC"/>
    <w:rsid w:val="00DE78EE"/>
    <w:rsid w:val="00E27986"/>
    <w:rsid w:val="00F17459"/>
    <w:rsid w:val="00F25D19"/>
    <w:rsid w:val="00F61BD8"/>
    <w:rsid w:val="08F0235E"/>
    <w:rsid w:val="0CEA4533"/>
    <w:rsid w:val="0F48456B"/>
    <w:rsid w:val="146E6BA1"/>
    <w:rsid w:val="18C96438"/>
    <w:rsid w:val="219B593A"/>
    <w:rsid w:val="2516217B"/>
    <w:rsid w:val="25546B45"/>
    <w:rsid w:val="27D4248F"/>
    <w:rsid w:val="2C630D21"/>
    <w:rsid w:val="3CC001A4"/>
    <w:rsid w:val="3FA413A2"/>
    <w:rsid w:val="3FDC65E5"/>
    <w:rsid w:val="4EF3235B"/>
    <w:rsid w:val="4F9C0587"/>
    <w:rsid w:val="50C70A77"/>
    <w:rsid w:val="57A27353"/>
    <w:rsid w:val="5F6201AF"/>
    <w:rsid w:val="6052454E"/>
    <w:rsid w:val="60AE61AC"/>
    <w:rsid w:val="64D4322B"/>
    <w:rsid w:val="66E46287"/>
    <w:rsid w:val="79351099"/>
    <w:rsid w:val="79F33230"/>
    <w:rsid w:val="7A686134"/>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kern w:val="0"/>
      <w:sz w:val="24"/>
      <w:szCs w:val="24"/>
      <w:lang w:val="tr-TR" w:eastAsia="tr-TR" w:bidi="ar-SA"/>
      <w14:ligatures w14:val="none"/>
    </w:rPr>
  </w:style>
  <w:style w:type="paragraph" w:styleId="2">
    <w:name w:val="heading 1"/>
    <w:basedOn w:val="1"/>
    <w:next w:val="1"/>
    <w:link w:val="25"/>
    <w:qFormat/>
    <w:uiPriority w:val="9"/>
    <w:pPr>
      <w:keepNext/>
      <w:keepLines/>
      <w:spacing w:before="360" w:after="80" w:line="259" w:lineRule="auto"/>
      <w:outlineLvl w:val="0"/>
    </w:pPr>
    <w:rPr>
      <w:rFonts w:asciiTheme="majorHAnsi" w:hAnsiTheme="majorHAnsi" w:eastAsiaTheme="majorEastAsia" w:cstheme="majorBidi"/>
      <w:color w:val="2F5597" w:themeColor="accent1" w:themeShade="BF"/>
      <w:kern w:val="2"/>
      <w:sz w:val="40"/>
      <w:szCs w:val="40"/>
      <w:lang w:val="en-IN" w:eastAsia="en-US"/>
      <w14:ligatures w14:val="standardContextual"/>
    </w:rPr>
  </w:style>
  <w:style w:type="paragraph" w:styleId="3">
    <w:name w:val="heading 2"/>
    <w:basedOn w:val="1"/>
    <w:next w:val="1"/>
    <w:link w:val="26"/>
    <w:semiHidden/>
    <w:unhideWhenUsed/>
    <w:qFormat/>
    <w:uiPriority w:val="9"/>
    <w:pPr>
      <w:keepNext/>
      <w:keepLines/>
      <w:spacing w:before="160" w:after="80" w:line="259" w:lineRule="auto"/>
      <w:outlineLvl w:val="1"/>
    </w:pPr>
    <w:rPr>
      <w:rFonts w:asciiTheme="majorHAnsi" w:hAnsiTheme="majorHAnsi" w:eastAsiaTheme="majorEastAsia" w:cstheme="majorBidi"/>
      <w:color w:val="2F5597" w:themeColor="accent1" w:themeShade="BF"/>
      <w:kern w:val="2"/>
      <w:sz w:val="32"/>
      <w:szCs w:val="32"/>
      <w:lang w:val="en-IN" w:eastAsia="en-US"/>
      <w14:ligatures w14:val="standardContextual"/>
    </w:rPr>
  </w:style>
  <w:style w:type="paragraph" w:styleId="4">
    <w:name w:val="heading 3"/>
    <w:basedOn w:val="1"/>
    <w:next w:val="1"/>
    <w:link w:val="27"/>
    <w:semiHidden/>
    <w:unhideWhenUsed/>
    <w:qFormat/>
    <w:uiPriority w:val="9"/>
    <w:pPr>
      <w:keepNext/>
      <w:keepLines/>
      <w:spacing w:before="160" w:after="80" w:line="259" w:lineRule="auto"/>
      <w:outlineLvl w:val="2"/>
    </w:pPr>
    <w:rPr>
      <w:rFonts w:asciiTheme="minorHAnsi" w:hAnsiTheme="minorHAnsi" w:eastAsiaTheme="majorEastAsia" w:cstheme="majorBidi"/>
      <w:color w:val="2F5597" w:themeColor="accent1" w:themeShade="BF"/>
      <w:kern w:val="2"/>
      <w:sz w:val="28"/>
      <w:szCs w:val="28"/>
      <w:lang w:val="en-IN" w:eastAsia="en-US"/>
      <w14:ligatures w14:val="standardContextual"/>
    </w:rPr>
  </w:style>
  <w:style w:type="paragraph" w:styleId="5">
    <w:name w:val="heading 4"/>
    <w:basedOn w:val="1"/>
    <w:next w:val="1"/>
    <w:link w:val="28"/>
    <w:semiHidden/>
    <w:unhideWhenUsed/>
    <w:qFormat/>
    <w:uiPriority w:val="9"/>
    <w:pPr>
      <w:keepNext/>
      <w:keepLines/>
      <w:spacing w:before="80" w:after="40" w:line="259" w:lineRule="auto"/>
      <w:outlineLvl w:val="3"/>
    </w:pPr>
    <w:rPr>
      <w:rFonts w:asciiTheme="minorHAnsi" w:hAnsiTheme="minorHAnsi" w:eastAsiaTheme="majorEastAsia" w:cstheme="majorBidi"/>
      <w:i/>
      <w:iCs/>
      <w:color w:val="2F5597" w:themeColor="accent1" w:themeShade="BF"/>
      <w:kern w:val="2"/>
      <w:sz w:val="22"/>
      <w:szCs w:val="22"/>
      <w:lang w:val="en-IN" w:eastAsia="en-US"/>
      <w14:ligatures w14:val="standardContextual"/>
    </w:rPr>
  </w:style>
  <w:style w:type="paragraph" w:styleId="6">
    <w:name w:val="heading 5"/>
    <w:basedOn w:val="1"/>
    <w:next w:val="1"/>
    <w:link w:val="29"/>
    <w:unhideWhenUsed/>
    <w:qFormat/>
    <w:uiPriority w:val="0"/>
    <w:pPr>
      <w:keepNext/>
      <w:keepLines/>
      <w:spacing w:before="80" w:after="40" w:line="259" w:lineRule="auto"/>
      <w:outlineLvl w:val="4"/>
    </w:pPr>
    <w:rPr>
      <w:rFonts w:asciiTheme="minorHAnsi" w:hAnsiTheme="minorHAnsi" w:eastAsiaTheme="majorEastAsia" w:cstheme="majorBidi"/>
      <w:color w:val="2F5597" w:themeColor="accent1" w:themeShade="BF"/>
      <w:kern w:val="2"/>
      <w:sz w:val="22"/>
      <w:szCs w:val="22"/>
      <w:lang w:val="en-IN" w:eastAsia="en-US"/>
      <w14:ligatures w14:val="standardContextual"/>
    </w:rPr>
  </w:style>
  <w:style w:type="paragraph" w:styleId="7">
    <w:name w:val="heading 6"/>
    <w:basedOn w:val="1"/>
    <w:next w:val="1"/>
    <w:link w:val="30"/>
    <w:semiHidden/>
    <w:unhideWhenUsed/>
    <w:qFormat/>
    <w:uiPriority w:val="9"/>
    <w:pPr>
      <w:keepNext/>
      <w:keepLines/>
      <w:spacing w:before="40" w:line="259" w:lineRule="auto"/>
      <w:outlineLvl w:val="5"/>
    </w:pPr>
    <w:rPr>
      <w:rFonts w:asciiTheme="minorHAnsi" w:hAnsiTheme="minorHAnsi" w:eastAsiaTheme="majorEastAsia" w:cstheme="majorBidi"/>
      <w:i/>
      <w:iCs/>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31"/>
    <w:semiHidden/>
    <w:unhideWhenUsed/>
    <w:qFormat/>
    <w:uiPriority w:val="9"/>
    <w:pPr>
      <w:keepNext/>
      <w:keepLines/>
      <w:spacing w:before="40" w:line="259" w:lineRule="auto"/>
      <w:outlineLvl w:val="6"/>
    </w:pPr>
    <w:rPr>
      <w:rFonts w:asciiTheme="minorHAnsi" w:hAnsiTheme="minorHAnsi" w:eastAsiaTheme="majorEastAsia" w:cstheme="majorBidi"/>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32"/>
    <w:semiHidden/>
    <w:unhideWhenUsed/>
    <w:qFormat/>
    <w:uiPriority w:val="9"/>
    <w:pPr>
      <w:keepNext/>
      <w:keepLines/>
      <w:spacing w:line="259" w:lineRule="auto"/>
      <w:outlineLvl w:val="7"/>
    </w:pPr>
    <w:rPr>
      <w:rFonts w:asciiTheme="minorHAnsi" w:hAnsiTheme="minorHAnsi" w:eastAsiaTheme="majorEastAsia" w:cstheme="majorBidi"/>
      <w:i/>
      <w:iCs/>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33"/>
    <w:semiHidden/>
    <w:unhideWhenUsed/>
    <w:qFormat/>
    <w:uiPriority w:val="9"/>
    <w:pPr>
      <w:keepNext/>
      <w:keepLines/>
      <w:spacing w:line="259" w:lineRule="auto"/>
      <w:outlineLvl w:val="8"/>
    </w:pPr>
    <w:rPr>
      <w:rFonts w:asciiTheme="minorHAnsi" w:hAnsiTheme="minorHAnsi" w:eastAsiaTheme="majorEastAsia" w:cstheme="majorBidi"/>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semiHidden/>
    <w:qFormat/>
    <w:uiPriority w:val="99"/>
    <w:rPr>
      <w:sz w:val="16"/>
    </w:rPr>
  </w:style>
  <w:style w:type="paragraph" w:styleId="14">
    <w:name w:val="annotation text"/>
    <w:basedOn w:val="1"/>
    <w:link w:val="47"/>
    <w:semiHidden/>
    <w:qFormat/>
    <w:uiPriority w:val="99"/>
    <w:pPr>
      <w:ind w:firstLine="567"/>
      <w:jc w:val="both"/>
    </w:pPr>
    <w:rPr>
      <w:sz w:val="20"/>
      <w:szCs w:val="20"/>
      <w:lang w:val="en-GB" w:eastAsia="en-US"/>
    </w:rPr>
  </w:style>
  <w:style w:type="character" w:styleId="15">
    <w:name w:val="Emphasis"/>
    <w:basedOn w:val="11"/>
    <w:qFormat/>
    <w:uiPriority w:val="20"/>
    <w:rPr>
      <w:i/>
      <w:iCs/>
    </w:rPr>
  </w:style>
  <w:style w:type="paragraph" w:styleId="16">
    <w:name w:val="footer"/>
    <w:basedOn w:val="1"/>
    <w:link w:val="44"/>
    <w:unhideWhenUsed/>
    <w:qFormat/>
    <w:uiPriority w:val="99"/>
    <w:pPr>
      <w:tabs>
        <w:tab w:val="center" w:pos="4536"/>
        <w:tab w:val="right" w:pos="9072"/>
      </w:tabs>
    </w:pPr>
  </w:style>
  <w:style w:type="paragraph" w:styleId="17">
    <w:name w:val="header"/>
    <w:basedOn w:val="1"/>
    <w:link w:val="43"/>
    <w:unhideWhenUsed/>
    <w:qFormat/>
    <w:uiPriority w:val="99"/>
    <w:pPr>
      <w:tabs>
        <w:tab w:val="center" w:pos="4536"/>
        <w:tab w:val="right" w:pos="9072"/>
      </w:tabs>
    </w:p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basedOn w:val="1"/>
    <w:semiHidden/>
    <w:unhideWhenUsed/>
    <w:qFormat/>
    <w:uiPriority w:val="99"/>
    <w:rPr>
      <w:sz w:val="24"/>
      <w:szCs w:val="24"/>
    </w:rPr>
  </w:style>
  <w:style w:type="paragraph" w:styleId="20">
    <w:name w:val="Plain Text"/>
    <w:basedOn w:val="1"/>
    <w:link w:val="45"/>
    <w:qFormat/>
    <w:uiPriority w:val="0"/>
    <w:rPr>
      <w:rFonts w:ascii="Courier New" w:hAnsi="Courier New"/>
      <w:sz w:val="20"/>
      <w:szCs w:val="20"/>
      <w:lang w:val="en-US" w:eastAsia="en-US"/>
    </w:rPr>
  </w:style>
  <w:style w:type="character" w:styleId="21">
    <w:name w:val="Strong"/>
    <w:basedOn w:val="11"/>
    <w:qFormat/>
    <w:uiPriority w:val="22"/>
    <w:rPr>
      <w:b/>
      <w:bCs/>
    </w:rPr>
  </w:style>
  <w:style w:type="paragraph" w:styleId="22">
    <w:name w:val="Subtitle"/>
    <w:basedOn w:val="1"/>
    <w:next w:val="1"/>
    <w:link w:val="35"/>
    <w:qFormat/>
    <w:uiPriority w:val="11"/>
    <w:pPr>
      <w:spacing w:after="160" w:line="259" w:lineRule="auto"/>
    </w:pPr>
    <w:rPr>
      <w:rFonts w:asciiTheme="minorHAnsi" w:hAnsiTheme="minorHAnsi" w:eastAsiaTheme="majorEastAsia" w:cstheme="majorBidi"/>
      <w:color w:val="595959" w:themeColor="text1" w:themeTint="A6"/>
      <w:spacing w:val="15"/>
      <w:kern w:val="2"/>
      <w:sz w:val="28"/>
      <w:szCs w:val="28"/>
      <w:lang w:val="en-IN" w:eastAsia="en-US"/>
      <w14:textFill>
        <w14:solidFill>
          <w14:schemeClr w14:val="tx1">
            <w14:lumMod w14:val="65000"/>
            <w14:lumOff w14:val="35000"/>
          </w14:schemeClr>
        </w14:solidFill>
      </w14:textFill>
      <w14:ligatures w14:val="standardContextual"/>
    </w:rPr>
  </w:style>
  <w:style w:type="table" w:styleId="23">
    <w:name w:val="Table Grid"/>
    <w:basedOn w:val="12"/>
    <w:qFormat/>
    <w:uiPriority w:val="39"/>
    <w:pPr>
      <w:spacing w:after="0" w:line="240" w:lineRule="auto"/>
    </w:pPr>
    <w:rPr>
      <w:kern w:val="0"/>
      <w:lang w:val="tr-TR"/>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spacing w:after="80"/>
      <w:contextualSpacing/>
    </w:pPr>
    <w:rPr>
      <w:rFonts w:asciiTheme="majorHAnsi" w:hAnsiTheme="majorHAnsi" w:eastAsiaTheme="majorEastAsia" w:cstheme="majorBidi"/>
      <w:spacing w:val="-10"/>
      <w:kern w:val="28"/>
      <w:sz w:val="56"/>
      <w:szCs w:val="56"/>
      <w:lang w:val="en-IN" w:eastAsia="en-US"/>
      <w14:ligatures w14:val="standardContextual"/>
    </w:rPr>
  </w:style>
  <w:style w:type="character" w:customStyle="1" w:styleId="2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6">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8">
    <w:name w:val="Heading 4 Char"/>
    <w:basedOn w:val="11"/>
    <w:link w:val="5"/>
    <w:semiHidden/>
    <w:qFormat/>
    <w:uiPriority w:val="9"/>
    <w:rPr>
      <w:rFonts w:eastAsiaTheme="majorEastAsia" w:cstheme="majorBidi"/>
      <w:i/>
      <w:iCs/>
      <w:color w:val="2F5597" w:themeColor="accent1" w:themeShade="BF"/>
    </w:rPr>
  </w:style>
  <w:style w:type="character" w:customStyle="1" w:styleId="29">
    <w:name w:val="Heading 5 Char"/>
    <w:basedOn w:val="11"/>
    <w:link w:val="6"/>
    <w:qFormat/>
    <w:uiPriority w:val="0"/>
    <w:rPr>
      <w:rFonts w:eastAsiaTheme="majorEastAsia" w:cstheme="majorBidi"/>
      <w:color w:val="2F5597"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after="160" w:line="259" w:lineRule="auto"/>
      <w:jc w:val="center"/>
    </w:pPr>
    <w:rPr>
      <w:rFonts w:asciiTheme="minorHAnsi" w:hAnsiTheme="minorHAnsi" w:eastAsiaTheme="minorHAnsi" w:cstheme="minorBidi"/>
      <w:i/>
      <w:iCs/>
      <w:color w:val="404040" w:themeColor="text1" w:themeTint="BF"/>
      <w:kern w:val="2"/>
      <w:sz w:val="22"/>
      <w:szCs w:val="22"/>
      <w:lang w:val="en-IN" w:eastAsia="en-US"/>
      <w14:textFill>
        <w14:solidFill>
          <w14:schemeClr w14:val="tx1">
            <w14:lumMod w14:val="75000"/>
            <w14:lumOff w14:val="25000"/>
          </w14:schemeClr>
        </w14:solidFill>
      </w14:textFill>
      <w14:ligatures w14:val="standardContextua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spacing w:after="160" w:line="259" w:lineRule="auto"/>
      <w:ind w:left="720"/>
      <w:contextualSpacing/>
    </w:pPr>
    <w:rPr>
      <w:rFonts w:asciiTheme="minorHAnsi" w:hAnsiTheme="minorHAnsi" w:eastAsiaTheme="minorHAnsi" w:cstheme="minorBidi"/>
      <w:kern w:val="2"/>
      <w:sz w:val="22"/>
      <w:szCs w:val="22"/>
      <w:lang w:val="en-IN" w:eastAsia="en-US"/>
      <w14:ligatures w14:val="standardContextual"/>
    </w:r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pBdr>
        <w:top w:val="single" w:color="2F5496" w:themeColor="accent1" w:themeShade="BF" w:sz="4" w:space="10"/>
        <w:bottom w:val="single" w:color="2F5496" w:themeColor="accent1" w:themeShade="BF" w:sz="4" w:space="10"/>
      </w:pBdr>
      <w:spacing w:before="360" w:after="360" w:line="259" w:lineRule="auto"/>
      <w:ind w:left="864" w:right="864"/>
      <w:jc w:val="center"/>
    </w:pPr>
    <w:rPr>
      <w:rFonts w:asciiTheme="minorHAnsi" w:hAnsiTheme="minorHAnsi" w:eastAsiaTheme="minorHAnsi" w:cstheme="minorBidi"/>
      <w:i/>
      <w:iCs/>
      <w:color w:val="2F5597" w:themeColor="accent1" w:themeShade="BF"/>
      <w:kern w:val="2"/>
      <w:sz w:val="22"/>
      <w:szCs w:val="22"/>
      <w:lang w:val="en-IN" w:eastAsia="en-US"/>
      <w14:ligatures w14:val="standardContextual"/>
    </w:rPr>
  </w:style>
  <w:style w:type="character" w:customStyle="1" w:styleId="41">
    <w:name w:val="Intense Quote Ch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character" w:customStyle="1" w:styleId="43">
    <w:name w:val="Header Char"/>
    <w:basedOn w:val="11"/>
    <w:link w:val="17"/>
    <w:qFormat/>
    <w:uiPriority w:val="99"/>
    <w:rPr>
      <w:rFonts w:ascii="Times New Roman" w:hAnsi="Times New Roman" w:eastAsia="Times New Roman" w:cs="Times New Roman"/>
      <w:kern w:val="0"/>
      <w:sz w:val="24"/>
      <w:szCs w:val="24"/>
      <w:lang w:val="tr-TR" w:eastAsia="tr-TR"/>
      <w14:ligatures w14:val="none"/>
    </w:rPr>
  </w:style>
  <w:style w:type="character" w:customStyle="1" w:styleId="44">
    <w:name w:val="Footer Char"/>
    <w:basedOn w:val="11"/>
    <w:link w:val="16"/>
    <w:qFormat/>
    <w:uiPriority w:val="99"/>
    <w:rPr>
      <w:rFonts w:ascii="Times New Roman" w:hAnsi="Times New Roman" w:eastAsia="Times New Roman" w:cs="Times New Roman"/>
      <w:kern w:val="0"/>
      <w:sz w:val="24"/>
      <w:szCs w:val="24"/>
      <w:lang w:val="tr-TR" w:eastAsia="tr-TR"/>
      <w14:ligatures w14:val="none"/>
    </w:rPr>
  </w:style>
  <w:style w:type="character" w:customStyle="1" w:styleId="45">
    <w:name w:val="Plain Text Char"/>
    <w:basedOn w:val="11"/>
    <w:link w:val="20"/>
    <w:qFormat/>
    <w:uiPriority w:val="0"/>
    <w:rPr>
      <w:rFonts w:ascii="Courier New" w:hAnsi="Courier New" w:eastAsia="Times New Roman" w:cs="Times New Roman"/>
      <w:kern w:val="0"/>
      <w:sz w:val="20"/>
      <w:szCs w:val="20"/>
      <w:lang w:val="en-US"/>
      <w14:ligatures w14:val="none"/>
    </w:rPr>
  </w:style>
  <w:style w:type="paragraph" w:customStyle="1" w:styleId="46">
    <w:name w:val="Default"/>
    <w:qFormat/>
    <w:uiPriority w:val="0"/>
    <w:pPr>
      <w:autoSpaceDE w:val="0"/>
      <w:autoSpaceDN w:val="0"/>
      <w:adjustRightInd w:val="0"/>
      <w:spacing w:after="0" w:line="240" w:lineRule="auto"/>
    </w:pPr>
    <w:rPr>
      <w:rFonts w:ascii="Times New Roman" w:hAnsi="Times New Roman" w:eastAsia="Times New Roman" w:cs="Times New Roman"/>
      <w:color w:val="000000"/>
      <w:kern w:val="0"/>
      <w:sz w:val="24"/>
      <w:szCs w:val="24"/>
      <w:lang w:val="tr-TR" w:eastAsia="tr-TR" w:bidi="ar-SA"/>
      <w14:ligatures w14:val="none"/>
    </w:rPr>
  </w:style>
  <w:style w:type="character" w:customStyle="1" w:styleId="47">
    <w:name w:val="Comment Text Char"/>
    <w:basedOn w:val="11"/>
    <w:link w:val="14"/>
    <w:semiHidden/>
    <w:qFormat/>
    <w:uiPriority w:val="99"/>
    <w:rPr>
      <w:rFonts w:ascii="Times New Roman" w:hAnsi="Times New Roman" w:eastAsia="Times New Roman" w:cs="Times New Roman"/>
      <w:kern w:val="0"/>
      <w:sz w:val="20"/>
      <w:szCs w:val="20"/>
      <w:lang w:val="en-GB"/>
      <w14:ligatures w14:val="none"/>
    </w:rPr>
  </w:style>
  <w:style w:type="paragraph" w:styleId="48">
    <w:name w:val="No Spacing"/>
    <w:qFormat/>
    <w:uiPriority w:val="1"/>
    <w:pPr>
      <w:spacing w:after="0" w:line="240" w:lineRule="auto"/>
    </w:pPr>
    <w:rPr>
      <w:rFonts w:asciiTheme="minorHAnsi" w:hAnsiTheme="minorHAnsi" w:eastAsiaTheme="minorHAnsi" w:cstheme="minorBidi"/>
      <w:kern w:val="0"/>
      <w:sz w:val="22"/>
      <w:szCs w:val="22"/>
      <w:lang w:val="tr-TR" w:eastAsia="en-US" w:bidi="ar-SA"/>
      <w14:ligatures w14:val="none"/>
    </w:rPr>
  </w:style>
  <w:style w:type="paragraph" w:customStyle="1" w:styleId="49">
    <w:name w:val="EndNote Bibliography"/>
    <w:basedOn w:val="1"/>
    <w:link w:val="50"/>
    <w:qFormat/>
    <w:uiPriority w:val="0"/>
    <w:pPr>
      <w:spacing w:after="200"/>
      <w:jc w:val="both"/>
    </w:pPr>
    <w:rPr>
      <w:rFonts w:ascii="Calibri" w:hAnsi="Calibri" w:eastAsiaTheme="minorHAnsi" w:cstheme="minorBidi"/>
      <w:sz w:val="22"/>
      <w:szCs w:val="22"/>
      <w:lang w:val="en-US" w:eastAsia="en-US"/>
    </w:rPr>
  </w:style>
  <w:style w:type="character" w:customStyle="1" w:styleId="50">
    <w:name w:val="EndNote Bibliography Char"/>
    <w:basedOn w:val="11"/>
    <w:link w:val="49"/>
    <w:qFormat/>
    <w:uiPriority w:val="0"/>
    <w:rPr>
      <w:rFonts w:ascii="Calibri" w:hAnsi="Calibri"/>
      <w:kern w:val="0"/>
      <w:lang w:val="en-US"/>
      <w14:ligatures w14:val="none"/>
    </w:rPr>
  </w:style>
  <w:style w:type="character" w:customStyle="1" w:styleId="51">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yperlink" Target="https://orcid.org/0000-0001-8855-1058" TargetMode="Externa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GIF"/><Relationship Id="rId11" Type="http://schemas.openxmlformats.org/officeDocument/2006/relationships/hyperlink" Target="https://orcid.org/0000-0001-9746-444X" TargetMode="Externa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4038</Words>
  <Characters>26246</Characters>
  <Lines>740</Lines>
  <Paragraphs>164</Paragraphs>
  <TotalTime>4</TotalTime>
  <ScaleCrop>false</ScaleCrop>
  <LinksUpToDate>false</LinksUpToDate>
  <CharactersWithSpaces>30614</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2025-09-13T21:33:00Z</dcterms:created>
  <dc:creator>Nayanika Das</dc:creator>
  <cp:lastModifiedBy>Nayanika</cp:lastModifiedBy>
  <cp:lastPrinted>2025-09-14T16:49:00Z</cp:lastPrinted>
  <dcterms:modified xsi:type="dcterms:W3CDTF">2025-10-10T09:29:23Z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1033-12.2.0.23131</vt:lpwstr>
  </property>
  <property fmtid="{D5CDD505-2E9C-101B-9397-08002B2CF9AE}" pid="4" name="ICV">
    <vt:lpwstr>6683E4E2190841338EEF65DEAFD75351_12</vt:lpwstr>
  </property>
</Properties>
</file>