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 xml:space="preserve">员工手册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  <w:szCs w:val="24"/>
        </w:rPr>
        <w:t xml:space="preserve">第一章  总则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本手册适用于公司全体在职员工，用于明确基本行为准则与日常管理要求。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员工入职时应认真阅读本手册，并在人事部门留档确认。手册内容会根据公司发展适时修订。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  <w:szCs w:val="24"/>
        </w:rPr>
        <w:t xml:space="preserve">第二章  考勤制度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公司实行标准工时制，工作时间为上午九点至下午六点，午休一小时。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员工应按时上下班，迟到或早退超过三十分钟的，按半天事假处理。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因公外出需提前在系统中提交申请，由直属主管审批。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  <w:szCs w:val="24"/>
        </w:rPr>
        <w:t xml:space="preserve">第三章  请假流程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请假须提前一个工作日在系统提交申请，说明事由与时长。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病假需提供二级以上医院出具的病假证明，突发情况可事后补交。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年假按工龄计算，入职满一年可享受五天带薪年假。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  <w:szCs w:val="24"/>
        </w:rPr>
        <w:t xml:space="preserve">第四章  保密要求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员工对在工作中接触到的客户信息、技术资料负有保密义务。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未经授权不得将公司资料带离办公场所，离职后保密义务继续有效。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  <w:szCs w:val="24"/>
        </w:rPr>
        <w:t xml:space="preserve">附录  联系方式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人事部：分机 8001，邮箱 hr@example.com。</w:t>
      </w:r>
    </w:p>
    <w:p>
      <w:pPr>
        <w:spacing w:line="360" w:lineRule="auto"/>
        <w:ind w:firstLineChars="200"/>
      </w:pPr>
      <w:r>
        <w:rPr>
          <w:rFonts w:ascii="宋体" w:hAnsi="宋体" w:eastAsia="宋体"/>
          <w:sz w:val="24"/>
          <w:szCs w:val="24"/>
        </w:rPr>
        <w:t xml:space="preserve">行政部：分机 8002，负责办公用品申领与会议室预定。</w:t>
      </w:r>
    </w:p>
    <w:sectPr>
      <w:headerReference w:type="default" r:id="rId2"/>
      <w:footerReference w:type="default" r:id="rId3"/>
      <w:pgSz w:w="11906" w:h="16838"/>
      <w:pgMar w:top="1440" w:right="1800" w:bottom="1440" w:left="1800" w:header="851" w:footer="992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  <w:szCs w:val="18"/>
      </w:rPr>
      <w:t xml:space="preserve">员工手册</w:t>
    </w:r>
  </w:p>
</w:hdr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  <w:szCs w:val="24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