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员工手册</w:t>
      </w:r>
    </w:p>
    <w:p>
      <w:r>
        <w:t xml:space="preserve">第一章  总则</w:t>
      </w:r>
    </w:p>
    <w:p>
      <w:r>
        <w:t xml:space="preserve">本手册适用于公司全体在职员工，用于明确基本行为准则与日常管理要求。</w:t>
      </w:r>
    </w:p>
    <w:p>
      <w:r>
        <w:t xml:space="preserve">员工入职时应认真阅读本手册，并在人事部门留档确认。手册内容会根据公司发展适时修订。</w:t>
      </w:r>
    </w:p>
    <w:p>
      <w:r>
        <w:t xml:space="preserve">第二章  考勤制度</w:t>
      </w:r>
    </w:p>
    <w:p>
      <w:r>
        <w:t xml:space="preserve">公司实行标准工时制，工作时间为上午九点至下午六点，午休一小时。</w:t>
      </w:r>
    </w:p>
    <w:p>
      <w:r>
        <w:t xml:space="preserve">员工应按时上下班，迟到或早退超过三十分钟的，按半天事假处理。</w:t>
      </w:r>
    </w:p>
    <w:p>
      <w:r>
        <w:t xml:space="preserve">因公外出需提前在系统中提交申请，由直属主管审批。</w:t>
      </w:r>
    </w:p>
    <w:p>
      <w:r>
        <w:t xml:space="preserve">第三章  请假流程</w:t>
      </w:r>
    </w:p>
    <w:p>
      <w:r>
        <w:t xml:space="preserve">请假须提前一个工作日在系统提交申请，说明事由与时长。</w:t>
      </w:r>
    </w:p>
    <w:p>
      <w:r>
        <w:t xml:space="preserve">病假需提供二级以上医院出具的病假证明，突发情况可事后补交。</w:t>
      </w:r>
    </w:p>
    <w:p>
      <w:r>
        <w:t xml:space="preserve">年假按工龄计算，入职满一年可享受五天带薪年假。</w:t>
      </w:r>
    </w:p>
    <w:p>
      <w:r>
        <w:t xml:space="preserve">第四章  保密要求</w:t>
      </w:r>
    </w:p>
    <w:p>
      <w:r>
        <w:t xml:space="preserve">员工对在工作中接触到的客户信息、技术资料负有保密义务。</w:t>
      </w:r>
    </w:p>
    <w:p>
      <w:r>
        <w:t xml:space="preserve">未经授权不得将公司资料带离办公场所，离职后保密义务继续有效。</w:t>
      </w:r>
    </w:p>
    <w:p>
      <w:r>
        <w:t xml:space="preserve">附录  联系方式</w:t>
      </w:r>
    </w:p>
    <w:p>
      <w:r>
        <w:t xml:space="preserve">人事部：分机 8001，邮箱 hr@example.com。</w:t>
      </w:r>
    </w:p>
    <w:p>
      <w:r>
        <w:t xml:space="preserve">行政部：分机 8002，负责办公用品申领与会议室预定。</w:t>
      </w:r>
    </w:p>
    <w:sectPr>
      <w:pgSz w:w="9979" w:h="14175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