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09" w:end="0"/>
        <w:jc w:val="end"/>
        <w:rPr/>
      </w:pPr>
      <w:r>
        <w:rPr/>
      </w:r>
    </w:p>
    <w:p>
      <w:pPr>
        <w:pStyle w:val="Normal"/>
        <w:spacing w:lineRule="auto" w:line="360"/>
        <w:ind w:firstLine="709" w:end="0"/>
        <w:jc w:val="center"/>
        <w:rPr>
          <w:b/>
        </w:rPr>
      </w:pPr>
      <w:r>
        <w:rPr>
          <w:b/>
        </w:rPr>
        <w:t>ОКЕАНИЧЕСКИЕ РЕСУРСЫ И .ПЕРСПЕКТИВЫ ИХ ОСВОЕНИЯ</w:t>
      </w:r>
    </w:p>
    <w:p>
      <w:pPr>
        <w:pStyle w:val="Normal"/>
        <w:spacing w:lineRule="auto" w:line="360"/>
        <w:ind w:firstLine="709" w:end="0"/>
        <w:jc w:val="center"/>
        <w:rPr>
          <w:b/>
          <w:u w:val="single"/>
        </w:rPr>
      </w:pPr>
      <w:r>
        <w:rPr>
          <w:b/>
        </w:rPr>
        <w:t xml:space="preserve">АндреевС.И., </w:t>
      </w:r>
      <w:r>
        <w:rPr>
          <w:b/>
          <w:u w:val="single"/>
        </w:rPr>
        <w:t>Бабаева С.Ф.</w:t>
      </w:r>
    </w:p>
    <w:p>
      <w:pPr>
        <w:pStyle w:val="Normal"/>
        <w:spacing w:lineRule="auto" w:line="360"/>
        <w:ind w:firstLine="709" w:end="0"/>
        <w:jc w:val="center"/>
        <w:rPr>
          <w:b/>
        </w:rPr>
      </w:pPr>
      <w:r>
        <w:rPr>
          <w:b/>
        </w:rPr>
        <w:t>ФГУП «ВНИИОкеангеология им. И.С. Грамберга)</w:t>
      </w:r>
    </w:p>
    <w:p>
      <w:pPr>
        <w:pStyle w:val="Normal"/>
        <w:spacing w:lineRule="auto" w:line="360"/>
        <w:ind w:firstLine="709" w:end="0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Ресурсный фонд океанических полезных ископаемых представлен тремя хорошо изученными рудными видами минерального сырья: железомарганцевыми конкрециями (ЖМК), кобальтмарганцевыми корками (КМК) и глубоководными полиметаллическими сульфидами (ГПС).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Железомарганцевые конкреции (ЖМК) распространены в абиссальных районах Мирового океана, на глубинах 4000-5000 метров и более, в пределах глубоководных котловин. Количественной оценкой конкреционных скоплений является весовая плотность залегания – вес конкреций в пределах одного квадратного метра. Эта величина может варьировать от 5 до 20 кг и более на 1 м</w:t>
      </w:r>
      <w:r>
        <w:rPr>
          <w:vertAlign w:val="superscript"/>
        </w:rPr>
        <w:t>2</w:t>
      </w:r>
      <w:r>
        <w:rPr/>
        <w:t xml:space="preserve">. Состав ЖМК достаточно стабильный. Основными полезными компонентами являются </w:t>
      </w:r>
      <w:r>
        <w:rPr>
          <w:lang w:val="en-US"/>
        </w:rPr>
        <w:t>Mn</w:t>
      </w:r>
      <w:r>
        <w:rPr/>
        <w:t xml:space="preserve">, </w:t>
      </w:r>
      <w:r>
        <w:rPr>
          <w:lang w:val="en-US"/>
        </w:rPr>
        <w:t>Ni</w:t>
      </w:r>
      <w:r>
        <w:rPr/>
        <w:t xml:space="preserve">, </w:t>
      </w:r>
      <w:r>
        <w:rPr>
          <w:lang w:val="en-US"/>
        </w:rPr>
        <w:t>Cu</w:t>
      </w:r>
      <w:r>
        <w:rPr/>
        <w:t xml:space="preserve"> и </w:t>
      </w:r>
      <w:r>
        <w:rPr>
          <w:lang w:val="en-US"/>
        </w:rPr>
        <w:t>Co</w:t>
      </w:r>
      <w:r>
        <w:rPr/>
        <w:t xml:space="preserve">, попутными – </w:t>
      </w:r>
      <w:r>
        <w:rPr>
          <w:lang w:val="en-US"/>
        </w:rPr>
        <w:t>Mo</w:t>
      </w:r>
      <w:r>
        <w:rPr/>
        <w:t xml:space="preserve">, </w:t>
      </w:r>
      <w:r>
        <w:rPr>
          <w:lang w:val="en-US"/>
        </w:rPr>
        <w:t>V</w:t>
      </w:r>
      <w:r>
        <w:rPr/>
        <w:t xml:space="preserve">, платиноиды, висмут и РЗЭ. Средние содержания основных металлов на Заявочном Участке России, в поле Кларион-Клиппертон, следующие: </w:t>
      </w:r>
      <w:r>
        <w:rPr>
          <w:lang w:val="en-US"/>
        </w:rPr>
        <w:t>Mn</w:t>
      </w:r>
      <w:r>
        <w:rPr/>
        <w:t xml:space="preserve">=27,96-29,73%; </w:t>
      </w:r>
      <w:r>
        <w:rPr>
          <w:lang w:val="en-US"/>
        </w:rPr>
        <w:t>Ni</w:t>
      </w:r>
      <w:r>
        <w:rPr/>
        <w:t xml:space="preserve">=1,30-1,39%; </w:t>
      </w:r>
      <w:r>
        <w:rPr>
          <w:lang w:val="en-US"/>
        </w:rPr>
        <w:t>Cu</w:t>
      </w:r>
      <w:r>
        <w:rPr/>
        <w:t xml:space="preserve">=0,91-1,15%; </w:t>
      </w:r>
      <w:r>
        <w:rPr>
          <w:lang w:val="en-US"/>
        </w:rPr>
        <w:t>Co</w:t>
      </w:r>
      <w:r>
        <w:rPr/>
        <w:t xml:space="preserve">=0,22-0,24%.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Кобальтмарганцевые корки – другой вид железомарганцевых образований, широко распространенный в океане и имеющий практическое значение. Он залегает на подводных горах и гайотах, на глубинах 1000-3500 м. Кобальтмарганцевые корки покрывают их скальные выходы многослойным покровом в 2-12 см толщиной. Мерой количественной оценки скоплений КМК также может быть вес корок в пределах 1 м</w:t>
      </w:r>
      <w:r>
        <w:rPr>
          <w:vertAlign w:val="superscript"/>
        </w:rPr>
        <w:t>2</w:t>
      </w:r>
      <w:r>
        <w:rPr/>
        <w:t>. В этом случае эта величина достигает нередко 70-80 кг/м</w:t>
      </w:r>
      <w:r>
        <w:rPr>
          <w:vertAlign w:val="superscript"/>
        </w:rPr>
        <w:t>2</w:t>
      </w:r>
      <w:r>
        <w:rPr/>
        <w:t xml:space="preserve"> и более. Основными полезными компонентами КМК являются: </w:t>
      </w:r>
      <w:r>
        <w:rPr>
          <w:lang w:val="en-US"/>
        </w:rPr>
        <w:t>Mn</w:t>
      </w:r>
      <w:r>
        <w:rPr/>
        <w:t xml:space="preserve">=20-22%; </w:t>
      </w:r>
      <w:r>
        <w:rPr>
          <w:lang w:val="en-US"/>
        </w:rPr>
        <w:t>Co</w:t>
      </w:r>
      <w:r>
        <w:rPr/>
        <w:t xml:space="preserve">=0,5-0,6% и </w:t>
      </w:r>
      <w:r>
        <w:rPr>
          <w:lang w:val="en-US"/>
        </w:rPr>
        <w:t>Ni</w:t>
      </w:r>
      <w:r>
        <w:rPr/>
        <w:t xml:space="preserve">=0,4-0,5%. В качестве попутных могут быть </w:t>
      </w:r>
      <w:r>
        <w:rPr>
          <w:lang w:val="en-US"/>
        </w:rPr>
        <w:t>Mo</w:t>
      </w:r>
      <w:r>
        <w:rPr/>
        <w:t xml:space="preserve">, </w:t>
      </w:r>
      <w:r>
        <w:rPr>
          <w:lang w:val="en-US"/>
        </w:rPr>
        <w:t>Pt</w:t>
      </w:r>
      <w:r>
        <w:rPr/>
        <w:t>, РЗЭ (прежде всего церий), висмут, талий, теллур.</w:t>
      </w:r>
    </w:p>
    <w:p>
      <w:pPr>
        <w:pStyle w:val="Normal"/>
        <w:spacing w:lineRule="auto" w:line="360"/>
        <w:ind w:firstLine="709" w:end="0"/>
        <w:jc w:val="both"/>
        <w:rPr/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26" w:charSpace="0"/>
        </w:sectPr>
      </w:pPr>
      <w:r>
        <w:rPr/>
        <w:t xml:space="preserve">Глубоководные полиметаллические сульфиды формируются в осевых зонах срединно-океанических хребтов во внутренних районах Мирового океана или по его периферии в переходных зонах – транзиталях, часто в тыловодужных структурах: рифтах, на окраинах котловин внутренних морей, в кальдерах вулканов. Глубина залегания объектов ГПС самая различная от 800-900 до 4200 метров. В отличие от ЖМК и КМК, ГПС трехмерное геологическое образование. Основными полезными компонентами ГПС являются </w:t>
      </w:r>
      <w:r>
        <w:rPr>
          <w:lang w:val="en-US"/>
        </w:rPr>
        <w:t>Cu</w:t>
      </w:r>
      <w:r>
        <w:rPr/>
        <w:t xml:space="preserve">, </w:t>
      </w:r>
      <w:r>
        <w:rPr>
          <w:lang w:val="en-US"/>
        </w:rPr>
        <w:t>Zn</w:t>
      </w:r>
      <w:r>
        <w:rPr/>
        <w:t xml:space="preserve">, </w:t>
      </w:r>
      <w:r>
        <w:rPr>
          <w:lang w:val="en-US"/>
        </w:rPr>
        <w:t>Au</w:t>
      </w:r>
      <w:r>
        <w:rPr/>
        <w:t xml:space="preserve"> и </w:t>
      </w:r>
      <w:r>
        <w:rPr>
          <w:lang w:val="en-US"/>
        </w:rPr>
        <w:t>Ag</w:t>
      </w:r>
      <w:r>
        <w:rPr/>
        <w:t xml:space="preserve">, иногда </w:t>
      </w:r>
      <w:r>
        <w:rPr>
          <w:lang w:val="en-US"/>
        </w:rPr>
        <w:t>Pb</w:t>
      </w:r>
      <w:r>
        <w:rPr/>
        <w:t xml:space="preserve">. В число попутных входят </w:t>
      </w:r>
      <w:r>
        <w:rPr>
          <w:lang w:val="en-US"/>
        </w:rPr>
        <w:t>Se</w:t>
      </w:r>
      <w:r>
        <w:rPr/>
        <w:t xml:space="preserve">, </w:t>
      </w:r>
      <w:r>
        <w:rPr>
          <w:lang w:val="en-US"/>
        </w:rPr>
        <w:t>Te</w:t>
      </w:r>
      <w:r>
        <w:rPr/>
        <w:t xml:space="preserve">, </w:t>
      </w:r>
      <w:r>
        <w:rPr>
          <w:lang w:val="en-US"/>
        </w:rPr>
        <w:t>As</w:t>
      </w:r>
      <w:r>
        <w:rPr/>
        <w:t xml:space="preserve"> и </w:t>
      </w:r>
      <w:r>
        <w:rPr>
          <w:lang w:val="en-US"/>
        </w:rPr>
        <w:t>Jn</w:t>
      </w:r>
      <w:r>
        <w:rPr/>
        <w:t xml:space="preserve">. Содержания основных компонентов варьируют в широком диапазоне: </w:t>
      </w:r>
      <w:r>
        <w:rPr>
          <w:lang w:val="en-US"/>
        </w:rPr>
        <w:t>Cu</w:t>
      </w:r>
      <w:r>
        <w:rPr/>
        <w:t xml:space="preserve">=2,35-30,9%; </w:t>
      </w:r>
      <w:r>
        <w:rPr>
          <w:lang w:val="en-US"/>
        </w:rPr>
        <w:t>Zn</w:t>
      </w:r>
      <w:r>
        <w:rPr/>
        <w:t xml:space="preserve">=2,52-16,4%; </w:t>
      </w:r>
      <w:r>
        <w:rPr>
          <w:lang w:val="en-US"/>
        </w:rPr>
        <w:t>Pb</w:t>
      </w:r>
      <w:r>
        <w:rPr/>
        <w:t xml:space="preserve">=2,27-9,30%. Золото нередко достигает 10 г/т и более, </w:t>
      </w:r>
      <w:r>
        <w:rPr>
          <w:lang w:val="en-US"/>
        </w:rPr>
        <w:t>Ag</w:t>
      </w:r>
      <w:r>
        <w:rPr/>
        <w:t xml:space="preserve"> в рудах срединных хребтов редко превосходит 100 г/т, в транзиталях может возрастать на порядок, до 1900 г/т.</w:t>
      </w:r>
    </w:p>
    <w:p>
      <w:pPr>
        <w:pStyle w:val="Normal"/>
        <w:ind w:firstLine="709" w:start="9911" w:end="0"/>
        <w:jc w:val="center"/>
        <w:rPr/>
      </w:pPr>
      <w:r>
        <w:rPr/>
        <w:t>Таблица 1</w:t>
      </w:r>
    </w:p>
    <w:p>
      <w:pPr>
        <w:pStyle w:val="Normal"/>
        <w:ind w:firstLine="709" w:end="0"/>
        <w:jc w:val="center"/>
        <w:rPr/>
      </w:pPr>
      <w:r>
        <w:rPr/>
        <w:t>Соотношение ресурсов стратегических металлов в рудах Мирового океана и континентов.</w:t>
      </w:r>
    </w:p>
    <w:p>
      <w:pPr>
        <w:pStyle w:val="Normal"/>
        <w:ind w:firstLine="709" w:end="0"/>
        <w:jc w:val="center"/>
        <w:rPr/>
      </w:pPr>
      <w:r>
        <w:rPr/>
      </w:r>
    </w:p>
    <w:tbl>
      <w:tblPr>
        <w:tblW w:w="150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07"/>
        <w:gridCol w:w="2120"/>
        <w:gridCol w:w="2131"/>
        <w:gridCol w:w="2120"/>
        <w:gridCol w:w="2131"/>
        <w:gridCol w:w="2124"/>
        <w:gridCol w:w="2136"/>
      </w:tblGrid>
      <w:tr>
        <w:trPr/>
        <w:tc>
          <w:tcPr>
            <w:tcW w:w="23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Виды океанического минерального сырья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Металлы</w:t>
            </w:r>
          </w:p>
        </w:tc>
        <w:tc>
          <w:tcPr>
            <w:tcW w:w="42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Мировой океан</w:t>
            </w:r>
          </w:p>
        </w:tc>
        <w:tc>
          <w:tcPr>
            <w:tcW w:w="4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Континенты*</w:t>
            </w:r>
          </w:p>
        </w:tc>
        <w:tc>
          <w:tcPr>
            <w:tcW w:w="21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Соотношения ресурсов океан/суша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Содержания %%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Ресурсы млн. т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Содержания %%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Ресурсы млн. т</w:t>
            </w:r>
          </w:p>
        </w:tc>
        <w:tc>
          <w:tcPr>
            <w:tcW w:w="21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Железомарганцевые оксидные руды (ЖМК) и (КМК)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Ni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0,63-1,42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603,5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0,7-2,6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162,0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3,7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Cu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0,60-1,21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388,1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0,3-3,97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1000,0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0,4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0,03-0,73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339,9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0,04-0,17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13,4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25,4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Mn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20,0-36,05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18724,3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16-50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14623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1,3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0,10-1,31 г/т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14,1 тыс. т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0,3-3,7 г/т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31,7 тыс. т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0,4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Mo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0,05-0,07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37,0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0,01-0,10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19,6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1,9</w:t>
            </w:r>
          </w:p>
        </w:tc>
      </w:tr>
      <w:tr>
        <w:trPr/>
        <w:tc>
          <w:tcPr>
            <w:tcW w:w="23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Глубоководные полиметаллические сульфиды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Cu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2,35-30,9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6,0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0,3-3,97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1000,0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0,006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Zn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2,52-16,4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2,6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2,0-11,0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491,3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0,005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Pb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2,27-9,30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1,4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1,1-6,1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220,3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0,06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Ag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529-1900 г/т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29,5 тыс. т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100-400 г.т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915,8 тыс. т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0,03</w:t>
            </w:r>
          </w:p>
        </w:tc>
      </w:tr>
      <w:tr>
        <w:trPr/>
        <w:tc>
          <w:tcPr>
            <w:tcW w:w="2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  <w:t>Au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4,14-62,0 г/т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802 т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1,4-5,9 г/т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109,4 тыс. т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0,007</w:t>
            </w:r>
          </w:p>
        </w:tc>
      </w:tr>
    </w:tbl>
    <w:p>
      <w:pPr>
        <w:pStyle w:val="Normal"/>
        <w:ind w:firstLine="709" w:end="0"/>
        <w:jc w:val="center"/>
        <w:rPr/>
      </w:pPr>
      <w:r>
        <w:rPr/>
      </w:r>
    </w:p>
    <w:p>
      <w:pPr>
        <w:pStyle w:val="Normal"/>
        <w:ind w:firstLine="709" w:end="0"/>
        <w:jc w:val="both"/>
        <w:rPr/>
        <w:sectPr>
          <w:type w:val="nextPage"/>
          <w:pgSz w:orient="landscape" w:w="16838" w:h="11906"/>
          <w:pgMar w:left="1134" w:right="851" w:gutter="0" w:header="0" w:top="1701" w:footer="0" w:bottom="567"/>
          <w:pgNumType w:fmt="decimal"/>
          <w:formProt w:val="false"/>
          <w:textDirection w:val="lrTb"/>
          <w:docGrid w:type="default" w:linePitch="245" w:charSpace="0"/>
        </w:sectPr>
      </w:pPr>
      <w:r>
        <w:rPr/>
        <w:t>* Сведения о содержаниях и ресурсах металлов на континентах из работы «Запасы и добыча важнейших видов полезных ископаемых Мира». 2008./1/.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Из таблицы 1 следует вывод, что океанические руды по своему составу и масштабу распространения представляют реальный практический интерес, учитывая что общемировая и национальная минерально-сырьевая база России начинает ощущать дефицит в источниках целого ряда стратегических металлов. По данным ЦНИГРИ /3/, рентабельные запасы никеля будут исчерпаны к 2018 г, меди – к 2016 г. В связи с этим, отметим, что </w:t>
      </w:r>
      <w:r>
        <w:rPr>
          <w:lang w:val="en-US"/>
        </w:rPr>
        <w:t>Ni</w:t>
      </w:r>
      <w:r>
        <w:rPr/>
        <w:t xml:space="preserve"> и </w:t>
      </w:r>
      <w:r>
        <w:rPr>
          <w:lang w:val="en-US"/>
        </w:rPr>
        <w:t>Cu</w:t>
      </w:r>
      <w:r>
        <w:rPr/>
        <w:t xml:space="preserve"> – основные рудные компоненты ЖМК и КМК, а </w:t>
      </w:r>
      <w:r>
        <w:rPr>
          <w:lang w:val="en-US"/>
        </w:rPr>
        <w:t>Cu</w:t>
      </w:r>
      <w:r>
        <w:rPr/>
        <w:t xml:space="preserve"> присутствует в очень высоких концентрациях в составе ГПС.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«Океанический» кобальт – это специфический минерально-сырьевой феномен Мирового океана. При средних содержаниях 0.20-0.23% в ЖМК и высоких концентрациях кобальта 0.5-0.6% (нередко до 0.8-1.0%) в КМК, он способен произвести переворот на Мировом рынке металлов, как высоко конкурентный продукт переработки совершенно нового комплексного сырья на цветные металлы – железомарганцевых образований океана. </w:t>
      </w:r>
    </w:p>
    <w:p>
      <w:pPr>
        <w:pStyle w:val="Normal"/>
        <w:spacing w:lineRule="auto" w:line="360"/>
        <w:ind w:firstLine="709" w:end="0"/>
        <w:jc w:val="both"/>
        <w:rPr>
          <w:lang w:val="en-US"/>
        </w:rPr>
      </w:pPr>
      <w:r>
        <w:rPr/>
        <w:t>Общие масштабы распространения железомарганцевых образований в Мировом океане грандиозны – оцениваются, по данным ВНИИОкеангеология в 94,5 млрд. т. сухой рудной массы. В т.ч. ЖМК составляют 51.3 млрд. т., КМК – 40,0 млрд. т. и не имеющий пока ресурсного значения гидротермальный тип корок – 3,4 млрд. т.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Один из типов ЖМК (поле Кларион-Клиппертон,Тихий океан) признан практически значимым и площади его распространения одновременно изучаются несколькими странами, имеющими Международные сертификаты на Заявочные Участки. Это Россия, Франция, Япония, Китай, Ю. Корея, Германия, сообщество восточноевропейских стран, объединенных в СО «ИНТЕРОКЕАНМЕТАЛ». Заявочный Участок Индии располагается в Индийском океане, в Центрально-Индоокеанском поле, где встречены  ЖМК геохимического типа Кларион-Клиппертон. Таким образом, в Мировом океане зарегистрировано 9 Заявочных Участков ЖМК, 75 тыс. км</w:t>
      </w:r>
      <w:r>
        <w:rPr>
          <w:vertAlign w:val="superscript"/>
        </w:rPr>
        <w:t>2</w:t>
      </w:r>
      <w:r>
        <w:rPr/>
        <w:t xml:space="preserve"> каждый. Кроме того, в поле Кларион-Клиппертон четыре продуктивных участка зарезервированы за Международными Корпорациями: </w:t>
      </w:r>
      <w:r>
        <w:rPr>
          <w:lang w:val="en-US"/>
        </w:rPr>
        <w:t>OMA</w:t>
      </w:r>
      <w:r>
        <w:rPr/>
        <w:t xml:space="preserve">, </w:t>
      </w:r>
      <w:r>
        <w:rPr>
          <w:lang w:val="en-US"/>
        </w:rPr>
        <w:t>OMI</w:t>
      </w:r>
      <w:r>
        <w:rPr/>
        <w:t xml:space="preserve">, </w:t>
      </w:r>
      <w:r>
        <w:rPr>
          <w:lang w:val="en-US"/>
        </w:rPr>
        <w:t>OMCO</w:t>
      </w:r>
      <w:r>
        <w:rPr/>
        <w:t xml:space="preserve"> и </w:t>
      </w:r>
      <w:r>
        <w:rPr>
          <w:lang w:val="en-US"/>
        </w:rPr>
        <w:t>KCON</w:t>
      </w:r>
      <w:r>
        <w:rPr/>
        <w:t>, объединяющими капиталы США, Канады, Германии, Великобритании, Голландии, Бельгии, Италии и Японии. На Российском Заявочном Участке в пределах Российского Разведочного Района (РРР), согласно контракта с МОМД ООН, завершается второй этап разведки. Плановый срок окончания разведки – 2016 г. Согласно концепции изучения и освоения океанического месторождения ЖМК /2/, этап его промышленного освоения может наступить в начале двадцатых годов текущего столетия (2021-2022 гг).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КМК – второй после ЖМК по изученности и подготовленности к освоению вид океанического полезного ископаемого. В ходе предварительной подготовки заявочных материалов изучаются условия залегания корок, определяется мощность (толщина) и состав, оцениваются прогнозные ресурсы по категориям Р</w:t>
      </w:r>
      <w:r>
        <w:rPr>
          <w:vertAlign w:val="subscript"/>
        </w:rPr>
        <w:t>2</w:t>
      </w:r>
      <w:r>
        <w:rPr/>
        <w:t xml:space="preserve"> и Р</w:t>
      </w:r>
      <w:r>
        <w:rPr>
          <w:vertAlign w:val="subscript"/>
        </w:rPr>
        <w:t>1</w:t>
      </w:r>
      <w:r>
        <w:rPr/>
        <w:t>, проводится минералого-геохимическое изучение корковых руд, инженерно-геологические и экологические исследования. Разрабатываются гидрометаллургические, пирометаллургические и комбинированные схемы переработки корковых руд с учетом извлечения основных (</w:t>
      </w:r>
      <w:r>
        <w:rPr>
          <w:lang w:val="en-US"/>
        </w:rPr>
        <w:t>Co</w:t>
      </w:r>
      <w:r>
        <w:rPr/>
        <w:t xml:space="preserve">, </w:t>
      </w:r>
      <w:r>
        <w:rPr>
          <w:lang w:val="en-US"/>
        </w:rPr>
        <w:t>Mn</w:t>
      </w:r>
      <w:r>
        <w:rPr/>
        <w:t xml:space="preserve">, </w:t>
      </w:r>
      <w:r>
        <w:rPr>
          <w:lang w:val="en-US"/>
        </w:rPr>
        <w:t>Ni</w:t>
      </w:r>
      <w:r>
        <w:rPr/>
        <w:t xml:space="preserve">, </w:t>
      </w:r>
      <w:r>
        <w:rPr>
          <w:lang w:val="en-US"/>
        </w:rPr>
        <w:t>Cu</w:t>
      </w:r>
      <w:r>
        <w:rPr/>
        <w:t>) и попутных (</w:t>
      </w:r>
      <w:r>
        <w:rPr>
          <w:lang w:val="en-US"/>
        </w:rPr>
        <w:t>Mo</w:t>
      </w:r>
      <w:r>
        <w:rPr/>
        <w:t xml:space="preserve">, </w:t>
      </w:r>
      <w:r>
        <w:rPr>
          <w:lang w:val="en-US"/>
        </w:rPr>
        <w:t>Bi</w:t>
      </w:r>
      <w:r>
        <w:rPr/>
        <w:t xml:space="preserve">, </w:t>
      </w:r>
      <w:r>
        <w:rPr>
          <w:lang w:val="en-US"/>
        </w:rPr>
        <w:t>Ta</w:t>
      </w:r>
      <w:r>
        <w:rPr/>
        <w:t xml:space="preserve">, </w:t>
      </w:r>
      <w:r>
        <w:rPr>
          <w:lang w:val="en-US"/>
        </w:rPr>
        <w:t>Te</w:t>
      </w:r>
      <w:r>
        <w:rPr/>
        <w:t xml:space="preserve">, </w:t>
      </w:r>
      <w:r>
        <w:rPr>
          <w:lang w:val="en-US"/>
        </w:rPr>
        <w:t>Pt</w:t>
      </w:r>
      <w:r>
        <w:rPr/>
        <w:t>, РЗЭ) компонентов.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Глубоководные полиметаллические сульфиды (ГПС) – третий вид океанического полезного ископаемого, привлекающий пристальное внимание как ресурсный объект океана. В настоящее время открыто более 120 глубоководных сульфидных проявлений.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В данный момент происходит раздел минеральных ресурсов морского дна активными геологоразведочными и коммерческими организациями «на глазах» всего Мира с закреплением прав на разведку рудных объектов и последующее их освоение.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Российские геологи начали работать на глубоководные сульфиды в 1985 г, сначала в районе Восточно-Тихоокеанского Поднятия, а затем сконцентрировали свои исследования в Северо-Атлантическом хребте, в интервале 0</w:t>
      </w:r>
      <w:r>
        <w:rPr>
          <w:rFonts w:eastAsia="Symbol" w:cs="Symbol" w:ascii="Symbol" w:hAnsi="Symbol"/>
        </w:rPr>
        <w:sym w:font="Symbol" w:char="f0b0"/>
      </w:r>
      <w:r>
        <w:rPr/>
        <w:t>-40</w:t>
      </w:r>
      <w:r>
        <w:rPr>
          <w:rFonts w:eastAsia="Symbol" w:cs="Symbol" w:ascii="Symbol" w:hAnsi="Symbol"/>
        </w:rPr>
        <w:sym w:font="Symbol" w:char="f0b0"/>
      </w:r>
      <w:r>
        <w:rPr/>
        <w:t xml:space="preserve">с.ш., где были открыты крупные рудные объекты, такие как ТАГ (1985, США). К настоящему моменту в регионе выявлено более 10 скоплений сульфидных руд, в т.ч. открытие шести из них является заслугой россиян (таблица 2). </w:t>
      </w:r>
    </w:p>
    <w:p>
      <w:pPr>
        <w:pStyle w:val="Normal"/>
        <w:spacing w:lineRule="auto" w:line="360"/>
        <w:ind w:firstLine="709" w:end="0"/>
        <w:jc w:val="end"/>
        <w:rPr/>
      </w:pPr>
      <w:r>
        <w:rPr/>
        <w:t>Таблица 2.</w:t>
      </w:r>
    </w:p>
    <w:p>
      <w:pPr>
        <w:pStyle w:val="Normal"/>
        <w:spacing w:lineRule="auto" w:line="360"/>
        <w:ind w:firstLine="709" w:end="0"/>
        <w:jc w:val="center"/>
        <w:rPr/>
      </w:pPr>
      <w:r>
        <w:rPr/>
        <w:t>Рудные объекты ГПС, открытые российскими геологами в САХ</w:t>
      </w:r>
    </w:p>
    <w:p>
      <w:pPr>
        <w:pStyle w:val="Normal"/>
        <w:spacing w:lineRule="auto" w:line="360"/>
        <w:ind w:firstLine="709" w:end="0"/>
        <w:jc w:val="center"/>
        <w:rPr/>
      </w:pPr>
      <w:r>
        <w:rPr/>
        <w:t>(данные ПМГРЭ и ВНИИОкеангеология).</w:t>
      </w:r>
    </w:p>
    <w:p>
      <w:pPr>
        <w:pStyle w:val="Normal"/>
        <w:spacing w:lineRule="auto" w:line="360"/>
        <w:ind w:firstLine="709" w:end="0"/>
        <w:jc w:val="center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8"/>
        <w:gridCol w:w="810"/>
        <w:gridCol w:w="810"/>
        <w:gridCol w:w="810"/>
        <w:gridCol w:w="810"/>
        <w:gridCol w:w="2816"/>
      </w:tblGrid>
      <w:tr>
        <w:trPr/>
        <w:tc>
          <w:tcPr>
            <w:tcW w:w="37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Название объектов ГПС</w:t>
            </w:r>
          </w:p>
        </w:tc>
        <w:tc>
          <w:tcPr>
            <w:tcW w:w="32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 руд</w:t>
            </w:r>
          </w:p>
        </w:tc>
        <w:tc>
          <w:tcPr>
            <w:tcW w:w="28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Прогнозные ресурсы, млн. т</w:t>
            </w:r>
          </w:p>
        </w:tc>
      </w:tr>
      <w:tr>
        <w:trPr/>
        <w:tc>
          <w:tcPr>
            <w:tcW w:w="37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Cu, %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Zn, %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Au, </w:t>
            </w:r>
            <w:r>
              <w:rPr>
                <w:sz w:val="20"/>
                <w:szCs w:val="20"/>
              </w:rPr>
              <w:t>г/т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Ag</w:t>
            </w:r>
            <w:r>
              <w:rPr>
                <w:sz w:val="20"/>
                <w:szCs w:val="20"/>
              </w:rPr>
              <w:t>, г/т</w:t>
            </w:r>
          </w:p>
        </w:tc>
        <w:tc>
          <w:tcPr>
            <w:tcW w:w="2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Рудный узел Ашадзе - 12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58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9,69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1,11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4,23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15,28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6,7 (Р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+Р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Рудное поле Семенов - 13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31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0,17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14,52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13,1 (Р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Рудный узел Логачев - 14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45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30,87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4,06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17,86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51,42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 (Р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+Р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Рудное поле Краснов - 16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38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0,35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0,36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8,25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14,0 (Р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+Р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Рудное поле Зенит-Виктория - 20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08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2,35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0,72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0,24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22,72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7e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8,0 (Р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Рудное поле Пюи-де-Фолль - 20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30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6,43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2,52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36,24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7e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12,0 (Р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Рудопроявление 24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30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16,25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4,06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10,4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42,7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0,25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Рудная постройка Мир (ТАГ) - 26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b0"/>
            </w:r>
            <w:r>
              <w:rPr>
                <w:sz w:val="20"/>
                <w:szCs w:val="20"/>
              </w:rPr>
              <w:t>08</w:t>
            </w:r>
            <w:r>
              <w:rPr>
                <w:rFonts w:eastAsia="Symbol" w:cs="Symbol" w:ascii="Symbol" w:hAnsi="Symbol"/>
                <w:sz w:val="20"/>
                <w:szCs w:val="20"/>
              </w:rPr>
              <w:sym w:font="Symbol" w:char="f0a2"/>
            </w:r>
            <w:r>
              <w:rPr>
                <w:sz w:val="20"/>
                <w:szCs w:val="20"/>
              </w:rPr>
              <w:t>с.ш.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8,40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5,52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4,14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118,6</w:t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9,98</w:t>
            </w:r>
          </w:p>
        </w:tc>
      </w:tr>
      <w:tr>
        <w:trPr/>
        <w:tc>
          <w:tcPr>
            <w:tcW w:w="3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Более 66,00 млн. т сухой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рудной массы</w:t>
            </w:r>
          </w:p>
        </w:tc>
      </w:tr>
    </w:tbl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Перечисленные объекты ГПС, открытые россиянами, составляют основу заявочного фонда на поиски и разведку, а в дальнейшем и освоение месторождений ГПС в районе САХ. Современный уровень изученности большинства скоплений ГПС может отвечать региональной стадии геологоразведочных работ, сопутствуемой детальными поисками на наиболее интересных сульфидных проявлениях.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Освоение глубоководных сульфидных руд будет способствовать укреплению национальной базы цветных металлов - </w:t>
      </w:r>
      <w:r>
        <w:rPr>
          <w:lang w:val="en-US"/>
        </w:rPr>
        <w:t>Cu</w:t>
      </w:r>
      <w:r>
        <w:rPr/>
        <w:t xml:space="preserve"> и </w:t>
      </w:r>
      <w:r>
        <w:rPr>
          <w:lang w:val="en-US"/>
        </w:rPr>
        <w:t>Zn</w:t>
      </w:r>
      <w:r>
        <w:rPr/>
        <w:t xml:space="preserve"> в условиях неуклонного снижения добычи медно-цинковых руд на Урале, тем более, что в океане сульфидные руды существенно богаче традиционных наземных источников этих металлов, по меди нередко в разы, по цинку в 1.5 раза.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Подводя итог под краткой информацией о минеральных ресурсах дна Мирового океана, отметим: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>- освоение месторождения ЖМК представляется актуальным уже в самое ближайшее время; оно полностью покрывает дефицит марганца, сложившийся в этот стратегически важной национальной отрасли промышленности;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>- кроме того, этот океанический объект укрепляет никелевую базу страны и будет стабилизировать ситуацию в медьдобывающей отрасли;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 xml:space="preserve">- содержащийся в конкрециях кобальт является важным экспортным продуктом, способным возместить снижение его извлечения при переработке беднеющих норильских </w:t>
      </w:r>
      <w:r>
        <w:rPr>
          <w:lang w:val="en-US"/>
        </w:rPr>
        <w:t>Cu</w:t>
      </w:r>
      <w:r>
        <w:rPr/>
        <w:t>-</w:t>
      </w:r>
      <w:r>
        <w:rPr>
          <w:lang w:val="en-US"/>
        </w:rPr>
        <w:t>Ni</w:t>
      </w:r>
      <w:r>
        <w:rPr/>
        <w:t xml:space="preserve"> сульфидных руд.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 xml:space="preserve">- освоение месторождений КМК перспективно в плане получения экспортного кобальта, дефицитного марганца и важного для страны </w:t>
      </w:r>
      <w:r>
        <w:rPr>
          <w:lang w:val="en-US"/>
        </w:rPr>
        <w:t>Ni</w:t>
      </w:r>
      <w:r>
        <w:rPr/>
        <w:t>;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>- месторождения глубоководных сульфидов следует отнести к объектам второй очереди; сегодня они важный стратегический резерв, представленный уникальными медьбогатыми рудами (до 30%).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Задачей ближайших лет является закрепление в МОМД ООН Российских Заявочных объектов ГПС в районе САХ (10</w:t>
      </w:r>
      <w:r>
        <w:rPr>
          <w:rFonts w:eastAsia="Symbol" w:cs="Symbol" w:ascii="Symbol" w:hAnsi="Symbol"/>
        </w:rPr>
        <w:sym w:font="Symbol" w:char="f0b0"/>
      </w:r>
      <w:r>
        <w:rPr/>
        <w:t>-30</w:t>
      </w:r>
      <w:r>
        <w:rPr>
          <w:rFonts w:eastAsia="Symbol" w:cs="Symbol" w:ascii="Symbol" w:hAnsi="Symbol"/>
        </w:rPr>
        <w:sym w:font="Symbol" w:char="f0b0"/>
      </w:r>
      <w:r>
        <w:rPr/>
        <w:t>с.ш.) и объектов КМК в районе Магеллановых гор (Тихий океан). На Заявочном Участке ЖМК будут продолжены разведочные работы второго и третьего этапов. Необходимо в форсированном темпе готовить технологию и технику добычи ЖМК в промышленном масштабе, которая способна поднимать ежегодно до 3.0 млн. т сухой рудной массы. Современное состояние проблемы требует определения сроков выхода на опытную и промышленную добычу океанических конкреций, вероятно, в начале 20-х годов текущего столетия /2/.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</w:t>
      </w:r>
      <w:r>
        <w:rPr/>
        <w:t xml:space="preserve">Настает время разработки сценария освоения месторождения ЖМК, расположенного в поле Кларион-Клиппертон (Тихий океан). Необходимы предварительные геолого-экономические прикидки, с учетом географического, политического и национального факторов, определяющих в качестве наиболее вероятного местоположения один из портов Приморского края. В рамках его инфраструктуры горноперерабатывающий комбинат и мощный приемочный терминал для перегрузки огромных объемов железомарганцевой рудной массы могут явиться крупным градообразующим предприятием, способствующим общему восстановлению и развитию производительных сил всего Дальнего Востока. </w:t>
      </w:r>
    </w:p>
    <w:p>
      <w:pPr>
        <w:pStyle w:val="Normal"/>
        <w:spacing w:lineRule="auto" w:line="360"/>
        <w:ind w:firstLine="709" w:end="0"/>
        <w:jc w:val="center"/>
        <w:rPr/>
      </w:pPr>
      <w:r>
        <w:rPr/>
        <w:t>Литература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1. Бежанова М.П., Кызина Л.В. Запасы и добыча важнейших видов полезных ископаемых Мира на начало 2007 г. М. 2008. 124 с.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2. Минеральные ресурсы Мирового океана. Концепция изученности и освоения (на период до 2020 г). Гл. редактор С.И. Андреев. С-Петербург. ВНИИОкеангеология. 2007. 97 с.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3. Якуцени В.П., Беневольский Б.И. Стратегические виды полезных ископаемых России и их государственные резервы. СПб. 2007. 231 с.</w:t>
      </w:r>
    </w:p>
    <w:p>
      <w:pPr>
        <w:pStyle w:val="Normal"/>
        <w:spacing w:lineRule="auto" w:line="360"/>
        <w:ind w:firstLine="709" w:end="0"/>
        <w:jc w:val="both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567" w:gutter="0" w:header="0" w:top="851" w:footer="0" w:bottom="1134"/>
      <w:pgNumType w:fmt="decimal"/>
      <w:formProt w:val="false"/>
      <w:textDirection w:val="lrTb"/>
      <w:docGrid w:type="default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2013-08-11T08:48:00Z</dcterms:created>
  <dc:creator>Яковлева</dc:creator>
  <dc:description/>
  <cp:keywords/>
  <dc:language>ru-RU</dc:language>
  <cp:lastModifiedBy>svetlana</cp:lastModifiedBy>
  <cp:lastPrinted>2010-10-29T13:41:00Z</cp:lastPrinted>
  <dcterms:modified xsi:type="dcterms:W3CDTF">2013-08-11T08:48:00Z</dcterms:modified>
  <cp:revision>2</cp:revision>
  <dc:subject/>
  <dc:title>С</dc:title>
</cp:coreProperties>
</file>