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284" w:end="-320"/>
        <w:rPr>
          <w:rFonts w:ascii="Arial" w:hAnsi="Arial" w:cs="Arial"/>
          <w:b/>
          <w:color w:val="FFFFFF"/>
          <w:sz w:val="28"/>
          <w:szCs w:val="28"/>
        </w:rPr>
      </w:pPr>
      <w:r>
        <w:rPr>
          <w:b/>
          <w:color w:val="FFFFFF"/>
          <w:sz w:val="28"/>
          <w:szCs w:val="28"/>
          <w:highlight w:val="black"/>
        </w:rPr>
        <w:t xml:space="preserve">ICSG PRESS RELEASE                                        Date Issued: 19 July </w:t>
      </w:r>
      <w:r>
        <w:rPr>
          <w:rFonts w:cs="Arial" w:ascii="Arial" w:hAnsi="Arial"/>
          <w:b/>
          <w:color w:val="FFFFFF"/>
          <w:sz w:val="28"/>
          <w:szCs w:val="28"/>
          <w:highlight w:val="black"/>
        </w:rPr>
        <w:t>2012</w:t>
      </w:r>
    </w:p>
    <w:p>
      <w:pPr>
        <w:pStyle w:val="Normal"/>
        <w:ind w:start="-284" w:end="-320"/>
        <w:jc w:val="center"/>
        <w:rPr>
          <w:rFonts w:ascii="Arial" w:hAnsi="Arial" w:cs="Arial"/>
          <w:b/>
          <w:color w:val="FFFFFF"/>
          <w:sz w:val="28"/>
          <w:szCs w:val="28"/>
        </w:rPr>
      </w:pPr>
      <w:r>
        <w:drawing>
          <wp:anchor distT="0" distB="0" distL="114935" distR="114935" simplePos="0" relativeHeight="3" behindDoc="0" locked="0" layoutInCell="0" allowOverlap="1">
            <wp:simplePos x="0" y="0"/>
            <wp:positionH relativeFrom="page">
              <wp:posOffset>670560</wp:posOffset>
            </wp:positionH>
            <wp:positionV relativeFrom="paragraph">
              <wp:posOffset>47625</wp:posOffset>
            </wp:positionV>
            <wp:extent cx="809625" cy="100965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4" t="-19" r="-24" b="-19"/>
                    <a:stretch>
                      <a:fillRect/>
                    </a:stretch>
                  </pic:blipFill>
                  <pic:spPr bwMode="auto">
                    <a:xfrm>
                      <a:off x="0" y="0"/>
                      <a:ext cx="809625" cy="1009650"/>
                    </a:xfrm>
                    <a:prstGeom prst="rect">
                      <a:avLst/>
                    </a:prstGeom>
                    <a:noFill/>
                  </pic:spPr>
                </pic:pic>
              </a:graphicData>
            </a:graphic>
          </wp:anchor>
        </w:drawing>
      </w:r>
      <w:r>
        <w:rPr>
          <w:rFonts w:cs="Arial" w:ascii="Arial" w:hAnsi="Arial"/>
          <w:b/>
          <w:color w:val="FFFFFF"/>
          <w:sz w:val="28"/>
          <w:szCs w:val="28"/>
        </w:rPr>
        <w:t>9</w:t>
      </w:r>
    </w:p>
    <w:p>
      <w:pPr>
        <w:pStyle w:val="Normal"/>
        <w:ind w:start="-284" w:end="-320"/>
        <w:rPr>
          <w:rFonts w:ascii="Arial" w:hAnsi="Arial" w:cs="Arial"/>
          <w:sz w:val="8"/>
          <w:szCs w:val="8"/>
        </w:rPr>
      </w:pPr>
      <w:r>
        <w:rPr>
          <w:rFonts w:cs="Times New Roman" w:ascii="Times New Roman" w:hAnsi="Times New Roman"/>
          <w:sz w:val="32"/>
          <w:szCs w:val="32"/>
        </w:rPr>
        <w:t xml:space="preserve">ICSG Directory of Global Copper First Use Capacity: </w:t>
        <w:tab/>
        <w:tab/>
        <w:tab/>
        <w:t xml:space="preserve">                          2012</w:t>
      </w:r>
      <w:r>
        <w:rPr>
          <w:rFonts w:cs="Times New Roman" w:ascii="Times New Roman" w:hAnsi="Times New Roman"/>
          <w:bCs/>
          <w:sz w:val="32"/>
          <w:szCs w:val="32"/>
        </w:rPr>
        <w:t xml:space="preserve"> Edition</w:t>
      </w:r>
    </w:p>
    <w:p>
      <w:pPr>
        <w:pStyle w:val="BodyText"/>
        <w:numPr>
          <w:ilvl w:val="0"/>
          <w:numId w:val="0"/>
        </w:numPr>
        <w:spacing w:before="0" w:after="0"/>
        <w:ind w:start="-284" w:end="-320"/>
        <w:jc w:val="center"/>
        <w:outlineLvl w:val="0"/>
        <w:rPr>
          <w:rFonts w:ascii="Times New Roman" w:hAnsi="Times New Roman" w:cs="Times New Roman"/>
          <w:b/>
          <w:sz w:val="24"/>
          <w:szCs w:val="24"/>
        </w:rPr>
      </w:pPr>
      <w:r>
        <w:rPr>
          <w:rFonts w:cs="Times New Roman" w:ascii="Times New Roman" w:hAnsi="Times New Roman"/>
          <w:b/>
          <w:sz w:val="24"/>
          <w:szCs w:val="24"/>
        </w:rPr>
      </w:r>
    </w:p>
    <w:p>
      <w:pPr>
        <w:pStyle w:val="Normal"/>
        <w:spacing w:before="60" w:after="60"/>
        <w:ind w:end="-320"/>
        <w:jc w:val="both"/>
        <w:rPr>
          <w:rFonts w:ascii="Times New Roman" w:hAnsi="Times New Roman" w:cs="Times New Roman"/>
          <w:szCs w:val="22"/>
        </w:rPr>
      </w:pPr>
      <w:r>
        <w:rPr>
          <w:rFonts w:cs="Times New Roman" w:ascii="Times New Roman" w:hAnsi="Times New Roman"/>
          <w:szCs w:val="22"/>
        </w:rPr>
        <w:t xml:space="preserve">The International Copper Study Group released its 2012 edition of the “Directory of Copper and Copper Alloy Fabricators – First Use”. This directory provides a systematic global overview of companies and plants involved in the “first use” of copper - the use of unwrought copper materials (refined copper, alloy ingots, direct melt scrap, etc.) as feed to the production of semi-fabricated products (copper wire rod; copper and copper alloy, sheet, strip, bar, rod, tube, etc.). The Directory covers wire-rod plants, brass mills, and electrodeposited copper foil mills.  It also covers ingot makers, chemical plants and master alloy plants as suppliers to foundries and brass mills.  </w:t>
      </w:r>
    </w:p>
    <w:p>
      <w:pPr>
        <w:pStyle w:val="Style14"/>
        <w:rPr>
          <w:rFonts w:ascii="Times New Roman" w:hAnsi="Times New Roman" w:cs="Times New Roman"/>
          <w:szCs w:val="22"/>
        </w:rPr>
      </w:pPr>
      <w:r>
        <w:rPr>
          <w:rFonts w:cs="Times New Roman" w:ascii="Times New Roman" w:hAnsi="Times New Roman"/>
          <w:szCs w:val="22"/>
        </w:rPr>
      </w:r>
    </w:p>
    <w:p>
      <w:pPr>
        <w:pStyle w:val="Style14"/>
        <w:rPr>
          <w:rFonts w:ascii="Times New Roman" w:hAnsi="Times New Roman" w:cs="Times New Roman"/>
          <w:szCs w:val="22"/>
        </w:rPr>
      </w:pPr>
      <w:r>
        <w:rPr>
          <w:rFonts w:cs="Times New Roman" w:ascii="Times New Roman" w:hAnsi="Times New Roman"/>
          <w:szCs w:val="22"/>
        </w:rPr>
        <w:t xml:space="preserve">Global copper and copper alloy semifabrication production capacity reported in the 2012 edition of the Directory totalled over 46.5 million tonnes in gross weight. This capacity includes all plants in operation and construction reported in 2012 and some projects in early stages. The global semifabrication capacity reported in 2012 consists mainly of 23.3 million tonnes of wire rod capacity, representing 50% of the capacity reported in 2012. If we add close to 1.8 million tonnes of alloy wire capacity reported worldwide in 2012, representing close to 4% of the known capacity, copper and copper alloy wire represents 54% of the global capacity reported this year. Production capacity of flat products, including plates, sheets and strips (PSS) is the second most important source of fabrication capacity worldwide and increased to over 6 million tonnes of capacity reported in 2012 year, representing nearly 13% of the global semifabrication capacity reported. Meanwhile rods, bars and sections (RBS) is the third most reported category with more than 5.28 Mt reported in 2012, or 11 % of the global capacity. However is important to highlight that we did not find significant expansion of capacity for rods, bars and sections products in the 2012 edition in relation to the 2011 edition. The case of copper and copper alloy tube production capacity reported this year is different: we are reporting 4.84 million tonnes of capacity in 2012, growing from 4.7 Mt reported worldwide in 2011. As in 2011, a large number of fabricators and data sources are not reporting plant capacities by product but as aggregated plant capacity, so we have over 3.5 Mt of semis capacity unclassified but with their plant location identified in the 2012 edition. </w:t>
      </w:r>
    </w:p>
    <w:p>
      <w:pPr>
        <w:pStyle w:val="Style14"/>
        <w:rPr>
          <w:rFonts w:ascii="Times New Roman" w:hAnsi="Times New Roman" w:cs="Times New Roman"/>
          <w:szCs w:val="22"/>
        </w:rPr>
      </w:pPr>
      <w:r>
        <w:rPr>
          <w:rFonts w:cs="Times New Roman" w:ascii="Times New Roman" w:hAnsi="Times New Roman"/>
          <w:szCs w:val="22"/>
        </w:rPr>
      </w:r>
    </w:p>
    <w:p>
      <w:pPr>
        <w:pStyle w:val="Normal"/>
        <w:spacing w:before="60" w:after="60"/>
        <w:ind w:end="-320"/>
        <w:jc w:val="both"/>
        <w:rPr>
          <w:rFonts w:ascii="Times New Roman" w:hAnsi="Times New Roman" w:cs="Times New Roman"/>
          <w:szCs w:val="22"/>
        </w:rPr>
      </w:pPr>
      <w:r>
        <w:rPr>
          <w:rFonts w:cs="Times New Roman" w:ascii="Times New Roman" w:hAnsi="Times New Roman"/>
          <w:szCs w:val="22"/>
        </w:rPr>
        <w:t xml:space="preserve">The Directory is available for sale to ICSG member country/non-member country clients at a price of €400/€600 respectively. An order form is attached to this press release. </w:t>
      </w:r>
    </w:p>
    <w:p>
      <w:pPr>
        <w:pStyle w:val="Normal"/>
        <w:spacing w:before="60" w:after="60"/>
        <w:ind w:end="-320"/>
        <w:jc w:val="both"/>
        <w:rPr>
          <w:rFonts w:ascii="Times New Roman" w:hAnsi="Times New Roman" w:cs="Times New Roman"/>
          <w:sz w:val="20"/>
          <w:szCs w:val="22"/>
        </w:rPr>
      </w:pPr>
      <w:r>
        <w:rPr>
          <w:rFonts w:cs="Times New Roman" w:ascii="Times New Roman" w:hAnsi="Times New Roman"/>
          <w:sz w:val="20"/>
          <w:szCs w:val="22"/>
        </w:rPr>
      </w:r>
    </w:p>
    <w:p>
      <w:pPr>
        <w:pStyle w:val="Normal"/>
        <w:spacing w:before="60" w:after="60"/>
        <w:ind w:end="-320"/>
        <w:jc w:val="both"/>
        <w:rPr>
          <w:rFonts w:ascii="Times New Roman" w:hAnsi="Times New Roman" w:cs="Times New Roman"/>
          <w:sz w:val="20"/>
        </w:rPr>
      </w:pPr>
      <w:r>
        <w:rPr/>
        <w:drawing>
          <wp:inline distT="0" distB="0" distL="0" distR="0">
            <wp:extent cx="6313170" cy="34391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4" t="-6" r="-4" b="-6"/>
                    <a:stretch>
                      <a:fillRect/>
                    </a:stretch>
                  </pic:blipFill>
                  <pic:spPr bwMode="auto">
                    <a:xfrm>
                      <a:off x="0" y="0"/>
                      <a:ext cx="6313170" cy="3439160"/>
                    </a:xfrm>
                    <a:prstGeom prst="rect">
                      <a:avLst/>
                    </a:prstGeom>
                    <a:noFill/>
                  </pic:spPr>
                </pic:pic>
              </a:graphicData>
            </a:graphic>
          </wp:inline>
        </w:drawing>
      </w:r>
      <w:r>
        <w:br w:type="page"/>
      </w:r>
    </w:p>
    <w:p>
      <w:pPr>
        <w:pStyle w:val="Normal"/>
        <w:spacing w:before="60" w:after="60"/>
        <w:ind w:end="-320"/>
        <w:jc w:val="both"/>
        <w:rPr>
          <w:rFonts w:ascii="Times New Roman" w:hAnsi="Times New Roman" w:cs="Times New Roman"/>
          <w:sz w:val="20"/>
        </w:rPr>
      </w:pPr>
      <w:r>
        <w:rPr>
          <w:rFonts w:cs="Times New Roman" w:ascii="Times New Roman" w:hAnsi="Times New Roman"/>
          <w:sz w:val="20"/>
        </w:rPr>
      </w:r>
    </w:p>
    <w:p>
      <w:pPr>
        <w:pStyle w:val="Normal"/>
        <w:spacing w:before="60" w:after="60"/>
        <w:ind w:end="-320"/>
        <w:jc w:val="both"/>
        <w:rPr>
          <w:rFonts w:ascii="Times New Roman" w:hAnsi="Times New Roman" w:cs="Times New Roman"/>
          <w:sz w:val="20"/>
        </w:rPr>
      </w:pPr>
      <w:r>
        <w:rPr>
          <w:rFonts w:cs="Times New Roman" w:ascii="Times New Roman" w:hAnsi="Times New Roman"/>
          <w:sz w:val="20"/>
        </w:rPr>
      </w:r>
    </w:p>
    <w:p>
      <w:pPr>
        <w:pStyle w:val="Normal"/>
        <w:spacing w:lineRule="atLeast" w:line="20" w:before="0" w:after="0"/>
        <w:contextualSpacing/>
        <w:jc w:val="both"/>
        <w:rPr/>
      </w:pPr>
      <w:r>
        <w:rPr>
          <w:rFonts w:cs="Times New Roman" w:ascii="Times New Roman" w:hAnsi="Times New Roman"/>
          <w:b/>
          <w:sz w:val="28"/>
        </w:rPr>
        <w:t xml:space="preserve">                            </w:t>
      </w:r>
      <w:r>
        <w:rPr>
          <w:rFonts w:cs="Times New Roman" w:ascii="Times New Roman" w:hAnsi="Times New Roman"/>
          <w:b/>
          <w:sz w:val="28"/>
        </w:rPr>
        <w:t>International Copper Study Group Order Form</w:t>
      </w:r>
    </w:p>
    <w:p>
      <w:pPr>
        <w:pStyle w:val="BodyText"/>
        <w:keepLines/>
        <w:spacing w:before="0" w:after="0"/>
        <w:ind w:end="-596"/>
        <w:jc w:val="center"/>
        <w:rPr>
          <w:rFonts w:ascii="Times New Roman" w:hAnsi="Times New Roman" w:cs="Times New Roman"/>
        </w:rPr>
      </w:pPr>
      <w:r>
        <w:rPr>
          <w:rFonts w:cs="Times New Roman" w:ascii="Times New Roman" w:hAnsi="Times New Roman"/>
        </w:rPr>
        <w:t>Prices are quoted in Euros. For US dollars payments contact ICSG (see below)</w:t>
      </w:r>
    </w:p>
    <w:p>
      <w:pPr>
        <w:pStyle w:val="BodyText"/>
        <w:keepLines/>
        <w:spacing w:before="0" w:after="0"/>
        <w:ind w:end="-596"/>
        <w:jc w:val="center"/>
        <w:rPr>
          <w:rFonts w:ascii="Times New Roman" w:hAnsi="Times New Roman" w:cs="Times New Roman"/>
          <w:sz w:val="8"/>
        </w:rPr>
      </w:pPr>
      <w:r>
        <w:rPr>
          <w:rFonts w:cs="Times New Roman" w:ascii="Times New Roman" w:hAnsi="Times New Roman"/>
          <w:sz w:val="8"/>
        </w:rPr>
      </w:r>
    </w:p>
    <w:tbl>
      <w:tblPr>
        <w:tblW w:w="10206" w:type="dxa"/>
        <w:jc w:val="start"/>
        <w:tblInd w:w="108" w:type="dxa"/>
        <w:tblLayout w:type="fixed"/>
        <w:tblCellMar>
          <w:top w:w="0" w:type="dxa"/>
          <w:start w:w="108" w:type="dxa"/>
          <w:bottom w:w="0" w:type="dxa"/>
          <w:end w:w="108" w:type="dxa"/>
        </w:tblCellMar>
      </w:tblPr>
      <w:tblGrid>
        <w:gridCol w:w="6663"/>
        <w:gridCol w:w="1134"/>
        <w:gridCol w:w="1275"/>
        <w:gridCol w:w="1134"/>
      </w:tblGrid>
      <w:tr>
        <w:trPr/>
        <w:tc>
          <w:tcPr>
            <w:tcW w:w="666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szCs w:val="22"/>
              </w:rPr>
            </w:pPr>
            <w:r>
              <w:rPr>
                <w:b/>
                <w:szCs w:val="22"/>
              </w:rPr>
            </w:r>
          </w:p>
          <w:p>
            <w:pPr>
              <w:pStyle w:val="Normal"/>
              <w:jc w:val="center"/>
              <w:rPr>
                <w:b/>
                <w:szCs w:val="22"/>
              </w:rPr>
            </w:pPr>
            <w:r>
              <w:rPr>
                <w:b/>
                <w:szCs w:val="22"/>
              </w:rPr>
              <w:t>PUBLICATION</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b/>
                <w:szCs w:val="22"/>
              </w:rPr>
            </w:pPr>
            <w:r>
              <w:rPr>
                <w:b/>
                <w:szCs w:val="22"/>
              </w:rPr>
              <w:t>Member Country</w:t>
            </w:r>
          </w:p>
        </w:tc>
        <w:tc>
          <w:tcPr>
            <w:tcW w:w="1275" w:type="dxa"/>
            <w:tcBorders>
              <w:top w:val="single" w:sz="4" w:space="0" w:color="000000"/>
              <w:start w:val="single" w:sz="4" w:space="0" w:color="000000"/>
              <w:bottom w:val="single" w:sz="4" w:space="0" w:color="000000"/>
              <w:end w:val="single" w:sz="4" w:space="0" w:color="000000"/>
            </w:tcBorders>
          </w:tcPr>
          <w:p>
            <w:pPr>
              <w:pStyle w:val="Normal"/>
              <w:jc w:val="center"/>
              <w:rPr>
                <w:b/>
                <w:szCs w:val="22"/>
              </w:rPr>
            </w:pPr>
            <w:r>
              <w:rPr>
                <w:b/>
                <w:szCs w:val="22"/>
              </w:rPr>
              <w:t>Non-Member Country</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b/>
                <w:szCs w:val="22"/>
              </w:rPr>
            </w:pPr>
            <w:r>
              <w:rPr>
                <w:b/>
                <w:szCs w:val="22"/>
              </w:rPr>
              <w:t>Total</w:t>
            </w:r>
          </w:p>
        </w:tc>
      </w:tr>
      <w:tr>
        <w:trPr/>
        <w:tc>
          <w:tcPr>
            <w:tcW w:w="6663" w:type="dxa"/>
            <w:tcBorders>
              <w:top w:val="single" w:sz="4" w:space="0" w:color="000000"/>
              <w:start w:val="single" w:sz="4" w:space="0" w:color="000000"/>
              <w:bottom w:val="single" w:sz="4" w:space="0" w:color="000000"/>
              <w:end w:val="single" w:sz="4" w:space="0" w:color="000000"/>
            </w:tcBorders>
            <w:vAlign w:val="center"/>
          </w:tcPr>
          <w:p>
            <w:pPr>
              <w:pStyle w:val="BodyText"/>
              <w:numPr>
                <w:ilvl w:val="0"/>
                <w:numId w:val="0"/>
              </w:numPr>
              <w:spacing w:before="0" w:after="0"/>
              <w:ind w:end="-675"/>
              <w:outlineLvl w:val="0"/>
              <w:rPr>
                <w:rFonts w:ascii="Times New Roman" w:hAnsi="Times New Roman" w:cs="Times New Roman"/>
                <w:b/>
                <w:bCs/>
                <w:sz w:val="20"/>
              </w:rPr>
            </w:pPr>
            <w:r>
              <w:rPr>
                <w:rFonts w:cs="Times New Roman" w:ascii="Times New Roman" w:hAnsi="Times New Roman"/>
                <w:b/>
                <w:sz w:val="20"/>
              </w:rPr>
              <w:t xml:space="preserve">ICSG Directory of Copper &amp; Copper Alloy Fabricators: </w:t>
            </w:r>
            <w:r>
              <w:rPr>
                <w:rFonts w:cs="Times New Roman" w:ascii="Times New Roman" w:hAnsi="Times New Roman"/>
                <w:b/>
                <w:bCs/>
                <w:sz w:val="20"/>
              </w:rPr>
              <w:t>2012 Edition</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Cs w:val="22"/>
              </w:rPr>
            </w:pPr>
            <w:r>
              <w:rPr>
                <w:b/>
                <w:szCs w:val="22"/>
              </w:rPr>
              <w:t>€</w:t>
            </w:r>
            <w:r>
              <w:rPr>
                <w:b/>
                <w:szCs w:val="22"/>
              </w:rPr>
              <w:t>400</w:t>
            </w:r>
          </w:p>
          <w:p>
            <w:pPr>
              <w:pStyle w:val="Normal"/>
              <w:jc w:val="center"/>
              <w:rPr>
                <w:b/>
                <w:szCs w:val="22"/>
              </w:rPr>
            </w:pPr>
            <w:r>
              <w:rPr>
                <w:b/>
                <w:szCs w:val="22"/>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szCs w:val="22"/>
              </w:rPr>
              <w:t>€</w:t>
            </w:r>
            <w:r>
              <w:rPr>
                <w:b/>
                <w:szCs w:val="22"/>
              </w:rPr>
              <w:t>600</w:t>
            </w:r>
          </w:p>
          <w:p>
            <w:pPr>
              <w:pStyle w:val="Normal"/>
              <w:jc w:val="center"/>
              <w:rPr>
                <w:b/>
                <w:szCs w:val="22"/>
              </w:rPr>
            </w:pPr>
            <w:r>
              <w:rPr>
                <w:b/>
                <w:szCs w:val="22"/>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2"/>
              </w:rPr>
            </w:pPr>
            <w:r>
              <w:rPr>
                <w:szCs w:val="22"/>
              </w:rPr>
              <w:t>______€</w:t>
            </w:r>
          </w:p>
          <w:p>
            <w:pPr>
              <w:pStyle w:val="Normal"/>
              <w:jc w:val="center"/>
              <w:rPr>
                <w:szCs w:val="22"/>
              </w:rPr>
            </w:pPr>
            <w:r>
              <w:rPr>
                <w:szCs w:val="22"/>
              </w:rPr>
            </w:r>
          </w:p>
        </w:tc>
      </w:tr>
      <w:tr>
        <w:trPr>
          <w:trHeight w:val="559" w:hRule="atLeast"/>
        </w:trPr>
        <w:tc>
          <w:tcPr>
            <w:tcW w:w="666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11"/>
              </w:numPr>
              <w:spacing w:before="0" w:after="120"/>
              <w:ind w:hanging="357" w:start="357" w:end="0"/>
              <w:rPr>
                <w:b/>
                <w:szCs w:val="22"/>
              </w:rPr>
            </w:pPr>
            <w:r>
              <w:rPr>
                <w:b/>
                <w:szCs w:val="22"/>
              </w:rPr>
              <w:t>20% discount for Copper Bulletin subscribers</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szCs w:val="22"/>
              </w:rPr>
            </w:pPr>
            <w:r>
              <w:rPr>
                <w:b/>
                <w:szCs w:val="22"/>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2"/>
              </w:rPr>
            </w:pPr>
            <w:r>
              <w:rPr>
                <w:szCs w:val="22"/>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pPr>
            <w:r>
              <w:rPr>
                <w:szCs w:val="22"/>
              </w:rPr>
              <w:t>-_____€</w:t>
            </w:r>
          </w:p>
        </w:tc>
      </w:tr>
      <w:tr>
        <w:trPr>
          <w:trHeight w:val="425" w:hRule="atLeast"/>
        </w:trPr>
        <w:tc>
          <w:tcPr>
            <w:tcW w:w="66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rPr>
                <w:b/>
                <w:szCs w:val="22"/>
              </w:rPr>
            </w:pPr>
            <w:r>
              <w:rPr>
                <w:b/>
                <w:szCs w:val="22"/>
              </w:rPr>
              <w:t>TOTAL ORDER</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szCs w:val="22"/>
              </w:rPr>
            </w:pPr>
            <w:r>
              <w:rPr>
                <w:b/>
                <w:szCs w:val="22"/>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2"/>
              </w:rPr>
            </w:pPr>
            <w:r>
              <w:rPr>
                <w:szCs w:val="22"/>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2"/>
              </w:rPr>
            </w:pPr>
            <w:r>
              <w:rPr>
                <w:szCs w:val="22"/>
              </w:rPr>
              <w:t>______€</w:t>
            </w:r>
          </w:p>
        </w:tc>
      </w:tr>
    </w:tbl>
    <w:p>
      <w:pPr>
        <w:pStyle w:val="BodyText"/>
        <w:keepLines/>
        <w:spacing w:before="0" w:after="0"/>
        <w:ind w:end="-596"/>
        <w:rPr>
          <w:rFonts w:ascii="Times New Roman" w:hAnsi="Times New Roman" w:cs="Times New Roman"/>
          <w:sz w:val="12"/>
          <w:szCs w:val="12"/>
        </w:rPr>
      </w:pPr>
      <w:r>
        <w:rPr>
          <w:rFonts w:cs="Times New Roman" w:ascii="Times New Roman" w:hAnsi="Times New Roman"/>
          <w:sz w:val="12"/>
          <w:szCs w:val="12"/>
        </w:rPr>
      </w:r>
    </w:p>
    <w:p>
      <w:pPr>
        <w:pStyle w:val="BodyText"/>
        <w:keepLines/>
        <w:spacing w:before="0" w:after="0"/>
        <w:ind w:end="-596"/>
        <w:jc w:val="both"/>
        <w:rPr>
          <w:rFonts w:ascii="Times New Roman" w:hAnsi="Times New Roman" w:cs="Times New Roman"/>
          <w:sz w:val="22"/>
          <w:szCs w:val="22"/>
        </w:rPr>
      </w:pPr>
      <w:r>
        <w:rPr>
          <w:rFonts w:cs="Times New Roman" w:ascii="Times New Roman" w:hAnsi="Times New Roman"/>
          <w:b/>
          <w:sz w:val="22"/>
          <w:szCs w:val="22"/>
        </w:rPr>
        <w:t>NOTE</w:t>
      </w:r>
      <w:r>
        <w:rPr>
          <w:rFonts w:cs="Times New Roman" w:ascii="Times New Roman" w:hAnsi="Times New Roman"/>
          <w:sz w:val="22"/>
          <w:szCs w:val="22"/>
        </w:rPr>
        <w:t xml:space="preserve">: ICSG members refer to orders originating from institutions based in ICSG member countries. ICSG member countries are: Australia, Belgium, Chile, China, Finland, France, Germany, Greece, India, Iran, Italy, Japan, Luxembourg, Mexico, Peru, Poland, Portugal, Russian Fed., Serbia, Spain, Sweden, the U.S.A and Zambia. </w:t>
      </w:r>
    </w:p>
    <w:p>
      <w:pPr>
        <w:pStyle w:val="BodyText"/>
        <w:keepLines/>
        <w:spacing w:before="0" w:after="0"/>
        <w:ind w:end="-596"/>
        <w:jc w:val="both"/>
        <w:rPr>
          <w:rFonts w:ascii="Times New Roman" w:hAnsi="Times New Roman" w:cs="Times New Roman"/>
          <w:sz w:val="20"/>
          <w:szCs w:val="22"/>
        </w:rPr>
      </w:pPr>
      <w:r>
        <w:rPr>
          <w:rFonts w:cs="Times New Roman" w:ascii="Times New Roman" w:hAnsi="Times New Roman"/>
          <w:sz w:val="20"/>
          <w:szCs w:val="22"/>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Name___________________________________________ Title 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Company___________________________________________________________________________________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Address____________________________________________________________________________________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pPr>
      <w:r>
        <w:rPr>
          <w:rFonts w:cs="Times New Roman" w:ascii="Times New Roman" w:hAnsi="Times New Roman"/>
          <w:sz w:val="20"/>
        </w:rPr>
        <w:t>City</w:t>
        <w:tab/>
        <w:t>_______________________ Postal Code_________________ Country___________________________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Tel</w:t>
        <w:tab/>
        <w:t>___________________ Fax__________________ E-mail______________________________________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Date</w:t>
        <w:tab/>
        <w:t>_______________________________        Signed____________________________________________</w:t>
      </w:r>
    </w:p>
    <w:p>
      <w:pPr>
        <w:pStyle w:val="BodyText"/>
        <w:keepLines/>
        <w:spacing w:before="0" w:after="0"/>
        <w:ind w:end="-596"/>
        <w:rPr>
          <w:rFonts w:ascii="Times New Roman" w:hAnsi="Times New Roman" w:cs="Times New Roman"/>
          <w:b/>
          <w:sz w:val="20"/>
        </w:rPr>
      </w:pPr>
      <w:r>
        <w:rPr>
          <w:rFonts w:cs="Times New Roman" w:ascii="Times New Roman" w:hAnsi="Times New Roman"/>
          <w:b/>
          <w:sz w:val="20"/>
        </w:rPr>
      </w:r>
    </w:p>
    <w:p>
      <w:pPr>
        <w:pStyle w:val="BodyText"/>
        <w:keepLines/>
        <w:spacing w:before="0" w:after="0"/>
        <w:ind w:end="-596"/>
        <w:rPr>
          <w:rFonts w:ascii="Times New Roman" w:hAnsi="Times New Roman" w:cs="Times New Roman"/>
          <w:b/>
          <w:sz w:val="20"/>
        </w:rPr>
      </w:pPr>
      <w:r>
        <w:rPr>
          <w:rFonts w:cs="Times New Roman" w:ascii="Times New Roman" w:hAnsi="Times New Roman"/>
          <w:b/>
          <w:sz w:val="20"/>
        </w:rPr>
        <w:t>METHOD OF PAYMENT</w:t>
      </w:r>
    </w:p>
    <w:p>
      <w:pPr>
        <w:pStyle w:val="BodyText"/>
        <w:keepLines/>
        <w:spacing w:before="0" w:after="0"/>
        <w:ind w:end="-596"/>
        <w:rPr/>
      </w:pPr>
      <w:r>
        <w:rPr>
          <w:rFonts w:cs="Times New Roman" w:ascii="Times New Roman" w:hAnsi="Times New Roman"/>
          <w:sz w:val="20"/>
        </w:rPr>
        <w:t xml:space="preserve">□ </w:t>
      </w:r>
      <w:r>
        <w:rPr>
          <w:rFonts w:cs="Times New Roman" w:ascii="Times New Roman" w:hAnsi="Times New Roman"/>
          <w:sz w:val="20"/>
        </w:rPr>
        <w:t xml:space="preserve">I enclose a cheque payable to the </w:t>
      </w:r>
      <w:r>
        <w:rPr>
          <w:rFonts w:cs="Times New Roman" w:ascii="Times New Roman" w:hAnsi="Times New Roman"/>
          <w:b/>
          <w:i/>
          <w:sz w:val="20"/>
        </w:rPr>
        <w:t>International Copper Study Group</w:t>
      </w:r>
      <w:r>
        <w:rPr>
          <w:rFonts w:cs="Times New Roman" w:ascii="Times New Roman" w:hAnsi="Times New Roman"/>
          <w:sz w:val="20"/>
        </w:rPr>
        <w:t xml:space="preserve"> of  _____________  Euros addressed to:</w:t>
      </w:r>
    </w:p>
    <w:p>
      <w:pPr>
        <w:pStyle w:val="BodyText"/>
        <w:keepLines/>
        <w:spacing w:before="0" w:after="0"/>
        <w:ind w:end="-596"/>
        <w:jc w:val="center"/>
        <w:rPr>
          <w:rFonts w:ascii="Times New Roman" w:hAnsi="Times New Roman" w:cs="Times New Roman"/>
          <w:sz w:val="20"/>
        </w:rPr>
      </w:pPr>
      <w:r>
        <w:rPr>
          <w:rFonts w:cs="Times New Roman" w:ascii="Times New Roman" w:hAnsi="Times New Roman"/>
          <w:sz w:val="20"/>
        </w:rPr>
        <w:t>International Copper Study Group</w:t>
      </w:r>
    </w:p>
    <w:p>
      <w:pPr>
        <w:pStyle w:val="BodyText"/>
        <w:keepLines/>
        <w:spacing w:before="0" w:after="0"/>
        <w:ind w:end="-596"/>
        <w:jc w:val="center"/>
        <w:rPr/>
      </w:pPr>
      <w:r>
        <w:rPr>
          <w:rFonts w:cs="Times New Roman" w:ascii="Times New Roman" w:hAnsi="Times New Roman"/>
          <w:sz w:val="20"/>
        </w:rPr>
        <w:t>R. Almirante Barroso, nº 38, 6</w:t>
      </w:r>
      <w:r>
        <w:rPr>
          <w:rFonts w:cs="Times New Roman" w:ascii="Times New Roman" w:hAnsi="Times New Roman"/>
          <w:sz w:val="20"/>
          <w:vertAlign w:val="superscript"/>
        </w:rPr>
        <w:t>th</w:t>
      </w:r>
      <w:r>
        <w:rPr>
          <w:rFonts w:cs="Times New Roman" w:ascii="Times New Roman" w:hAnsi="Times New Roman"/>
          <w:sz w:val="20"/>
        </w:rPr>
        <w:t xml:space="preserve"> Floor</w:t>
      </w:r>
    </w:p>
    <w:p>
      <w:pPr>
        <w:pStyle w:val="BodyText"/>
        <w:keepLines/>
        <w:spacing w:before="0" w:after="0"/>
        <w:ind w:end="-596"/>
        <w:jc w:val="center"/>
        <w:rPr>
          <w:rFonts w:ascii="Times New Roman" w:hAnsi="Times New Roman" w:cs="Times New Roman"/>
          <w:sz w:val="20"/>
        </w:rPr>
      </w:pPr>
      <w:r>
        <w:rPr>
          <w:rFonts w:cs="Times New Roman" w:ascii="Times New Roman" w:hAnsi="Times New Roman"/>
          <w:sz w:val="20"/>
        </w:rPr>
        <w:t>1000-013 Lisbon, Portugal</w:t>
      </w:r>
    </w:p>
    <w:p>
      <w:pPr>
        <w:pStyle w:val="BodyText"/>
        <w:keepLines/>
        <w:spacing w:before="0" w:after="0"/>
        <w:ind w:end="-596"/>
        <w:jc w:val="center"/>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 xml:space="preserve">Please debit my VISA/Master Card for  ________________ Euros </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tbl>
      <w:tblPr>
        <w:tblW w:w="8161" w:type="dxa"/>
        <w:jc w:val="start"/>
        <w:tblInd w:w="0" w:type="dxa"/>
        <w:tblLayout w:type="fixed"/>
        <w:tblCellMar>
          <w:top w:w="0" w:type="dxa"/>
          <w:start w:w="108" w:type="dxa"/>
          <w:bottom w:w="0" w:type="dxa"/>
          <w:end w:w="108" w:type="dxa"/>
        </w:tblCellMar>
      </w:tblPr>
      <w:tblGrid>
        <w:gridCol w:w="1809"/>
        <w:gridCol w:w="397"/>
        <w:gridCol w:w="397"/>
        <w:gridCol w:w="397"/>
        <w:gridCol w:w="397"/>
        <w:gridCol w:w="397"/>
        <w:gridCol w:w="397"/>
        <w:gridCol w:w="397"/>
        <w:gridCol w:w="397"/>
        <w:gridCol w:w="397"/>
        <w:gridCol w:w="397"/>
        <w:gridCol w:w="397"/>
        <w:gridCol w:w="397"/>
        <w:gridCol w:w="397"/>
        <w:gridCol w:w="397"/>
        <w:gridCol w:w="397"/>
        <w:gridCol w:w="397"/>
      </w:tblGrid>
      <w:tr>
        <w:trPr>
          <w:trHeight w:val="320" w:hRule="atLeast"/>
        </w:trPr>
        <w:tc>
          <w:tcPr>
            <w:tcW w:w="1809" w:type="dxa"/>
            <w:tcBorders>
              <w:end w:val="single" w:sz="4" w:space="0" w:color="000000"/>
            </w:tcBorders>
            <w:vAlign w:val="center"/>
          </w:tcPr>
          <w:p>
            <w:pPr>
              <w:pStyle w:val="BodyText"/>
              <w:keepLines/>
              <w:spacing w:before="0" w:after="0"/>
              <w:ind w:end="38"/>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Card number</w:t>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r>
    </w:tbl>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p>
    <w:tbl>
      <w:tblPr>
        <w:tblW w:w="9747" w:type="dxa"/>
        <w:jc w:val="start"/>
        <w:tblInd w:w="0" w:type="dxa"/>
        <w:tblLayout w:type="fixed"/>
        <w:tblCellMar>
          <w:top w:w="0" w:type="dxa"/>
          <w:start w:w="108" w:type="dxa"/>
          <w:bottom w:w="0" w:type="dxa"/>
          <w:end w:w="108" w:type="dxa"/>
        </w:tblCellMar>
      </w:tblPr>
      <w:tblGrid>
        <w:gridCol w:w="8559"/>
        <w:gridCol w:w="396"/>
        <w:gridCol w:w="396"/>
        <w:gridCol w:w="396"/>
      </w:tblGrid>
      <w:tr>
        <w:trPr>
          <w:trHeight w:val="320" w:hRule="atLeast"/>
        </w:trPr>
        <w:tc>
          <w:tcPr>
            <w:tcW w:w="8559" w:type="dxa"/>
            <w:tcBorders>
              <w:end w:val="single" w:sz="4" w:space="0" w:color="000000"/>
            </w:tcBorders>
            <w:vAlign w:val="center"/>
          </w:tcPr>
          <w:p>
            <w:pPr>
              <w:pStyle w:val="BodyText"/>
              <w:keepLines/>
              <w:spacing w:before="0" w:after="0"/>
              <w:ind w:end="38"/>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C.V.V. (Card Value Verification - last three digits of the number on the back of the card)</w:t>
            </w:r>
          </w:p>
        </w:tc>
        <w:tc>
          <w:tcPr>
            <w:tcW w:w="396"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6"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6"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r>
    </w:tbl>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Cardholders Name _______________________________________        Expiry date 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Signature ______________________________________________          Date: 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Cardholders Address _______________________________________________________________________</w:t>
      </w:r>
    </w:p>
    <w:p>
      <w:pPr>
        <w:pStyle w:val="BodyText"/>
        <w:keepLines/>
        <w:spacing w:before="0" w:after="0"/>
        <w:ind w:end="-596"/>
        <w:rPr>
          <w:rFonts w:ascii="Times New Roman" w:hAnsi="Times New Roman" w:cs="Times New Roman"/>
          <w:color w:val="000000"/>
          <w:sz w:val="20"/>
        </w:rPr>
      </w:pPr>
      <w:r>
        <w:rPr>
          <w:rFonts w:cs="Times New Roman" w:ascii="Times New Roman" w:hAnsi="Times New Roman"/>
          <w:color w:val="000000"/>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US dollar payments and electronic bank transfers may be possible.  Please contact the ICSG for details.</w:t>
      </w:r>
    </w:p>
    <w:p>
      <w:pPr>
        <w:pStyle w:val="BodyText"/>
        <w:keepLines/>
        <w:spacing w:before="0" w:after="0"/>
        <w:ind w:end="-596"/>
        <w:jc w:val="center"/>
        <w:rPr/>
      </w:pPr>
      <w:r>
        <w:rPr>
          <w:rFonts w:cs="Times New Roman" w:ascii="Times New Roman" w:hAnsi="Times New Roman"/>
          <w:sz w:val="20"/>
          <w:lang w:val="en-US"/>
        </w:rPr>
        <w:t xml:space="preserve">e-mail: </w:t>
      </w:r>
      <w:hyperlink r:id="rId4">
        <w:r>
          <w:rPr>
            <w:rStyle w:val="Hyperlink"/>
            <w:rFonts w:cs="Times New Roman" w:ascii="Times New Roman" w:hAnsi="Times New Roman"/>
            <w:color w:val="000000"/>
            <w:sz w:val="20"/>
            <w:lang w:val="en-US"/>
          </w:rPr>
          <w:t>mail@icsg.org</w:t>
        </w:r>
      </w:hyperlink>
      <w:r>
        <w:rPr>
          <w:rFonts w:cs="Times New Roman" w:ascii="Times New Roman" w:hAnsi="Times New Roman"/>
          <w:sz w:val="20"/>
          <w:lang w:val="en-US"/>
        </w:rPr>
        <w:t xml:space="preserve"> </w:t>
        <w:tab/>
        <w:t>tel:  351-21-351-3870</w:t>
        <w:tab/>
        <w:t>fax:  351-21-352-4035</w:t>
      </w:r>
    </w:p>
    <w:sectPr>
      <w:type w:val="nextPage"/>
      <w:pgSz w:w="11906" w:h="16838"/>
      <w:pgMar w:left="1276" w:right="1166" w:gutter="0" w:header="0" w:top="450"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Univers">
    <w:altName w:val="Arial"/>
    <w:charset w:val="00" w:characterSet="windows-1252"/>
    <w:family w:val="swiss"/>
    <w:pitch w:val="variable"/>
  </w:font>
  <w:font w:name="CG Times">
    <w:altName w:val="Times New Roman"/>
    <w:charset w:val="00" w:characterSet="windows-1252"/>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ourier New">
    <w:charset w:val="cc" w:characterSet="windows-125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800"/>
        </w:tabs>
        <w:ind w:start="1800" w:hanging="360"/>
      </w:pPr>
    </w:lvl>
  </w:abstractNum>
  <w:abstractNum w:abstractNumId="3">
    <w:lvl w:ilvl="0">
      <w:start w:val="1"/>
      <w:numFmt w:val="decimal"/>
      <w:lvlText w:val="%1."/>
      <w:lvlJc w:val="start"/>
      <w:pPr>
        <w:tabs>
          <w:tab w:val="num" w:pos="1440"/>
        </w:tabs>
        <w:ind w:start="1440" w:hanging="360"/>
      </w:pPr>
    </w:lvl>
  </w:abstractNum>
  <w:abstractNum w:abstractNumId="4">
    <w:lvl w:ilvl="0">
      <w:start w:val="1"/>
      <w:numFmt w:val="decimal"/>
      <w:lvlText w:val="%1."/>
      <w:lvlJc w:val="start"/>
      <w:pPr>
        <w:tabs>
          <w:tab w:val="num" w:pos="1080"/>
        </w:tabs>
        <w:ind w:start="1080" w:hanging="360"/>
      </w:p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bullet"/>
      <w:lvlText w:val=""/>
      <w:lvlJc w:val="start"/>
      <w:pPr>
        <w:tabs>
          <w:tab w:val="num" w:pos="1800"/>
        </w:tabs>
        <w:ind w:start="1800" w:hanging="360"/>
      </w:pPr>
      <w:rPr>
        <w:rFonts w:ascii="Symbol" w:hAnsi="Symbol" w:cs="Symbol" w:hint="default"/>
      </w:rPr>
    </w:lvl>
  </w:abstractNum>
  <w:abstractNum w:abstractNumId="7">
    <w:lvl w:ilvl="0">
      <w:start w:val="1"/>
      <w:numFmt w:val="bullet"/>
      <w:lvlText w:val=""/>
      <w:lvlJc w:val="start"/>
      <w:pPr>
        <w:tabs>
          <w:tab w:val="num" w:pos="1440"/>
        </w:tabs>
        <w:ind w:start="1440" w:hanging="360"/>
      </w:pPr>
      <w:rPr>
        <w:rFonts w:ascii="Symbol" w:hAnsi="Symbol" w:cs="Symbol" w:hint="default"/>
      </w:rPr>
    </w:lvl>
  </w:abstractNum>
  <w:abstractNum w:abstractNumId="8">
    <w:lvl w:ilvl="0">
      <w:start w:val="1"/>
      <w:numFmt w:val="bullet"/>
      <w:lvlText w:val=""/>
      <w:lvlJc w:val="start"/>
      <w:pPr>
        <w:tabs>
          <w:tab w:val="num" w:pos="1080"/>
        </w:tabs>
        <w:ind w:start="108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o"/>
      <w:lvlJc w:val="start"/>
      <w:pPr>
        <w:tabs>
          <w:tab w:val="num" w:pos="360"/>
        </w:tabs>
        <w:ind w:start="360" w:hanging="360"/>
      </w:pPr>
      <w:rPr>
        <w:rFonts w:ascii="Courier New" w:hAnsi="Courier New" w:cs="Courier New" w:hint="default"/>
        <w:sz w:val="28"/>
        <w:szCs w:val="2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5"/>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Sans NF"/>
        <w:sz w:val="24"/>
        <w:szCs w:val="24"/>
        <w:lang w:val="ru-RU" w:eastAsia="zh-CN" w:bidi="hi-IN"/>
      </w:rPr>
    </w:rPrDefault>
    <w:pPrDefault>
      <w:pPr>
        <w:suppressAutoHyphens w:val="true"/>
      </w:pPr>
    </w:pPrDefault>
  </w:docDefaults>
  <w:style w:type="paragraph" w:styleId="Normal">
    <w:name w:val="Normal"/>
    <w:qFormat/>
    <w:pPr>
      <w:widowControl/>
      <w:bidi w:val="0"/>
    </w:pPr>
    <w:rPr>
      <w:rFonts w:ascii="Univers;Arial" w:hAnsi="Univers;Arial" w:eastAsia="Times New Roman" w:cs="Univers;Arial"/>
      <w:color w:val="auto"/>
      <w:sz w:val="22"/>
      <w:szCs w:val="20"/>
      <w:lang w:val="en-GB" w:bidi="ar-SA" w:eastAsia="zh-CN"/>
    </w:rPr>
  </w:style>
  <w:style w:type="paragraph" w:styleId="Heading1">
    <w:name w:val="heading 1"/>
    <w:basedOn w:val="Normal"/>
    <w:next w:val="Normal"/>
    <w:qFormat/>
    <w:pPr>
      <w:keepNext w:val="true"/>
      <w:numPr>
        <w:ilvl w:val="0"/>
        <w:numId w:val="1"/>
      </w:numPr>
      <w:spacing w:lineRule="exact" w:line="220"/>
      <w:jc w:val="center"/>
      <w:outlineLvl w:val="0"/>
    </w:pPr>
    <w:rPr>
      <w:rFonts w:ascii="CG Times;Times New Roman" w:hAnsi="CG Times;Times New Roman" w:cs="CG Times;Times New Roman"/>
      <w:b/>
      <w:sz w:val="28"/>
    </w:rPr>
  </w:style>
  <w:style w:type="paragraph" w:styleId="Heading2">
    <w:name w:val="heading 2"/>
    <w:basedOn w:val="Normal"/>
    <w:next w:val="Normal"/>
    <w:qFormat/>
    <w:pPr>
      <w:keepNext w:val="true"/>
      <w:numPr>
        <w:ilvl w:val="1"/>
        <w:numId w:val="1"/>
      </w:numPr>
      <w:jc w:val="center"/>
      <w:outlineLvl w:val="1"/>
    </w:pPr>
    <w:rPr>
      <w:sz w:val="48"/>
    </w:rPr>
  </w:style>
  <w:style w:type="paragraph" w:styleId="Heading3">
    <w:name w:val="heading 3"/>
    <w:basedOn w:val="Normal"/>
    <w:next w:val="Normal"/>
    <w:qFormat/>
    <w:pPr>
      <w:keepNext w:val="true"/>
      <w:numPr>
        <w:ilvl w:val="2"/>
        <w:numId w:val="1"/>
      </w:numPr>
      <w:shd w:fill="000000" w:val="clear"/>
      <w:tabs>
        <w:tab w:val="clear" w:pos="720"/>
        <w:tab w:val="left" w:pos="180" w:leader="none"/>
        <w:tab w:val="right" w:pos="9900" w:leader="none"/>
      </w:tabs>
      <w:ind w:hanging="0" w:start="0" w:end="-234"/>
      <w:outlineLvl w:val="2"/>
    </w:pPr>
    <w:rPr>
      <w:b/>
      <w:color w:val="FFFFFF"/>
      <w:sz w:val="28"/>
      <w:shd w:fill="000000" w:val="clear"/>
    </w:rPr>
  </w:style>
  <w:style w:type="paragraph" w:styleId="Heading4">
    <w:name w:val="heading 4"/>
    <w:basedOn w:val="Normal"/>
    <w:next w:val="Normal"/>
    <w:qFormat/>
    <w:pPr>
      <w:keepNext w:val="true"/>
      <w:numPr>
        <w:ilvl w:val="3"/>
        <w:numId w:val="1"/>
      </w:numPr>
      <w:jc w:val="center"/>
      <w:outlineLvl w:val="3"/>
    </w:pPr>
    <w:rPr>
      <w:rFonts w:ascii="Times New Roman" w:hAnsi="Times New Roman" w:cs="Times New Roman"/>
      <w:sz w:val="56"/>
      <w:vertAlign w:val="superscript"/>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Courier New" w:hAnsi="Courier New" w:cs="Courier New"/>
      <w:sz w:val="28"/>
      <w:szCs w:val="28"/>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Courier New" w:hAnsi="Courier New" w:cs="Courier New"/>
      <w:sz w:val="28"/>
      <w:szCs w:val="28"/>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Courier New" w:hAnsi="Courier New" w:cs="Courier New"/>
      <w:sz w:val="28"/>
      <w:szCs w:val="28"/>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Style5">
    <w:name w:val="Основной шрифт абзаца"/>
    <w:qFormat/>
    <w:rPr/>
  </w:style>
  <w:style w:type="character" w:styleId="Hyperlink">
    <w:name w:val="Hyperlink"/>
    <w:rPr>
      <w:color w:val="0000FF"/>
      <w:u w:val="single"/>
    </w:rPr>
  </w:style>
  <w:style w:type="character" w:styleId="Strong">
    <w:name w:val="Strong"/>
    <w:qFormat/>
    <w:rPr>
      <w:b/>
      <w:bCs/>
    </w:rPr>
  </w:style>
  <w:style w:type="character" w:styleId="FootnoteCharacters">
    <w:name w:val="Footnote Characters"/>
    <w:qFormat/>
    <w:rPr>
      <w:vertAlign w:val="superscript"/>
    </w:rPr>
  </w:style>
  <w:style w:type="paragraph" w:styleId="Heading">
    <w:name w:val="Heading"/>
    <w:basedOn w:val="Normal"/>
    <w:next w:val="BodyText"/>
    <w:qFormat/>
    <w:pPr>
      <w:spacing w:before="240" w:after="60"/>
      <w:jc w:val="center"/>
      <w:outlineLvl w:val="0"/>
    </w:pPr>
    <w:rPr>
      <w:rFonts w:ascii="Arial" w:hAnsi="Arial" w:cs="Arial"/>
      <w:b/>
      <w:bCs/>
      <w:kern w:val="2"/>
      <w:sz w:val="32"/>
      <w:szCs w:val="32"/>
    </w:rPr>
  </w:style>
  <w:style w:type="paragraph" w:styleId="BodyText">
    <w:name w:val="Body Text"/>
    <w:basedOn w:val="Normal"/>
    <w:pPr>
      <w:spacing w:before="0" w:after="120"/>
    </w:pPr>
    <w:rPr>
      <w:rFonts w:ascii="Arial" w:hAnsi="Arial" w:cs="Arial"/>
      <w:sz w:val="16"/>
    </w:rPr>
  </w:style>
  <w:style w:type="paragraph" w:styleId="List">
    <w:name w:val="List"/>
    <w:basedOn w:val="Normal"/>
    <w:pPr>
      <w:ind w:hanging="360" w:start="360" w:end="0"/>
    </w:pPr>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Style6">
    <w:name w:val="Схема документа"/>
    <w:basedOn w:val="Normal"/>
    <w:qFormat/>
    <w:pPr>
      <w:shd w:fill="000080" w:val="clear"/>
    </w:pPr>
    <w:rPr>
      <w:rFonts w:ascii="Tahoma" w:hAnsi="Tahoma" w:cs="Tahoma"/>
    </w:rPr>
  </w:style>
  <w:style w:type="paragraph" w:styleId="Style7">
    <w:name w:val="Цитата"/>
    <w:basedOn w:val="Normal"/>
    <w:qFormat/>
    <w:pPr>
      <w:spacing w:before="0" w:after="120"/>
      <w:ind w:hanging="0" w:start="1440" w:end="1440"/>
    </w:pPr>
    <w:rPr/>
  </w:style>
  <w:style w:type="paragraph" w:styleId="2">
    <w:name w:val="Основной текст 2"/>
    <w:basedOn w:val="Normal"/>
    <w:qFormat/>
    <w:pPr>
      <w:spacing w:lineRule="auto" w:line="480" w:before="0" w:after="120"/>
    </w:pPr>
    <w:rPr/>
  </w:style>
  <w:style w:type="paragraph" w:styleId="3">
    <w:name w:val="Основной текст 3"/>
    <w:basedOn w:val="Normal"/>
    <w:qFormat/>
    <w:pPr>
      <w:spacing w:before="0" w:after="120"/>
    </w:pPr>
    <w:rPr>
      <w:sz w:val="16"/>
      <w:szCs w:val="16"/>
    </w:rPr>
  </w:style>
  <w:style w:type="paragraph" w:styleId="Style8">
    <w:name w:val="Красная строка"/>
    <w:basedOn w:val="BodyText"/>
    <w:qFormat/>
    <w:pPr>
      <w:ind w:firstLine="210" w:start="0" w:end="0"/>
    </w:pPr>
    <w:rPr>
      <w:rFonts w:ascii="Univers;Arial" w:hAnsi="Univers;Arial" w:cs="Univers;Arial"/>
      <w:sz w:val="22"/>
    </w:rPr>
  </w:style>
  <w:style w:type="paragraph" w:styleId="BodyTextIndent">
    <w:name w:val="Body Text Indent"/>
    <w:basedOn w:val="Normal"/>
    <w:pPr>
      <w:spacing w:before="0" w:after="120"/>
      <w:ind w:hanging="0" w:start="360" w:end="0"/>
    </w:pPr>
    <w:rPr/>
  </w:style>
  <w:style w:type="paragraph" w:styleId="21">
    <w:name w:val="Красная строка 2"/>
    <w:basedOn w:val="BodyTextIndent"/>
    <w:qFormat/>
    <w:pPr>
      <w:ind w:firstLine="210" w:start="360" w:end="0"/>
    </w:pPr>
    <w:rPr/>
  </w:style>
  <w:style w:type="paragraph" w:styleId="22">
    <w:name w:val="Основной текст с отступом 2"/>
    <w:basedOn w:val="Normal"/>
    <w:qFormat/>
    <w:pPr>
      <w:spacing w:lineRule="auto" w:line="480" w:before="0" w:after="120"/>
      <w:ind w:hanging="0" w:start="360" w:end="0"/>
    </w:pPr>
    <w:rPr/>
  </w:style>
  <w:style w:type="paragraph" w:styleId="31">
    <w:name w:val="Основной текст с отступом 3"/>
    <w:basedOn w:val="Normal"/>
    <w:qFormat/>
    <w:pPr>
      <w:spacing w:before="0" w:after="120"/>
      <w:ind w:hanging="0" w:start="360" w:end="0"/>
    </w:pPr>
    <w:rPr>
      <w:sz w:val="16"/>
      <w:szCs w:val="16"/>
    </w:rPr>
  </w:style>
  <w:style w:type="paragraph" w:styleId="Style9">
    <w:name w:val="Название объекта"/>
    <w:basedOn w:val="Normal"/>
    <w:next w:val="Normal"/>
    <w:qFormat/>
    <w:pPr>
      <w:spacing w:before="120" w:after="120"/>
    </w:pPr>
    <w:rPr>
      <w:b/>
      <w:bCs/>
      <w:sz w:val="20"/>
    </w:rPr>
  </w:style>
  <w:style w:type="paragraph" w:styleId="Style10">
    <w:name w:val="Прощание"/>
    <w:basedOn w:val="Normal"/>
    <w:qFormat/>
    <w:pPr>
      <w:ind w:hanging="0" w:start="4320" w:end="0"/>
    </w:pPr>
    <w:rPr/>
  </w:style>
  <w:style w:type="paragraph" w:styleId="Style11">
    <w:name w:val="Текст примечания"/>
    <w:basedOn w:val="Normal"/>
    <w:qFormat/>
    <w:pPr/>
    <w:rPr>
      <w:sz w:val="20"/>
    </w:rPr>
  </w:style>
  <w:style w:type="paragraph" w:styleId="Style12">
    <w:name w:val="Дата"/>
    <w:basedOn w:val="Normal"/>
    <w:next w:val="Normal"/>
    <w:qFormat/>
    <w:pPr/>
    <w:rPr/>
  </w:style>
  <w:style w:type="paragraph" w:styleId="Style13">
    <w:name w:val="Электронная подпись"/>
    <w:basedOn w:val="Normal"/>
    <w:qFormat/>
    <w:pPr/>
    <w:rPr/>
  </w:style>
  <w:style w:type="paragraph" w:styleId="EndnoteText">
    <w:name w:val="endnote text"/>
    <w:basedOn w:val="Normal"/>
    <w:pPr/>
    <w:rPr>
      <w:sz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z w:val="20"/>
    </w:rPr>
  </w:style>
  <w:style w:type="paragraph" w:styleId="Header">
    <w:name w:val="header"/>
    <w:basedOn w:val="Normal"/>
    <w:pPr>
      <w:tabs>
        <w:tab w:val="clear" w:pos="720"/>
        <w:tab w:val="center" w:pos="4320" w:leader="none"/>
        <w:tab w:val="right" w:pos="8640" w:leader="none"/>
      </w:tabs>
    </w:pPr>
    <w:rPr/>
  </w:style>
  <w:style w:type="paragraph" w:styleId="HTML">
    <w:name w:val="Адрес HTML"/>
    <w:basedOn w:val="Normal"/>
    <w:qFormat/>
    <w:pPr/>
    <w:rPr>
      <w:i/>
      <w:iCs/>
    </w:rPr>
  </w:style>
  <w:style w:type="paragraph" w:styleId="HTML1">
    <w:name w:val="Стандартный HTML"/>
    <w:basedOn w:val="Normal"/>
    <w:qFormat/>
    <w:pPr/>
    <w:rPr>
      <w:rFonts w:ascii="Courier New" w:hAnsi="Courier New" w:cs="Courier New"/>
      <w:sz w:val="20"/>
    </w:rPr>
  </w:style>
  <w:style w:type="paragraph" w:styleId="Index1">
    <w:name w:val="index 1"/>
    <w:basedOn w:val="Normal"/>
    <w:next w:val="Normal"/>
    <w:pPr>
      <w:ind w:hanging="220" w:start="220" w:end="0"/>
    </w:pPr>
    <w:rPr/>
  </w:style>
  <w:style w:type="paragraph" w:styleId="Index2">
    <w:name w:val="index 2"/>
    <w:basedOn w:val="Normal"/>
    <w:next w:val="Normal"/>
    <w:pPr>
      <w:ind w:hanging="220" w:start="440" w:end="0"/>
    </w:pPr>
    <w:rPr/>
  </w:style>
  <w:style w:type="paragraph" w:styleId="Index3">
    <w:name w:val="index 3"/>
    <w:basedOn w:val="Normal"/>
    <w:next w:val="Normal"/>
    <w:pPr>
      <w:ind w:hanging="220" w:start="660" w:end="0"/>
    </w:pPr>
    <w:rPr/>
  </w:style>
  <w:style w:type="paragraph" w:styleId="4">
    <w:name w:val="Указатель 4"/>
    <w:basedOn w:val="Normal"/>
    <w:next w:val="Normal"/>
    <w:qFormat/>
    <w:pPr>
      <w:ind w:hanging="220" w:start="880" w:end="0"/>
    </w:pPr>
    <w:rPr/>
  </w:style>
  <w:style w:type="paragraph" w:styleId="5">
    <w:name w:val="Указатель 5"/>
    <w:basedOn w:val="Normal"/>
    <w:next w:val="Normal"/>
    <w:qFormat/>
    <w:pPr>
      <w:ind w:hanging="220" w:start="1100" w:end="0"/>
    </w:pPr>
    <w:rPr/>
  </w:style>
  <w:style w:type="paragraph" w:styleId="6">
    <w:name w:val="Указатель 6"/>
    <w:basedOn w:val="Normal"/>
    <w:next w:val="Normal"/>
    <w:qFormat/>
    <w:pPr>
      <w:ind w:hanging="220" w:start="1320" w:end="0"/>
    </w:pPr>
    <w:rPr/>
  </w:style>
  <w:style w:type="paragraph" w:styleId="7">
    <w:name w:val="Указатель 7"/>
    <w:basedOn w:val="Normal"/>
    <w:next w:val="Normal"/>
    <w:qFormat/>
    <w:pPr>
      <w:ind w:hanging="220" w:start="1540" w:end="0"/>
    </w:pPr>
    <w:rPr/>
  </w:style>
  <w:style w:type="paragraph" w:styleId="8">
    <w:name w:val="Указатель 8"/>
    <w:basedOn w:val="Normal"/>
    <w:next w:val="Normal"/>
    <w:qFormat/>
    <w:pPr>
      <w:ind w:hanging="220" w:start="1760" w:end="0"/>
    </w:pPr>
    <w:rPr/>
  </w:style>
  <w:style w:type="paragraph" w:styleId="9">
    <w:name w:val="Указатель 9"/>
    <w:basedOn w:val="Normal"/>
    <w:next w:val="Normal"/>
    <w:qFormat/>
    <w:pPr>
      <w:ind w:hanging="220" w:start="1980" w:end="0"/>
    </w:pPr>
    <w:rPr/>
  </w:style>
  <w:style w:type="paragraph" w:styleId="IndexHeading">
    <w:name w:val="index heading"/>
    <w:basedOn w:val="Normal"/>
    <w:next w:val="Index1"/>
    <w:pPr/>
    <w:rPr>
      <w:rFonts w:ascii="Arial" w:hAnsi="Arial" w:cs="Arial"/>
      <w:b/>
      <w:bCs/>
    </w:rPr>
  </w:style>
  <w:style w:type="paragraph" w:styleId="23">
    <w:name w:val="Список 2"/>
    <w:basedOn w:val="Normal"/>
    <w:qFormat/>
    <w:pPr>
      <w:ind w:hanging="360" w:start="720" w:end="0"/>
    </w:pPr>
    <w:rPr/>
  </w:style>
  <w:style w:type="paragraph" w:styleId="32">
    <w:name w:val="Список 3"/>
    <w:basedOn w:val="Normal"/>
    <w:qFormat/>
    <w:pPr>
      <w:ind w:hanging="360" w:start="1080" w:end="0"/>
    </w:pPr>
    <w:rPr/>
  </w:style>
  <w:style w:type="paragraph" w:styleId="41">
    <w:name w:val="Список 4"/>
    <w:basedOn w:val="Normal"/>
    <w:qFormat/>
    <w:pPr>
      <w:ind w:hanging="360" w:start="1440" w:end="0"/>
    </w:pPr>
    <w:rPr/>
  </w:style>
  <w:style w:type="paragraph" w:styleId="51">
    <w:name w:val="Список 5"/>
    <w:basedOn w:val="Normal"/>
    <w:qFormat/>
    <w:pPr>
      <w:ind w:hanging="360" w:start="1800" w:end="0"/>
    </w:pPr>
    <w:rPr/>
  </w:style>
  <w:style w:type="paragraph" w:styleId="Style14">
    <w:name w:val="Маркированный список"/>
    <w:basedOn w:val="Normal"/>
    <w:qFormat/>
    <w:pPr>
      <w:ind w:hanging="0" w:start="0" w:end="-314"/>
      <w:jc w:val="both"/>
    </w:pPr>
    <w:rPr/>
  </w:style>
  <w:style w:type="paragraph" w:styleId="24">
    <w:name w:val="Маркированный список 2"/>
    <w:basedOn w:val="Normal"/>
    <w:qFormat/>
    <w:pPr>
      <w:numPr>
        <w:ilvl w:val="0"/>
        <w:numId w:val="9"/>
      </w:numPr>
    </w:pPr>
    <w:rPr/>
  </w:style>
  <w:style w:type="paragraph" w:styleId="33">
    <w:name w:val="Маркированный список 3"/>
    <w:basedOn w:val="Normal"/>
    <w:qFormat/>
    <w:pPr>
      <w:numPr>
        <w:ilvl w:val="0"/>
        <w:numId w:val="8"/>
      </w:numPr>
    </w:pPr>
    <w:rPr/>
  </w:style>
  <w:style w:type="paragraph" w:styleId="42">
    <w:name w:val="Маркированный список 4"/>
    <w:basedOn w:val="Normal"/>
    <w:qFormat/>
    <w:pPr>
      <w:numPr>
        <w:ilvl w:val="0"/>
        <w:numId w:val="7"/>
      </w:numPr>
    </w:pPr>
    <w:rPr/>
  </w:style>
  <w:style w:type="paragraph" w:styleId="52">
    <w:name w:val="Маркированный список 5"/>
    <w:basedOn w:val="Normal"/>
    <w:qFormat/>
    <w:pPr>
      <w:numPr>
        <w:ilvl w:val="0"/>
        <w:numId w:val="6"/>
      </w:numPr>
    </w:pPr>
    <w:rPr/>
  </w:style>
  <w:style w:type="paragraph" w:styleId="Style15">
    <w:name w:val="Продолжение списка"/>
    <w:basedOn w:val="Normal"/>
    <w:qFormat/>
    <w:pPr>
      <w:spacing w:before="0" w:after="120"/>
      <w:ind w:hanging="0" w:start="360" w:end="0"/>
    </w:pPr>
    <w:rPr/>
  </w:style>
  <w:style w:type="paragraph" w:styleId="25">
    <w:name w:val="Продолжение списка 2"/>
    <w:basedOn w:val="Normal"/>
    <w:qFormat/>
    <w:pPr>
      <w:spacing w:before="0" w:after="120"/>
      <w:ind w:hanging="0" w:start="720" w:end="0"/>
    </w:pPr>
    <w:rPr/>
  </w:style>
  <w:style w:type="paragraph" w:styleId="34">
    <w:name w:val="Продолжение списка 3"/>
    <w:basedOn w:val="Normal"/>
    <w:qFormat/>
    <w:pPr>
      <w:spacing w:before="0" w:after="120"/>
      <w:ind w:hanging="0" w:start="1080" w:end="0"/>
    </w:pPr>
    <w:rPr/>
  </w:style>
  <w:style w:type="paragraph" w:styleId="43">
    <w:name w:val="Продолжение списка 4"/>
    <w:basedOn w:val="Normal"/>
    <w:qFormat/>
    <w:pPr>
      <w:spacing w:before="0" w:after="120"/>
      <w:ind w:hanging="0" w:start="1440" w:end="0"/>
    </w:pPr>
    <w:rPr/>
  </w:style>
  <w:style w:type="paragraph" w:styleId="53">
    <w:name w:val="Продолжение списка 5"/>
    <w:basedOn w:val="Normal"/>
    <w:qFormat/>
    <w:pPr>
      <w:spacing w:before="0" w:after="120"/>
      <w:ind w:hanging="0" w:start="1800" w:end="0"/>
    </w:pPr>
    <w:rPr/>
  </w:style>
  <w:style w:type="paragraph" w:styleId="Style16">
    <w:name w:val="Нумерованный список"/>
    <w:basedOn w:val="Normal"/>
    <w:qFormat/>
    <w:pPr>
      <w:numPr>
        <w:ilvl w:val="0"/>
        <w:numId w:val="10"/>
      </w:numPr>
    </w:pPr>
    <w:rPr/>
  </w:style>
  <w:style w:type="paragraph" w:styleId="26">
    <w:name w:val="Нумерованный список 2"/>
    <w:basedOn w:val="Normal"/>
    <w:qFormat/>
    <w:pPr>
      <w:numPr>
        <w:ilvl w:val="0"/>
        <w:numId w:val="5"/>
      </w:numPr>
    </w:pPr>
    <w:rPr/>
  </w:style>
  <w:style w:type="paragraph" w:styleId="35">
    <w:name w:val="Нумерованный список 3"/>
    <w:basedOn w:val="Normal"/>
    <w:qFormat/>
    <w:pPr>
      <w:numPr>
        <w:ilvl w:val="0"/>
        <w:numId w:val="4"/>
      </w:numPr>
    </w:pPr>
    <w:rPr/>
  </w:style>
  <w:style w:type="paragraph" w:styleId="44">
    <w:name w:val="Нумерованный список 4"/>
    <w:basedOn w:val="Normal"/>
    <w:qFormat/>
    <w:pPr>
      <w:numPr>
        <w:ilvl w:val="0"/>
        <w:numId w:val="3"/>
      </w:numPr>
    </w:pPr>
    <w:rPr/>
  </w:style>
  <w:style w:type="paragraph" w:styleId="54">
    <w:name w:val="Нумерованный список 5"/>
    <w:basedOn w:val="Normal"/>
    <w:qFormat/>
    <w:pPr>
      <w:numPr>
        <w:ilvl w:val="0"/>
        <w:numId w:val="2"/>
      </w:numPr>
    </w:pPr>
    <w:rPr/>
  </w:style>
  <w:style w:type="paragraph" w:styleId="Style17">
    <w:name w:val="Текст макроса"/>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GB" w:bidi="ar-SA" w:eastAsia="zh-CN"/>
    </w:rPr>
  </w:style>
  <w:style w:type="paragraph" w:styleId="Style18">
    <w:name w:val="Шапка"/>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Style19">
    <w:name w:val="Обычный (веб)"/>
    <w:basedOn w:val="Normal"/>
    <w:qFormat/>
    <w:pPr/>
    <w:rPr>
      <w:rFonts w:ascii="Times New Roman" w:hAnsi="Times New Roman" w:cs="Times New Roman"/>
      <w:sz w:val="24"/>
      <w:szCs w:val="24"/>
    </w:rPr>
  </w:style>
  <w:style w:type="paragraph" w:styleId="Style20">
    <w:name w:val="Обычный отступ"/>
    <w:basedOn w:val="Normal"/>
    <w:qFormat/>
    <w:pPr>
      <w:ind w:hanging="0" w:start="720" w:end="0"/>
    </w:pPr>
    <w:rPr/>
  </w:style>
  <w:style w:type="paragraph" w:styleId="Style21">
    <w:name w:val="Заголовок записки"/>
    <w:basedOn w:val="Normal"/>
    <w:next w:val="Normal"/>
    <w:qFormat/>
    <w:pPr/>
    <w:rPr/>
  </w:style>
  <w:style w:type="paragraph" w:styleId="Style22">
    <w:name w:val="Текст"/>
    <w:basedOn w:val="Normal"/>
    <w:qFormat/>
    <w:pPr/>
    <w:rPr>
      <w:rFonts w:ascii="Courier New" w:hAnsi="Courier New" w:cs="Courier New"/>
      <w:sz w:val="20"/>
    </w:rPr>
  </w:style>
  <w:style w:type="paragraph" w:styleId="Style23">
    <w:name w:val="Приветствие"/>
    <w:basedOn w:val="Normal"/>
    <w:next w:val="Normal"/>
    <w:qFormat/>
    <w:pPr/>
    <w:rPr/>
  </w:style>
  <w:style w:type="paragraph" w:styleId="Signature">
    <w:name w:val="Signature"/>
    <w:basedOn w:val="Normal"/>
    <w:pPr>
      <w:ind w:hanging="0" w:start="4320" w:end="0"/>
    </w:pPr>
    <w:rPr/>
  </w:style>
  <w:style w:type="paragraph" w:styleId="Subtitle">
    <w:name w:val="Subtitle"/>
    <w:basedOn w:val="Normal"/>
    <w:next w:val="BodyText"/>
    <w:qFormat/>
    <w:pPr>
      <w:spacing w:before="0" w:after="60"/>
      <w:jc w:val="center"/>
      <w:outlineLvl w:val="1"/>
    </w:pPr>
    <w:rPr>
      <w:rFonts w:ascii="Arial" w:hAnsi="Arial" w:cs="Arial"/>
      <w:sz w:val="24"/>
      <w:szCs w:val="24"/>
    </w:rPr>
  </w:style>
  <w:style w:type="paragraph" w:styleId="Style24">
    <w:name w:val="Таблица ссылок"/>
    <w:basedOn w:val="Normal"/>
    <w:next w:val="Normal"/>
    <w:qFormat/>
    <w:pPr>
      <w:ind w:hanging="220" w:start="220" w:end="0"/>
    </w:pPr>
    <w:rPr/>
  </w:style>
  <w:style w:type="paragraph" w:styleId="Style25">
    <w:name w:val="Перечень рисунков"/>
    <w:basedOn w:val="Normal"/>
    <w:next w:val="Normal"/>
    <w:qFormat/>
    <w:pPr>
      <w:ind w:hanging="440" w:start="440" w:end="0"/>
    </w:pPr>
    <w:rPr/>
  </w:style>
  <w:style w:type="paragraph" w:styleId="Style26">
    <w:name w:val="Заголовок таблицы ссылок"/>
    <w:basedOn w:val="Normal"/>
    <w:next w:val="Normal"/>
    <w:qFormat/>
    <w:pPr>
      <w:spacing w:before="120" w:after="0"/>
    </w:pPr>
    <w:rPr>
      <w:rFonts w:ascii="Arial" w:hAnsi="Arial" w:cs="Arial"/>
      <w:b/>
      <w:bCs/>
      <w:sz w:val="24"/>
      <w:szCs w:val="24"/>
    </w:rPr>
  </w:style>
  <w:style w:type="paragraph" w:styleId="TOC1">
    <w:name w:val="toc 1"/>
    <w:basedOn w:val="Normal"/>
    <w:next w:val="Normal"/>
    <w:pPr/>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Style27">
    <w:name w:val="Текст выноски"/>
    <w:basedOn w:val="Normal"/>
    <w:qFormat/>
    <w:pPr/>
    <w:rPr>
      <w:rFonts w:ascii="Tahoma" w:hAnsi="Tahoma" w:cs="Tahoma"/>
      <w:sz w:val="16"/>
      <w:szCs w:val="16"/>
    </w:rPr>
  </w:style>
  <w:style w:type="paragraph" w:styleId="Style28">
    <w:name w:val="Абзац списка"/>
    <w:basedOn w:val="Normal"/>
    <w:qFormat/>
    <w:pPr>
      <w:ind w:hanging="0" w:start="720" w:end="0"/>
    </w:pPr>
    <w:rPr>
      <w:rFonts w:ascii="Times New Roman" w:hAnsi="Times New Roman" w:cs="Times New Roman"/>
      <w:sz w:val="20"/>
      <w:lang w:val="en-C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hyperlink" Target="mailto:mail@icsg.or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2012-07-20T12:41:00Z</dcterms:created>
  <dc:creator>Thomas Baack</dc:creator>
  <dc:description/>
  <dc:language>ru-RU</dc:language>
  <cp:lastModifiedBy>Федоров Дмитрий Теодорович</cp:lastModifiedBy>
  <cp:lastPrinted>2010-09-07T11:00:00Z</cp:lastPrinted>
  <dcterms:modified xsi:type="dcterms:W3CDTF">2012-07-20T12:41:00Z</dcterms:modified>
  <cp:revision>2</cp:revision>
  <dc:subject/>
  <dc:title>January  '98                                                         Date issued:  January 9, 1998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r8>1562911986</vt:r8>
  </property>
</Properties>
</file>