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284" w:end="-320"/>
        <w:rPr>
          <w:rFonts w:ascii="Arial" w:hAnsi="Arial" w:cs="Arial"/>
          <w:b/>
          <w:color w:val="FFFFFF"/>
          <w:sz w:val="28"/>
          <w:szCs w:val="28"/>
        </w:rPr>
      </w:pPr>
      <w:r>
        <w:rPr>
          <w:b/>
          <w:color w:val="FFFFFF"/>
          <w:sz w:val="28"/>
          <w:szCs w:val="28"/>
          <w:highlight w:val="black"/>
        </w:rPr>
        <w:t>ICSG PRESS RELEASE                                 Date Issued: 7</w:t>
      </w:r>
      <w:r>
        <w:rPr>
          <w:b/>
          <w:color w:val="FFFFFF"/>
          <w:sz w:val="28"/>
          <w:szCs w:val="28"/>
          <w:highlight w:val="black"/>
          <w:vertAlign w:val="superscript"/>
        </w:rPr>
        <w:t>th</w:t>
      </w:r>
      <w:r>
        <w:rPr>
          <w:b/>
          <w:color w:val="FFFFFF"/>
          <w:sz w:val="28"/>
          <w:szCs w:val="28"/>
          <w:highlight w:val="black"/>
        </w:rPr>
        <w:t xml:space="preserve"> September  </w:t>
      </w:r>
      <w:r>
        <w:rPr>
          <w:rFonts w:cs="Arial" w:ascii="Arial" w:hAnsi="Arial"/>
          <w:b/>
          <w:color w:val="FFFFFF"/>
          <w:sz w:val="28"/>
          <w:szCs w:val="28"/>
          <w:highlight w:val="black"/>
        </w:rPr>
        <w:t>2010</w:t>
      </w:r>
    </w:p>
    <w:p>
      <w:pPr>
        <w:pStyle w:val="Normal"/>
        <w:ind w:start="-284" w:end="-320"/>
        <w:jc w:val="center"/>
        <w:rPr>
          <w:rFonts w:ascii="Arial" w:hAnsi="Arial" w:cs="Arial"/>
          <w:b/>
          <w:color w:val="FFFFFF"/>
          <w:sz w:val="28"/>
          <w:szCs w:val="28"/>
        </w:rPr>
      </w:pPr>
      <w:r>
        <w:drawing>
          <wp:anchor distT="0" distB="0" distL="114935" distR="114935" simplePos="0" relativeHeight="3" behindDoc="0" locked="0" layoutInCell="0" allowOverlap="1">
            <wp:simplePos x="0" y="0"/>
            <wp:positionH relativeFrom="page">
              <wp:posOffset>670560</wp:posOffset>
            </wp:positionH>
            <wp:positionV relativeFrom="paragraph">
              <wp:posOffset>47625</wp:posOffset>
            </wp:positionV>
            <wp:extent cx="809625" cy="10096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4" t="-19" r="-24" b="-19"/>
                    <a:stretch>
                      <a:fillRect/>
                    </a:stretch>
                  </pic:blipFill>
                  <pic:spPr bwMode="auto">
                    <a:xfrm>
                      <a:off x="0" y="0"/>
                      <a:ext cx="809625" cy="1009650"/>
                    </a:xfrm>
                    <a:prstGeom prst="rect">
                      <a:avLst/>
                    </a:prstGeom>
                    <a:noFill/>
                  </pic:spPr>
                </pic:pic>
              </a:graphicData>
            </a:graphic>
          </wp:anchor>
        </w:drawing>
      </w:r>
      <w:r>
        <w:rPr>
          <w:rFonts w:cs="Arial" w:ascii="Arial" w:hAnsi="Arial"/>
          <w:b/>
          <w:color w:val="FFFFFF"/>
          <w:sz w:val="28"/>
          <w:szCs w:val="28"/>
        </w:rPr>
        <w:t>9</w:t>
      </w:r>
    </w:p>
    <w:p>
      <w:pPr>
        <w:pStyle w:val="Normal"/>
        <w:ind w:start="-284" w:end="-320"/>
        <w:jc w:val="center"/>
        <w:rPr/>
      </w:pPr>
      <w:r>
        <w:rPr>
          <w:rFonts w:cs="Times New Roman" w:ascii="Times New Roman" w:hAnsi="Times New Roman"/>
          <w:sz w:val="32"/>
          <w:szCs w:val="32"/>
        </w:rPr>
        <w:t>ICSG Directory of Copper and Copper Alloy Fabricators:</w:t>
      </w:r>
    </w:p>
    <w:p>
      <w:pPr>
        <w:pStyle w:val="Normal"/>
        <w:ind w:firstLine="1004" w:start="3316" w:end="-320"/>
        <w:rPr>
          <w:rFonts w:ascii="Arial" w:hAnsi="Arial" w:cs="Arial"/>
          <w:sz w:val="8"/>
          <w:szCs w:val="8"/>
        </w:rPr>
      </w:pPr>
      <w:r>
        <w:rPr>
          <w:rFonts w:cs="Times New Roman" w:ascii="Times New Roman" w:hAnsi="Times New Roman"/>
          <w:sz w:val="32"/>
          <w:szCs w:val="32"/>
        </w:rPr>
        <w:t xml:space="preserve"> </w:t>
      </w:r>
      <w:r>
        <w:rPr>
          <w:rFonts w:cs="Times New Roman" w:ascii="Times New Roman" w:hAnsi="Times New Roman"/>
          <w:sz w:val="32"/>
          <w:szCs w:val="32"/>
        </w:rPr>
        <w:tab/>
        <w:tab/>
        <w:tab/>
      </w:r>
      <w:r>
        <w:rPr>
          <w:rFonts w:cs="Times New Roman" w:ascii="Times New Roman" w:hAnsi="Times New Roman"/>
          <w:bCs/>
          <w:sz w:val="32"/>
          <w:szCs w:val="32"/>
        </w:rPr>
        <w:t>2010 Edition</w:t>
      </w:r>
    </w:p>
    <w:p>
      <w:pPr>
        <w:pStyle w:val="BodyText"/>
        <w:numPr>
          <w:ilvl w:val="0"/>
          <w:numId w:val="0"/>
        </w:numPr>
        <w:spacing w:before="0" w:after="0"/>
        <w:ind w:start="-284" w:end="-320"/>
        <w:jc w:val="center"/>
        <w:outlineLvl w:val="0"/>
        <w:rPr>
          <w:rFonts w:ascii="Times New Roman" w:hAnsi="Times New Roman" w:cs="Times New Roman"/>
          <w:b/>
          <w:sz w:val="24"/>
          <w:szCs w:val="24"/>
        </w:rPr>
      </w:pPr>
      <w:r>
        <w:rPr>
          <w:rFonts w:cs="Times New Roman" w:ascii="Times New Roman" w:hAnsi="Times New Roman"/>
          <w:b/>
          <w:sz w:val="24"/>
          <w:szCs w:val="24"/>
        </w:rPr>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The International Copper Study Group released its 2010 edition of the “Directory of Copper and Copper Alloy Fabricators – First Use”. This directory provides a systematic global overview of companies and plants involved in the “first use” of copper - the use of unwrought copper materials (refined copper, alloy ingots, direct melt scrap, etc.) as feed to the production of semi-fabricated products (copper wire rod; copper and copper alloy, sheet, strip, bar, rod, tube, etc.). The Directory covers wire-rod plants, brass mills, and electrodeposited copper foil mills.  It also covers ingot makers, chemical plants and master alloy plants as suppliers to foundries and brass mills.  </w:t>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China is the area of the world with most copper semis plants and fully updated information for 498 plants, most operating in 2010. Europe follows with 246 plants and then the Americas with 215 plants. In South Asia and Oceania this edition covers 204 plants and in North Asia (ex-China) 160 plants are reported. In the Middle East we provide information on 103 plants and in Eastern Europe and Central Asia 61 plants are considered, with 44 additional plants in Africa.</w:t>
      </w:r>
      <w:r>
        <w:rPr>
          <w:rFonts w:cs="Times New Roman" w:ascii="Times New Roman" w:hAnsi="Times New Roman"/>
          <w:b/>
          <w:szCs w:val="22"/>
        </w:rPr>
        <w:t xml:space="preserve"> </w:t>
      </w:r>
      <w:r>
        <w:rPr>
          <w:rFonts w:cs="Times New Roman" w:ascii="Times New Roman" w:hAnsi="Times New Roman"/>
          <w:szCs w:val="22"/>
        </w:rPr>
        <w:t>The 2010 edition reports close to 42 Mt of gross weight fabrication capacity.</w:t>
      </w:r>
      <w:r>
        <w:rPr>
          <w:rFonts w:cs="Times New Roman" w:ascii="Times New Roman" w:hAnsi="Times New Roman"/>
          <w:b/>
          <w:szCs w:val="22"/>
        </w:rPr>
        <w:t xml:space="preserve"> </w:t>
      </w:r>
      <w:r>
        <w:rPr>
          <w:rFonts w:cs="Times New Roman" w:ascii="Times New Roman" w:hAnsi="Times New Roman"/>
          <w:szCs w:val="22"/>
        </w:rPr>
        <w:t xml:space="preserve">Wire rod and alloy wire represents over half of the reported capacity with more than 19.5 Mt for wire rod and 2.2 Mt for alloy wire in 2010. Production capacity for plate, sheets and strips (PSS) represents less than 15% of the world capacity with 6.1 Mt reported, while almost 13% (5.4 Mt) is rod, bars and sections products (RBS). Around 12% of the global semis capacity (5.1 Mt) comes from copper &amp; copper alloy tube products. Finally over 440 kty of foil production capacity is reported, representing 1% of the global first use. </w:t>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China remains by far the most important copper first user with over 12.6 Mt of capacity updated in this edition (30% of global capacity reported). The second most important region is the European Union with more than 9.1 Mt reported (over 21% of the world). The Americas, including NAFTA and Latin America, has over 6 Mt of known capacity (&gt;14.4 % of the world), and the North-Asia ex-China region (Japan, Korean Republic and Taiwan (China)) reported almost 6 Mt this year (14.2%). As our information on India improves its reported capacity increases with over 1.8 Mt in 2010, while South East Asia alone is hosting 1.5 Mt of additional capacity. The Middle East is an area in rapid expansion with almost 2 Mt representing 4.7% of world capacity, countries in Eastern Europe and Central Asia are hosting 2.1 Mt of capacity or 5% of the world total, while 1.4% is in Africa. </w:t>
      </w:r>
    </w:p>
    <w:p>
      <w:pPr>
        <w:pStyle w:val="Normal"/>
        <w:spacing w:before="60" w:after="60"/>
        <w:ind w:end="-320"/>
        <w:jc w:val="both"/>
        <w:rPr>
          <w:rFonts w:ascii="Times New Roman" w:hAnsi="Times New Roman" w:cs="Times New Roman"/>
          <w:szCs w:val="22"/>
        </w:rPr>
      </w:pPr>
      <w:r>
        <w:rPr>
          <w:rFonts w:cs="Times New Roman" w:ascii="Times New Roman" w:hAnsi="Times New Roman"/>
          <w:szCs w:val="22"/>
        </w:rPr>
        <w:t xml:space="preserve">The Directory is available for sale to ICSG member country/non-member country clients at a price of €400/€600 respectively.  An order form is attached to this press release. </w:t>
      </w:r>
    </w:p>
    <w:p>
      <w:pPr>
        <w:pStyle w:val="Normal"/>
        <w:spacing w:before="60" w:after="60"/>
        <w:ind w:end="-320"/>
        <w:jc w:val="center"/>
        <w:rPr/>
      </w:pPr>
      <w:r>
        <w:rPr/>
        <w:drawing>
          <wp:inline distT="0" distB="0" distL="0" distR="0">
            <wp:extent cx="5172710" cy="30683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8" t="-9" r="-8" b="-9"/>
                    <a:stretch>
                      <a:fillRect/>
                    </a:stretch>
                  </pic:blipFill>
                  <pic:spPr bwMode="auto">
                    <a:xfrm>
                      <a:off x="0" y="0"/>
                      <a:ext cx="5172710" cy="3068320"/>
                    </a:xfrm>
                    <a:prstGeom prst="rect">
                      <a:avLst/>
                    </a:prstGeom>
                    <a:noFill/>
                  </pic:spPr>
                </pic:pic>
              </a:graphicData>
            </a:graphic>
          </wp:inline>
        </w:drawing>
      </w:r>
      <w:r>
        <w:br w:type="page"/>
      </w:r>
    </w:p>
    <w:p>
      <w:pPr>
        <w:pStyle w:val="Normal"/>
        <w:spacing w:before="60" w:after="60"/>
        <w:ind w:end="-320"/>
        <w:jc w:val="center"/>
        <w:rPr/>
      </w:pPr>
      <w:r>
        <w:rPr/>
      </w:r>
    </w:p>
    <w:p>
      <w:pPr>
        <w:pStyle w:val="Normal"/>
        <w:spacing w:lineRule="atLeast" w:line="20" w:before="0" w:after="0"/>
        <w:contextualSpacing/>
        <w:jc w:val="both"/>
        <w:rPr/>
      </w:pPr>
      <w:r>
        <w:rPr>
          <w:rFonts w:cs="Times New Roman" w:ascii="Times New Roman" w:hAnsi="Times New Roman"/>
          <w:b/>
          <w:sz w:val="28"/>
        </w:rPr>
        <w:t xml:space="preserve">                            </w:t>
      </w:r>
      <w:r>
        <w:rPr>
          <w:rFonts w:cs="Times New Roman" w:ascii="Times New Roman" w:hAnsi="Times New Roman"/>
          <w:b/>
          <w:sz w:val="28"/>
        </w:rPr>
        <w:t>International Copper Study Group Order Form</w:t>
      </w:r>
    </w:p>
    <w:p>
      <w:pPr>
        <w:pStyle w:val="BodyText"/>
        <w:keepLines/>
        <w:spacing w:before="0" w:after="0"/>
        <w:ind w:end="-596"/>
        <w:jc w:val="center"/>
        <w:rPr>
          <w:rFonts w:ascii="Times New Roman" w:hAnsi="Times New Roman" w:cs="Times New Roman"/>
        </w:rPr>
      </w:pPr>
      <w:r>
        <w:rPr>
          <w:rFonts w:cs="Times New Roman" w:ascii="Times New Roman" w:hAnsi="Times New Roman"/>
        </w:rPr>
        <w:t>Prices are quoted in Euros. For US dollars payments contact ICSG (see below)</w:t>
      </w:r>
    </w:p>
    <w:p>
      <w:pPr>
        <w:pStyle w:val="BodyText"/>
        <w:keepLines/>
        <w:spacing w:before="0" w:after="0"/>
        <w:ind w:end="-596"/>
        <w:jc w:val="center"/>
        <w:rPr>
          <w:rFonts w:ascii="Times New Roman" w:hAnsi="Times New Roman" w:cs="Times New Roman"/>
          <w:sz w:val="8"/>
        </w:rPr>
      </w:pPr>
      <w:r>
        <w:rPr>
          <w:rFonts w:cs="Times New Roman" w:ascii="Times New Roman" w:hAnsi="Times New Roman"/>
          <w:sz w:val="8"/>
        </w:rPr>
      </w:r>
    </w:p>
    <w:tbl>
      <w:tblPr>
        <w:tblW w:w="10206" w:type="dxa"/>
        <w:jc w:val="start"/>
        <w:tblInd w:w="108" w:type="dxa"/>
        <w:tblLayout w:type="fixed"/>
        <w:tblCellMar>
          <w:top w:w="0" w:type="dxa"/>
          <w:start w:w="108" w:type="dxa"/>
          <w:bottom w:w="0" w:type="dxa"/>
          <w:end w:w="108" w:type="dxa"/>
        </w:tblCellMar>
      </w:tblPr>
      <w:tblGrid>
        <w:gridCol w:w="6663"/>
        <w:gridCol w:w="1134"/>
        <w:gridCol w:w="1275"/>
        <w:gridCol w:w="1134"/>
      </w:tblGrid>
      <w:tr>
        <w:trPr/>
        <w:tc>
          <w:tcPr>
            <w:tcW w:w="666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Cs w:val="22"/>
              </w:rPr>
            </w:pPr>
            <w:r>
              <w:rPr>
                <w:b/>
                <w:szCs w:val="22"/>
              </w:rPr>
            </w:r>
          </w:p>
          <w:p>
            <w:pPr>
              <w:pStyle w:val="Normal"/>
              <w:jc w:val="center"/>
              <w:rPr>
                <w:b/>
                <w:szCs w:val="22"/>
              </w:rPr>
            </w:pPr>
            <w:r>
              <w:rPr>
                <w:b/>
                <w:szCs w:val="22"/>
              </w:rPr>
              <w:t>PUBLICATION</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pPr>
            <w:r>
              <w:rPr>
                <w:b/>
                <w:szCs w:val="22"/>
              </w:rPr>
              <w:t>Member Country</w:t>
            </w:r>
          </w:p>
        </w:tc>
        <w:tc>
          <w:tcPr>
            <w:tcW w:w="1275"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Non-Member Country</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b/>
                <w:szCs w:val="22"/>
              </w:rPr>
            </w:pPr>
            <w:r>
              <w:rPr>
                <w:b/>
                <w:szCs w:val="22"/>
              </w:rPr>
              <w:t>Total</w:t>
            </w:r>
          </w:p>
        </w:tc>
      </w:tr>
      <w:tr>
        <w:trPr/>
        <w:tc>
          <w:tcPr>
            <w:tcW w:w="6663" w:type="dxa"/>
            <w:tcBorders>
              <w:top w:val="single" w:sz="4" w:space="0" w:color="000000"/>
              <w:start w:val="single" w:sz="4" w:space="0" w:color="000000"/>
              <w:bottom w:val="single" w:sz="4" w:space="0" w:color="000000"/>
              <w:end w:val="single" w:sz="4" w:space="0" w:color="000000"/>
            </w:tcBorders>
            <w:vAlign w:val="center"/>
          </w:tcPr>
          <w:p>
            <w:pPr>
              <w:pStyle w:val="BodyText"/>
              <w:numPr>
                <w:ilvl w:val="0"/>
                <w:numId w:val="0"/>
              </w:numPr>
              <w:spacing w:before="0" w:after="0"/>
              <w:ind w:end="-675"/>
              <w:outlineLvl w:val="0"/>
              <w:rPr>
                <w:rFonts w:ascii="Times New Roman" w:hAnsi="Times New Roman" w:cs="Times New Roman"/>
                <w:b/>
                <w:bCs/>
                <w:sz w:val="22"/>
                <w:szCs w:val="22"/>
              </w:rPr>
            </w:pPr>
            <w:r>
              <w:rPr>
                <w:rFonts w:cs="Times New Roman" w:ascii="Times New Roman" w:hAnsi="Times New Roman"/>
                <w:b/>
                <w:sz w:val="22"/>
                <w:szCs w:val="22"/>
              </w:rPr>
              <w:t xml:space="preserve">ICSG Directory of Copper &amp; Copper Alloy Fabricators: </w:t>
            </w:r>
            <w:r>
              <w:rPr>
                <w:rFonts w:cs="Times New Roman" w:ascii="Times New Roman" w:hAnsi="Times New Roman"/>
                <w:b/>
                <w:bCs/>
                <w:sz w:val="22"/>
                <w:szCs w:val="22"/>
              </w:rPr>
              <w:t>2010 Edition</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szCs w:val="22"/>
              </w:rPr>
              <w:t>€</w:t>
            </w:r>
            <w:r>
              <w:rPr>
                <w:b/>
                <w:szCs w:val="22"/>
              </w:rPr>
              <w:t>400</w:t>
            </w:r>
          </w:p>
          <w:p>
            <w:pPr>
              <w:pStyle w:val="Normal"/>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szCs w:val="22"/>
              </w:rPr>
              <w:t>€</w:t>
            </w:r>
            <w:r>
              <w:rPr>
                <w:b/>
                <w:szCs w:val="22"/>
              </w:rPr>
              <w:t>600</w:t>
            </w:r>
          </w:p>
          <w:p>
            <w:pPr>
              <w:pStyle w:val="Normal"/>
              <w:jc w:val="center"/>
              <w:rPr>
                <w:b/>
                <w:szCs w:val="22"/>
              </w:rPr>
            </w:pPr>
            <w:r>
              <w:rPr>
                <w:b/>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p>
            <w:pPr>
              <w:pStyle w:val="Normal"/>
              <w:jc w:val="center"/>
              <w:rPr>
                <w:szCs w:val="22"/>
              </w:rPr>
            </w:pPr>
            <w:r>
              <w:rPr>
                <w:szCs w:val="22"/>
              </w:rPr>
            </w:r>
          </w:p>
        </w:tc>
      </w:tr>
      <w:tr>
        <w:trPr>
          <w:trHeight w:val="559"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2"/>
              </w:numPr>
              <w:spacing w:before="0" w:after="120"/>
              <w:ind w:hanging="357" w:start="357" w:end="0"/>
              <w:rPr>
                <w:b/>
                <w:szCs w:val="22"/>
              </w:rPr>
            </w:pPr>
            <w:r>
              <w:rPr>
                <w:b/>
                <w:szCs w:val="22"/>
              </w:rPr>
              <w:t>20% discount for Copper Bulletin subscribers</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center"/>
              <w:rPr/>
            </w:pPr>
            <w:r>
              <w:rPr>
                <w:szCs w:val="22"/>
              </w:rPr>
              <w:t>-_____€</w:t>
            </w:r>
          </w:p>
        </w:tc>
      </w:tr>
      <w:tr>
        <w:trPr>
          <w:trHeight w:val="425" w:hRule="atLeast"/>
        </w:trPr>
        <w:tc>
          <w:tcPr>
            <w:tcW w:w="666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rPr>
                <w:b/>
                <w:szCs w:val="22"/>
              </w:rPr>
            </w:pPr>
            <w:r>
              <w:rPr>
                <w:b/>
                <w:szCs w:val="22"/>
              </w:rPr>
              <w:t>TOTAL ORDER</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Cs w:val="22"/>
              </w:rPr>
            </w:pPr>
            <w:r>
              <w:rPr>
                <w:b/>
                <w:szCs w:val="22"/>
              </w:rPr>
            </w:r>
          </w:p>
        </w:tc>
        <w:tc>
          <w:tcPr>
            <w:tcW w:w="12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2"/>
              </w:rPr>
            </w:pPr>
            <w:r>
              <w:rPr>
                <w:szCs w:val="22"/>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2"/>
              </w:rPr>
            </w:pPr>
            <w:r>
              <w:rPr>
                <w:szCs w:val="22"/>
              </w:rPr>
              <w:t>______€</w:t>
            </w:r>
          </w:p>
        </w:tc>
      </w:tr>
    </w:tbl>
    <w:p>
      <w:pPr>
        <w:pStyle w:val="BodyText"/>
        <w:keepLines/>
        <w:spacing w:before="0" w:after="0"/>
        <w:ind w:end="-596"/>
        <w:rPr>
          <w:rFonts w:ascii="Times New Roman" w:hAnsi="Times New Roman" w:cs="Times New Roman"/>
          <w:sz w:val="12"/>
          <w:szCs w:val="12"/>
        </w:rPr>
      </w:pPr>
      <w:r>
        <w:rPr>
          <w:rFonts w:cs="Times New Roman" w:ascii="Times New Roman" w:hAnsi="Times New Roman"/>
          <w:sz w:val="12"/>
          <w:szCs w:val="12"/>
        </w:rPr>
      </w:r>
    </w:p>
    <w:p>
      <w:pPr>
        <w:pStyle w:val="BodyText"/>
        <w:keepLines/>
        <w:spacing w:before="0" w:after="0"/>
        <w:ind w:end="-596"/>
        <w:jc w:val="both"/>
        <w:rPr>
          <w:rFonts w:ascii="Times New Roman" w:hAnsi="Times New Roman" w:cs="Times New Roman"/>
          <w:sz w:val="22"/>
          <w:szCs w:val="22"/>
        </w:rPr>
      </w:pPr>
      <w:r>
        <w:rPr>
          <w:rFonts w:cs="Times New Roman" w:ascii="Times New Roman" w:hAnsi="Times New Roman"/>
          <w:b/>
          <w:sz w:val="22"/>
          <w:szCs w:val="22"/>
        </w:rPr>
        <w:t>NOTE</w:t>
      </w:r>
      <w:r>
        <w:rPr>
          <w:rFonts w:cs="Times New Roman" w:ascii="Times New Roman" w:hAnsi="Times New Roman"/>
          <w:sz w:val="22"/>
          <w:szCs w:val="22"/>
        </w:rPr>
        <w:t>: ICSG members refers to orders originating from institutions based in ICSG member countries. ICSG member countries are: Belgium, Chile, China, Finland, France, Germany, Greece, India, Italy, Japan, Luxembourg, Mexico, Netherlands, Peru, Poland, Portugal, Russian Fed., Serbia, Spain, Sweden, and the U.S.</w:t>
      </w:r>
    </w:p>
    <w:p>
      <w:pPr>
        <w:pStyle w:val="BodyText"/>
        <w:keepLines/>
        <w:spacing w:before="0" w:after="0"/>
        <w:ind w:end="-596"/>
        <w:jc w:val="both"/>
        <w:rPr>
          <w:rFonts w:ascii="Times New Roman" w:hAnsi="Times New Roman" w:cs="Times New Roman"/>
          <w:sz w:val="20"/>
          <w:szCs w:val="22"/>
        </w:rPr>
      </w:pPr>
      <w:r>
        <w:rPr>
          <w:rFonts w:cs="Times New Roman" w:ascii="Times New Roman" w:hAnsi="Times New Roman"/>
          <w:sz w:val="20"/>
          <w:szCs w:val="22"/>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Name___________________________________________ Title 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Company___________________________________________________________________________________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Address____________________________________________________________________________________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City</w:t>
        <w:tab/>
        <w:t>_______________________ Postal Code_________________ Country___________________________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Tel</w:t>
        <w:tab/>
        <w:t>___________________ Fax__________________ E-mail______________________________________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Date</w:t>
        <w:tab/>
        <w:t>_______________________________        Signed____________________________________________</w:t>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r>
    </w:p>
    <w:p>
      <w:pPr>
        <w:pStyle w:val="BodyText"/>
        <w:keepLines/>
        <w:spacing w:before="0" w:after="0"/>
        <w:ind w:end="-596"/>
        <w:rPr>
          <w:rFonts w:ascii="Times New Roman" w:hAnsi="Times New Roman" w:cs="Times New Roman"/>
          <w:b/>
          <w:sz w:val="20"/>
        </w:rPr>
      </w:pPr>
      <w:r>
        <w:rPr>
          <w:rFonts w:cs="Times New Roman" w:ascii="Times New Roman" w:hAnsi="Times New Roman"/>
          <w:b/>
          <w:sz w:val="20"/>
        </w:rPr>
        <w:t>METHOD OF PAYMENT</w:t>
      </w:r>
    </w:p>
    <w:p>
      <w:pPr>
        <w:pStyle w:val="BodyText"/>
        <w:keepLines/>
        <w:spacing w:before="0" w:after="0"/>
        <w:ind w:end="-596"/>
        <w:rPr/>
      </w:pPr>
      <w:r>
        <w:rPr>
          <w:rFonts w:cs="Times New Roman" w:ascii="Times New Roman" w:hAnsi="Times New Roman"/>
          <w:sz w:val="20"/>
        </w:rPr>
        <w:t xml:space="preserve">□ </w:t>
      </w:r>
      <w:r>
        <w:rPr>
          <w:rFonts w:cs="Times New Roman" w:ascii="Times New Roman" w:hAnsi="Times New Roman"/>
          <w:sz w:val="20"/>
        </w:rPr>
        <w:t xml:space="preserve">I enclose a cheque payable to the </w:t>
      </w:r>
      <w:r>
        <w:rPr>
          <w:rFonts w:cs="Times New Roman" w:ascii="Times New Roman" w:hAnsi="Times New Roman"/>
          <w:b/>
          <w:i/>
          <w:sz w:val="20"/>
        </w:rPr>
        <w:t>International Copper Study Group</w:t>
      </w:r>
      <w:r>
        <w:rPr>
          <w:rFonts w:cs="Times New Roman" w:ascii="Times New Roman" w:hAnsi="Times New Roman"/>
          <w:sz w:val="20"/>
        </w:rPr>
        <w:t xml:space="preserve"> of  _____________  Euros addressed to:</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International Copper Study Group</w:t>
      </w:r>
    </w:p>
    <w:p>
      <w:pPr>
        <w:pStyle w:val="BodyText"/>
        <w:keepLines/>
        <w:spacing w:before="0" w:after="0"/>
        <w:ind w:end="-596"/>
        <w:jc w:val="center"/>
        <w:rPr/>
      </w:pPr>
      <w:r>
        <w:rPr>
          <w:rFonts w:cs="Times New Roman" w:ascii="Times New Roman" w:hAnsi="Times New Roman"/>
          <w:sz w:val="20"/>
        </w:rPr>
        <w:t>R. Almirante Barroso, nº 38, 6</w:t>
      </w:r>
      <w:r>
        <w:rPr>
          <w:rFonts w:cs="Times New Roman" w:ascii="Times New Roman" w:hAnsi="Times New Roman"/>
          <w:sz w:val="20"/>
          <w:vertAlign w:val="superscript"/>
        </w:rPr>
        <w:t>th</w:t>
      </w:r>
      <w:r>
        <w:rPr>
          <w:rFonts w:cs="Times New Roman" w:ascii="Times New Roman" w:hAnsi="Times New Roman"/>
          <w:sz w:val="20"/>
        </w:rPr>
        <w:t xml:space="preserve"> Floor</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t>1000-013 Lisbon, Portugal</w:t>
      </w:r>
    </w:p>
    <w:p>
      <w:pPr>
        <w:pStyle w:val="BodyText"/>
        <w:keepLines/>
        <w:spacing w:before="0" w:after="0"/>
        <w:ind w:end="-596"/>
        <w:jc w:val="center"/>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 xml:space="preserve">Please debit my VISA/Master Card for  ________________ Euros </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tbl>
      <w:tblPr>
        <w:tblW w:w="8161" w:type="dxa"/>
        <w:jc w:val="start"/>
        <w:tblInd w:w="0" w:type="dxa"/>
        <w:tblLayout w:type="fixed"/>
        <w:tblCellMar>
          <w:top w:w="0" w:type="dxa"/>
          <w:start w:w="108" w:type="dxa"/>
          <w:bottom w:w="0" w:type="dxa"/>
          <w:end w:w="108" w:type="dxa"/>
        </w:tblCellMar>
      </w:tblPr>
      <w:tblGrid>
        <w:gridCol w:w="1809"/>
        <w:gridCol w:w="397"/>
        <w:gridCol w:w="397"/>
        <w:gridCol w:w="397"/>
        <w:gridCol w:w="397"/>
        <w:gridCol w:w="397"/>
        <w:gridCol w:w="397"/>
        <w:gridCol w:w="397"/>
        <w:gridCol w:w="397"/>
        <w:gridCol w:w="397"/>
        <w:gridCol w:w="397"/>
        <w:gridCol w:w="397"/>
        <w:gridCol w:w="397"/>
        <w:gridCol w:w="397"/>
        <w:gridCol w:w="397"/>
        <w:gridCol w:w="397"/>
        <w:gridCol w:w="397"/>
      </w:tblGrid>
      <w:tr>
        <w:trPr>
          <w:trHeight w:val="320" w:hRule="atLeast"/>
        </w:trPr>
        <w:tc>
          <w:tcPr>
            <w:tcW w:w="180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 number</w:t>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7"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p>
    <w:tbl>
      <w:tblPr>
        <w:tblW w:w="9747" w:type="dxa"/>
        <w:jc w:val="start"/>
        <w:tblInd w:w="0" w:type="dxa"/>
        <w:tblLayout w:type="fixed"/>
        <w:tblCellMar>
          <w:top w:w="0" w:type="dxa"/>
          <w:start w:w="108" w:type="dxa"/>
          <w:bottom w:w="0" w:type="dxa"/>
          <w:end w:w="108" w:type="dxa"/>
        </w:tblCellMar>
      </w:tblPr>
      <w:tblGrid>
        <w:gridCol w:w="8559"/>
        <w:gridCol w:w="396"/>
        <w:gridCol w:w="396"/>
        <w:gridCol w:w="396"/>
      </w:tblGrid>
      <w:tr>
        <w:trPr>
          <w:trHeight w:val="320" w:hRule="atLeast"/>
        </w:trPr>
        <w:tc>
          <w:tcPr>
            <w:tcW w:w="8559" w:type="dxa"/>
            <w:tcBorders>
              <w:end w:val="single" w:sz="4" w:space="0" w:color="000000"/>
            </w:tcBorders>
            <w:vAlign w:val="center"/>
          </w:tcPr>
          <w:p>
            <w:pPr>
              <w:pStyle w:val="BodyText"/>
              <w:keepLines/>
              <w:spacing w:before="0" w:after="0"/>
              <w:ind w:end="38"/>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C.V.V. (Card Value Verification - last three digits of the number on the back of the card)</w:t>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c>
          <w:tcPr>
            <w:tcW w:w="396" w:type="dxa"/>
            <w:tcBorders>
              <w:top w:val="single" w:sz="4" w:space="0" w:color="000000"/>
              <w:start w:val="single" w:sz="4" w:space="0" w:color="000000"/>
              <w:bottom w:val="single" w:sz="4" w:space="0" w:color="000000"/>
              <w:end w:val="single" w:sz="4" w:space="0" w:color="000000"/>
            </w:tcBorders>
            <w:vAlign w:val="center"/>
          </w:tcPr>
          <w:p>
            <w:pPr>
              <w:pStyle w:val="BodyText"/>
              <w:keepLines/>
              <w:snapToGrid w:val="false"/>
              <w:spacing w:before="0" w:after="0"/>
              <w:ind w:end="-596"/>
              <w:rPr>
                <w:rFonts w:ascii="Times New Roman" w:hAnsi="Times New Roman" w:cs="Times New Roman"/>
                <w:sz w:val="20"/>
              </w:rPr>
            </w:pPr>
            <w:r>
              <w:rPr>
                <w:rFonts w:cs="Times New Roman" w:ascii="Times New Roman" w:hAnsi="Times New Roman"/>
                <w:sz w:val="20"/>
              </w:rPr>
            </w:r>
          </w:p>
        </w:tc>
      </w:tr>
    </w:tbl>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Name _______________________________________        Expiry date 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Signature ______________________________________________          Date: ________________________</w:t>
      </w:r>
    </w:p>
    <w:p>
      <w:pPr>
        <w:pStyle w:val="BodyText"/>
        <w:keepLines/>
        <w:spacing w:before="0" w:after="0"/>
        <w:ind w:end="-596"/>
        <w:rPr>
          <w:rFonts w:ascii="Times New Roman" w:hAnsi="Times New Roman" w:cs="Times New Roman"/>
          <w:sz w:val="20"/>
        </w:rPr>
      </w:pPr>
      <w:r>
        <w:rPr>
          <w:rFonts w:cs="Times New Roman" w:ascii="Times New Roman" w:hAnsi="Times New Roman"/>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 xml:space="preserve">   </w:t>
      </w:r>
      <w:r>
        <w:rPr>
          <w:rFonts w:cs="Times New Roman" w:ascii="Times New Roman" w:hAnsi="Times New Roman"/>
          <w:sz w:val="20"/>
        </w:rPr>
        <w:t>Cardholders Address _______________________________________________________________________</w:t>
      </w:r>
    </w:p>
    <w:p>
      <w:pPr>
        <w:pStyle w:val="BodyText"/>
        <w:keepLines/>
        <w:spacing w:before="0" w:after="0"/>
        <w:ind w:end="-596"/>
        <w:rPr>
          <w:rFonts w:ascii="Times New Roman" w:hAnsi="Times New Roman" w:cs="Times New Roman"/>
          <w:color w:val="000000"/>
          <w:sz w:val="20"/>
        </w:rPr>
      </w:pPr>
      <w:r>
        <w:rPr>
          <w:rFonts w:cs="Times New Roman" w:ascii="Times New Roman" w:hAnsi="Times New Roman"/>
          <w:color w:val="000000"/>
          <w:sz w:val="20"/>
        </w:rPr>
      </w:r>
    </w:p>
    <w:p>
      <w:pPr>
        <w:pStyle w:val="BodyText"/>
        <w:keepLines/>
        <w:spacing w:before="0" w:after="0"/>
        <w:ind w:end="-596"/>
        <w:rPr>
          <w:rFonts w:ascii="Times New Roman" w:hAnsi="Times New Roman" w:cs="Times New Roman"/>
          <w:sz w:val="20"/>
        </w:rPr>
      </w:pPr>
      <w:r>
        <w:rPr>
          <w:rFonts w:cs="Times New Roman" w:ascii="Times New Roman" w:hAnsi="Times New Roman"/>
          <w:sz w:val="20"/>
        </w:rPr>
        <w:t>US dollar payments and electronic bank transfers may be possible.  Please contact the ICSG for details.</w:t>
      </w:r>
    </w:p>
    <w:p>
      <w:pPr>
        <w:pStyle w:val="BodyText"/>
        <w:keepLines/>
        <w:spacing w:before="0" w:after="0"/>
        <w:ind w:end="-596"/>
        <w:jc w:val="center"/>
        <w:rPr/>
      </w:pPr>
      <w:r>
        <w:rPr>
          <w:rFonts w:cs="Times New Roman" w:ascii="Times New Roman" w:hAnsi="Times New Roman"/>
          <w:sz w:val="20"/>
          <w:lang w:val="en-US"/>
        </w:rPr>
        <w:t xml:space="preserve">e-mail: </w:t>
      </w:r>
      <w:hyperlink r:id="rId4">
        <w:r>
          <w:rPr>
            <w:rStyle w:val="Hyperlink"/>
            <w:rFonts w:cs="Times New Roman" w:ascii="Times New Roman" w:hAnsi="Times New Roman"/>
            <w:color w:val="000000"/>
            <w:sz w:val="20"/>
            <w:lang w:val="en-US"/>
          </w:rPr>
          <w:t>mail@icsg.org</w:t>
        </w:r>
      </w:hyperlink>
      <w:r>
        <w:rPr>
          <w:rFonts w:cs="Times New Roman" w:ascii="Times New Roman" w:hAnsi="Times New Roman"/>
          <w:sz w:val="20"/>
          <w:lang w:val="en-US"/>
        </w:rPr>
        <w:t xml:space="preserve"> </w:t>
        <w:tab/>
        <w:t>tel:  351-21-351-3870</w:t>
        <w:tab/>
        <w:t>fax:  351-21-352-4035</w:t>
      </w:r>
    </w:p>
    <w:sectPr>
      <w:type w:val="nextPage"/>
      <w:pgSz w:w="11906" w:h="16838"/>
      <w:pgMar w:left="1276" w:right="1166" w:gutter="0" w:header="0" w:top="450"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nivers">
    <w:altName w:val="Arial"/>
    <w:charset w:val="00" w:characterSet="windows-1252"/>
    <w:family w:val="swiss"/>
    <w:pitch w:val="variable"/>
  </w:font>
  <w:font w:name="CG Times">
    <w:altName w:val="Times New Roman"/>
    <w:charset w:val="00" w:characterSet="windows-1252"/>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ourier New">
    <w:charset w:val="cc" w:characterSet="windows-125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800"/>
        </w:tabs>
        <w:ind w:start="1800" w:hanging="360"/>
      </w:pPr>
    </w:lvl>
  </w:abstractNum>
  <w:abstractNum w:abstractNumId="3">
    <w:lvl w:ilvl="0">
      <w:start w:val="1"/>
      <w:numFmt w:val="decimal"/>
      <w:lvlText w:val="%1."/>
      <w:lvlJc w:val="start"/>
      <w:pPr>
        <w:tabs>
          <w:tab w:val="num" w:pos="1440"/>
        </w:tabs>
        <w:ind w:start="1440" w:hanging="360"/>
      </w:pPr>
    </w:lvl>
  </w:abstractNum>
  <w:abstractNum w:abstractNumId="4">
    <w:lvl w:ilvl="0">
      <w:start w:val="1"/>
      <w:numFmt w:val="decimal"/>
      <w:lvlText w:val="%1."/>
      <w:lvlJc w:val="start"/>
      <w:pPr>
        <w:tabs>
          <w:tab w:val="num" w:pos="1080"/>
        </w:tabs>
        <w:ind w:start="10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abstractNum>
  <w:abstractNum w:abstractNumId="7">
    <w:lvl w:ilvl="0">
      <w:start w:val="1"/>
      <w:numFmt w:val="bullet"/>
      <w:lvlText w:val=""/>
      <w:lvlJc w:val="start"/>
      <w:pPr>
        <w:tabs>
          <w:tab w:val="num" w:pos="1440"/>
        </w:tabs>
        <w:ind w:start="1440" w:hanging="360"/>
      </w:pPr>
      <w:rPr>
        <w:rFonts w:ascii="Symbol" w:hAnsi="Symbol" w:cs="Symbol" w:hint="default"/>
      </w:rPr>
    </w:lvl>
  </w:abstractNum>
  <w:abstractNum w:abstractNumId="8">
    <w:lvl w:ilvl="0">
      <w:start w:val="1"/>
      <w:numFmt w:val="bullet"/>
      <w:lvlText w:val=""/>
      <w:lvlJc w:val="start"/>
      <w:pPr>
        <w:tabs>
          <w:tab w:val="num" w:pos="1080"/>
        </w:tabs>
        <w:ind w:start="108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o"/>
      <w:lvlJc w:val="start"/>
      <w:pPr>
        <w:tabs>
          <w:tab w:val="num" w:pos="360"/>
        </w:tabs>
        <w:ind w:start="360" w:hanging="360"/>
      </w:pPr>
      <w:rPr>
        <w:rFonts w:ascii="Courier New" w:hAnsi="Courier New" w:cs="Courier New" w:hint="default"/>
        <w:sz w:val="28"/>
        <w:szCs w:val="2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Univers;Arial" w:hAnsi="Univers;Arial" w:eastAsia="Times New Roman" w:cs="Univers;Arial"/>
      <w:color w:val="auto"/>
      <w:sz w:val="22"/>
      <w:szCs w:val="20"/>
      <w:lang w:val="en-GB" w:bidi="ar-SA" w:eastAsia="zh-CN"/>
    </w:rPr>
  </w:style>
  <w:style w:type="paragraph" w:styleId="Heading1">
    <w:name w:val="heading 1"/>
    <w:basedOn w:val="Normal"/>
    <w:next w:val="Normal"/>
    <w:qFormat/>
    <w:pPr>
      <w:keepNext w:val="true"/>
      <w:numPr>
        <w:ilvl w:val="0"/>
        <w:numId w:val="1"/>
      </w:numPr>
      <w:spacing w:lineRule="exact" w:line="220"/>
      <w:jc w:val="center"/>
      <w:outlineLvl w:val="0"/>
    </w:pPr>
    <w:rPr>
      <w:rFonts w:ascii="CG Times;Times New Roman" w:hAnsi="CG Times;Times New Roman" w:cs="CG Times;Times New Roman"/>
      <w:b/>
      <w:sz w:val="28"/>
    </w:rPr>
  </w:style>
  <w:style w:type="paragraph" w:styleId="Heading2">
    <w:name w:val="heading 2"/>
    <w:basedOn w:val="Normal"/>
    <w:next w:val="Normal"/>
    <w:qFormat/>
    <w:pPr>
      <w:keepNext w:val="true"/>
      <w:numPr>
        <w:ilvl w:val="1"/>
        <w:numId w:val="1"/>
      </w:numPr>
      <w:jc w:val="center"/>
      <w:outlineLvl w:val="1"/>
    </w:pPr>
    <w:rPr>
      <w:sz w:val="48"/>
    </w:rPr>
  </w:style>
  <w:style w:type="paragraph" w:styleId="Heading3">
    <w:name w:val="heading 3"/>
    <w:basedOn w:val="Normal"/>
    <w:next w:val="Normal"/>
    <w:qFormat/>
    <w:pPr>
      <w:keepNext w:val="true"/>
      <w:numPr>
        <w:ilvl w:val="2"/>
        <w:numId w:val="1"/>
      </w:numPr>
      <w:shd w:fill="000000" w:val="clear"/>
      <w:tabs>
        <w:tab w:val="clear" w:pos="720"/>
        <w:tab w:val="left" w:pos="180" w:leader="none"/>
        <w:tab w:val="right" w:pos="9900" w:leader="none"/>
      </w:tabs>
      <w:ind w:hanging="0" w:start="0" w:end="-234"/>
      <w:outlineLvl w:val="2"/>
    </w:pPr>
    <w:rPr>
      <w:b/>
      <w:color w:val="FFFFFF"/>
      <w:sz w:val="28"/>
      <w:shd w:fill="000000" w:val="clear"/>
    </w:rPr>
  </w:style>
  <w:style w:type="paragraph" w:styleId="Heading4">
    <w:name w:val="heading 4"/>
    <w:basedOn w:val="Normal"/>
    <w:next w:val="Normal"/>
    <w:qFormat/>
    <w:pPr>
      <w:keepNext w:val="true"/>
      <w:numPr>
        <w:ilvl w:val="3"/>
        <w:numId w:val="1"/>
      </w:numPr>
      <w:jc w:val="center"/>
      <w:outlineLvl w:val="3"/>
    </w:pPr>
    <w:rPr>
      <w:rFonts w:ascii="Times New Roman" w:hAnsi="Times New Roman" w:cs="Times New Roman"/>
      <w:sz w:val="56"/>
      <w:vertAlign w:val="superscript"/>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Courier New" w:hAnsi="Courier New" w:cs="Courier New"/>
      <w:sz w:val="28"/>
      <w:szCs w:val="28"/>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Courier New" w:hAnsi="Courier New" w:cs="Courier New"/>
      <w:sz w:val="28"/>
      <w:szCs w:val="2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Courier New" w:hAnsi="Courier New" w:cs="Courier New"/>
      <w:sz w:val="28"/>
      <w:szCs w:val="2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Style5">
    <w:name w:val="Основной шрифт абзаца"/>
    <w:qFormat/>
    <w:rPr/>
  </w:style>
  <w:style w:type="character" w:styleId="Hyperlink">
    <w:name w:val="Hyperlink"/>
    <w:basedOn w:val="Style5"/>
    <w:rPr>
      <w:color w:val="0000FF"/>
      <w:u w:val="single"/>
    </w:rPr>
  </w:style>
  <w:style w:type="character" w:styleId="Strong">
    <w:name w:val="Strong"/>
    <w:basedOn w:val="Style5"/>
    <w:qFormat/>
    <w:rPr>
      <w:b/>
      <w:bCs/>
    </w:rPr>
  </w:style>
  <w:style w:type="character" w:styleId="FootnoteCharacters">
    <w:name w:val="Footnote Characters"/>
    <w:basedOn w:val="Style5"/>
    <w:qFormat/>
    <w:rPr>
      <w:vertAlign w:val="superscript"/>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rPr>
  </w:style>
  <w:style w:type="paragraph" w:styleId="BodyText">
    <w:name w:val="Body Text"/>
    <w:basedOn w:val="Normal"/>
    <w:pPr>
      <w:spacing w:before="0" w:after="120"/>
    </w:pPr>
    <w:rPr>
      <w:rFonts w:ascii="Arial" w:hAnsi="Arial" w:cs="Arial"/>
      <w:sz w:val="16"/>
    </w:rPr>
  </w:style>
  <w:style w:type="paragraph" w:styleId="List">
    <w:name w:val="List"/>
    <w:basedOn w:val="Normal"/>
    <w:pPr>
      <w:ind w:hanging="360" w:start="360" w:end="0"/>
    </w:pPr>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Style6">
    <w:name w:val="Схема документа"/>
    <w:basedOn w:val="Normal"/>
    <w:qFormat/>
    <w:pPr>
      <w:shd w:fill="000080" w:val="clear"/>
    </w:pPr>
    <w:rPr>
      <w:rFonts w:ascii="Tahoma" w:hAnsi="Tahoma" w:cs="Tahoma"/>
    </w:rPr>
  </w:style>
  <w:style w:type="paragraph" w:styleId="Style7">
    <w:name w:val="Цитата"/>
    <w:basedOn w:val="Normal"/>
    <w:qFormat/>
    <w:pPr>
      <w:spacing w:before="0" w:after="120"/>
      <w:ind w:hanging="0" w:start="1440" w:end="1440"/>
    </w:pPr>
    <w:rPr/>
  </w:style>
  <w:style w:type="paragraph" w:styleId="2">
    <w:name w:val="Основной текст 2"/>
    <w:basedOn w:val="Normal"/>
    <w:qFormat/>
    <w:pPr>
      <w:spacing w:lineRule="auto" w:line="480" w:before="0" w:after="120"/>
    </w:pPr>
    <w:rPr/>
  </w:style>
  <w:style w:type="paragraph" w:styleId="3">
    <w:name w:val="Основной текст 3"/>
    <w:basedOn w:val="Normal"/>
    <w:qFormat/>
    <w:pPr>
      <w:spacing w:before="0" w:after="120"/>
    </w:pPr>
    <w:rPr>
      <w:sz w:val="16"/>
      <w:szCs w:val="16"/>
    </w:rPr>
  </w:style>
  <w:style w:type="paragraph" w:styleId="Style8">
    <w:name w:val="Красная строка"/>
    <w:basedOn w:val="BodyText"/>
    <w:qFormat/>
    <w:pPr>
      <w:ind w:firstLine="210" w:start="0" w:end="0"/>
    </w:pPr>
    <w:rPr>
      <w:rFonts w:ascii="Univers;Arial" w:hAnsi="Univers;Arial" w:cs="Univers;Arial"/>
      <w:sz w:val="22"/>
    </w:rPr>
  </w:style>
  <w:style w:type="paragraph" w:styleId="BodyTextIndent">
    <w:name w:val="Body Text Indent"/>
    <w:basedOn w:val="Normal"/>
    <w:pPr>
      <w:spacing w:before="0" w:after="120"/>
      <w:ind w:hanging="0" w:start="360" w:end="0"/>
    </w:pPr>
    <w:rPr/>
  </w:style>
  <w:style w:type="paragraph" w:styleId="21">
    <w:name w:val="Красная строка 2"/>
    <w:basedOn w:val="BodyTextIndent"/>
    <w:qFormat/>
    <w:pPr>
      <w:ind w:firstLine="210" w:start="360" w:end="0"/>
    </w:pPr>
    <w:rPr/>
  </w:style>
  <w:style w:type="paragraph" w:styleId="22">
    <w:name w:val="Основной текст с отступом 2"/>
    <w:basedOn w:val="Normal"/>
    <w:qFormat/>
    <w:pPr>
      <w:spacing w:lineRule="auto" w:line="480" w:before="0" w:after="120"/>
      <w:ind w:hanging="0" w:start="360" w:end="0"/>
    </w:pPr>
    <w:rPr/>
  </w:style>
  <w:style w:type="paragraph" w:styleId="31">
    <w:name w:val="Основной текст с отступом 3"/>
    <w:basedOn w:val="Normal"/>
    <w:qFormat/>
    <w:pPr>
      <w:spacing w:before="0" w:after="120"/>
      <w:ind w:hanging="0" w:start="360" w:end="0"/>
    </w:pPr>
    <w:rPr>
      <w:sz w:val="16"/>
      <w:szCs w:val="16"/>
    </w:rPr>
  </w:style>
  <w:style w:type="paragraph" w:styleId="Style9">
    <w:name w:val="Название объекта"/>
    <w:basedOn w:val="Normal"/>
    <w:next w:val="Normal"/>
    <w:qFormat/>
    <w:pPr>
      <w:spacing w:before="120" w:after="120"/>
    </w:pPr>
    <w:rPr>
      <w:b/>
      <w:bCs/>
      <w:sz w:val="20"/>
    </w:rPr>
  </w:style>
  <w:style w:type="paragraph" w:styleId="Style10">
    <w:name w:val="Прощание"/>
    <w:basedOn w:val="Normal"/>
    <w:qFormat/>
    <w:pPr>
      <w:ind w:hanging="0" w:start="4320" w:end="0"/>
    </w:pPr>
    <w:rPr/>
  </w:style>
  <w:style w:type="paragraph" w:styleId="Style11">
    <w:name w:val="Текст примечания"/>
    <w:basedOn w:val="Normal"/>
    <w:qFormat/>
    <w:pPr/>
    <w:rPr>
      <w:sz w:val="20"/>
    </w:rPr>
  </w:style>
  <w:style w:type="paragraph" w:styleId="Style12">
    <w:name w:val="Дата"/>
    <w:basedOn w:val="Normal"/>
    <w:next w:val="Normal"/>
    <w:qFormat/>
    <w:pPr/>
    <w:rPr/>
  </w:style>
  <w:style w:type="paragraph" w:styleId="Style13">
    <w:name w:val="Электронная подпись"/>
    <w:basedOn w:val="Normal"/>
    <w:qFormat/>
    <w:pPr/>
    <w:rPr/>
  </w:style>
  <w:style w:type="paragraph" w:styleId="EndnoteText">
    <w:name w:val="endnote text"/>
    <w:basedOn w:val="Normal"/>
    <w:pPr/>
    <w:rPr>
      <w:sz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z w:val="20"/>
    </w:rPr>
  </w:style>
  <w:style w:type="paragraph" w:styleId="Header">
    <w:name w:val="header"/>
    <w:basedOn w:val="Normal"/>
    <w:pPr>
      <w:tabs>
        <w:tab w:val="clear" w:pos="720"/>
        <w:tab w:val="center" w:pos="4320" w:leader="none"/>
        <w:tab w:val="right" w:pos="8640" w:leader="none"/>
      </w:tabs>
    </w:pPr>
    <w:rPr/>
  </w:style>
  <w:style w:type="paragraph" w:styleId="HTML">
    <w:name w:val="Адрес HTML"/>
    <w:basedOn w:val="Normal"/>
    <w:qFormat/>
    <w:pPr/>
    <w:rPr>
      <w:i/>
      <w:iCs/>
    </w:rPr>
  </w:style>
  <w:style w:type="paragraph" w:styleId="HTML1">
    <w:name w:val="Стандартный HTML"/>
    <w:basedOn w:val="Normal"/>
    <w:qFormat/>
    <w:pPr/>
    <w:rPr>
      <w:rFonts w:ascii="Courier New" w:hAnsi="Courier New" w:cs="Courier New"/>
      <w:sz w:val="20"/>
    </w:rPr>
  </w:style>
  <w:style w:type="paragraph" w:styleId="Index1">
    <w:name w:val="index 1"/>
    <w:basedOn w:val="Normal"/>
    <w:next w:val="Normal"/>
    <w:pPr>
      <w:ind w:hanging="220" w:start="220" w:end="0"/>
    </w:pPr>
    <w:rPr/>
  </w:style>
  <w:style w:type="paragraph" w:styleId="Index2">
    <w:name w:val="index 2"/>
    <w:basedOn w:val="Normal"/>
    <w:next w:val="Normal"/>
    <w:pPr>
      <w:ind w:hanging="220" w:start="440" w:end="0"/>
    </w:pPr>
    <w:rPr/>
  </w:style>
  <w:style w:type="paragraph" w:styleId="Index3">
    <w:name w:val="index 3"/>
    <w:basedOn w:val="Normal"/>
    <w:next w:val="Normal"/>
    <w:pPr>
      <w:ind w:hanging="220" w:start="660" w:end="0"/>
    </w:pPr>
    <w:rPr/>
  </w:style>
  <w:style w:type="paragraph" w:styleId="4">
    <w:name w:val="Указатель 4"/>
    <w:basedOn w:val="Normal"/>
    <w:next w:val="Normal"/>
    <w:qFormat/>
    <w:pPr>
      <w:ind w:hanging="220" w:start="880" w:end="0"/>
    </w:pPr>
    <w:rPr/>
  </w:style>
  <w:style w:type="paragraph" w:styleId="5">
    <w:name w:val="Указатель 5"/>
    <w:basedOn w:val="Normal"/>
    <w:next w:val="Normal"/>
    <w:qFormat/>
    <w:pPr>
      <w:ind w:hanging="220" w:start="1100" w:end="0"/>
    </w:pPr>
    <w:rPr/>
  </w:style>
  <w:style w:type="paragraph" w:styleId="6">
    <w:name w:val="Указатель 6"/>
    <w:basedOn w:val="Normal"/>
    <w:next w:val="Normal"/>
    <w:qFormat/>
    <w:pPr>
      <w:ind w:hanging="220" w:start="1320" w:end="0"/>
    </w:pPr>
    <w:rPr/>
  </w:style>
  <w:style w:type="paragraph" w:styleId="7">
    <w:name w:val="Указатель 7"/>
    <w:basedOn w:val="Normal"/>
    <w:next w:val="Normal"/>
    <w:qFormat/>
    <w:pPr>
      <w:ind w:hanging="220" w:start="1540" w:end="0"/>
    </w:pPr>
    <w:rPr/>
  </w:style>
  <w:style w:type="paragraph" w:styleId="8">
    <w:name w:val="Указатель 8"/>
    <w:basedOn w:val="Normal"/>
    <w:next w:val="Normal"/>
    <w:qFormat/>
    <w:pPr>
      <w:ind w:hanging="220" w:start="1760" w:end="0"/>
    </w:pPr>
    <w:rPr/>
  </w:style>
  <w:style w:type="paragraph" w:styleId="9">
    <w:name w:val="Указатель 9"/>
    <w:basedOn w:val="Normal"/>
    <w:next w:val="Normal"/>
    <w:qFormat/>
    <w:pPr>
      <w:ind w:hanging="220" w:start="1980" w:end="0"/>
    </w:pPr>
    <w:rPr/>
  </w:style>
  <w:style w:type="paragraph" w:styleId="IndexHeading">
    <w:name w:val="index heading"/>
    <w:basedOn w:val="Normal"/>
    <w:next w:val="Index1"/>
    <w:pPr/>
    <w:rPr>
      <w:rFonts w:ascii="Arial" w:hAnsi="Arial" w:cs="Arial"/>
      <w:b/>
      <w:bCs/>
    </w:rPr>
  </w:style>
  <w:style w:type="paragraph" w:styleId="23">
    <w:name w:val="Список 2"/>
    <w:basedOn w:val="Normal"/>
    <w:qFormat/>
    <w:pPr>
      <w:ind w:hanging="360" w:start="720" w:end="0"/>
    </w:pPr>
    <w:rPr/>
  </w:style>
  <w:style w:type="paragraph" w:styleId="32">
    <w:name w:val="Список 3"/>
    <w:basedOn w:val="Normal"/>
    <w:qFormat/>
    <w:pPr>
      <w:ind w:hanging="360" w:start="1080" w:end="0"/>
    </w:pPr>
    <w:rPr/>
  </w:style>
  <w:style w:type="paragraph" w:styleId="41">
    <w:name w:val="Список 4"/>
    <w:basedOn w:val="Normal"/>
    <w:qFormat/>
    <w:pPr>
      <w:ind w:hanging="360" w:start="1440" w:end="0"/>
    </w:pPr>
    <w:rPr/>
  </w:style>
  <w:style w:type="paragraph" w:styleId="51">
    <w:name w:val="Список 5"/>
    <w:basedOn w:val="Normal"/>
    <w:qFormat/>
    <w:pPr>
      <w:ind w:hanging="360" w:start="1800" w:end="0"/>
    </w:pPr>
    <w:rPr/>
  </w:style>
  <w:style w:type="paragraph" w:styleId="Style14">
    <w:name w:val="Маркированный список"/>
    <w:basedOn w:val="Normal"/>
    <w:qFormat/>
    <w:pPr>
      <w:numPr>
        <w:ilvl w:val="0"/>
        <w:numId w:val="11"/>
      </w:numPr>
    </w:pPr>
    <w:rPr/>
  </w:style>
  <w:style w:type="paragraph" w:styleId="24">
    <w:name w:val="Маркированный список 2"/>
    <w:basedOn w:val="Normal"/>
    <w:qFormat/>
    <w:pPr>
      <w:numPr>
        <w:ilvl w:val="0"/>
        <w:numId w:val="9"/>
      </w:numPr>
    </w:pPr>
    <w:rPr/>
  </w:style>
  <w:style w:type="paragraph" w:styleId="33">
    <w:name w:val="Маркированный список 3"/>
    <w:basedOn w:val="Normal"/>
    <w:qFormat/>
    <w:pPr>
      <w:numPr>
        <w:ilvl w:val="0"/>
        <w:numId w:val="8"/>
      </w:numPr>
    </w:pPr>
    <w:rPr/>
  </w:style>
  <w:style w:type="paragraph" w:styleId="42">
    <w:name w:val="Маркированный список 4"/>
    <w:basedOn w:val="Normal"/>
    <w:qFormat/>
    <w:pPr>
      <w:numPr>
        <w:ilvl w:val="0"/>
        <w:numId w:val="7"/>
      </w:numPr>
    </w:pPr>
    <w:rPr/>
  </w:style>
  <w:style w:type="paragraph" w:styleId="52">
    <w:name w:val="Маркированный список 5"/>
    <w:basedOn w:val="Normal"/>
    <w:qFormat/>
    <w:pPr>
      <w:numPr>
        <w:ilvl w:val="0"/>
        <w:numId w:val="6"/>
      </w:numPr>
    </w:pPr>
    <w:rPr/>
  </w:style>
  <w:style w:type="paragraph" w:styleId="Style15">
    <w:name w:val="Продолжение списка"/>
    <w:basedOn w:val="Normal"/>
    <w:qFormat/>
    <w:pPr>
      <w:spacing w:before="0" w:after="120"/>
      <w:ind w:hanging="0" w:start="360" w:end="0"/>
    </w:pPr>
    <w:rPr/>
  </w:style>
  <w:style w:type="paragraph" w:styleId="25">
    <w:name w:val="Продолжение списка 2"/>
    <w:basedOn w:val="Normal"/>
    <w:qFormat/>
    <w:pPr>
      <w:spacing w:before="0" w:after="120"/>
      <w:ind w:hanging="0" w:start="720" w:end="0"/>
    </w:pPr>
    <w:rPr/>
  </w:style>
  <w:style w:type="paragraph" w:styleId="34">
    <w:name w:val="Продолжение списка 3"/>
    <w:basedOn w:val="Normal"/>
    <w:qFormat/>
    <w:pPr>
      <w:spacing w:before="0" w:after="120"/>
      <w:ind w:hanging="0" w:start="1080" w:end="0"/>
    </w:pPr>
    <w:rPr/>
  </w:style>
  <w:style w:type="paragraph" w:styleId="43">
    <w:name w:val="Продолжение списка 4"/>
    <w:basedOn w:val="Normal"/>
    <w:qFormat/>
    <w:pPr>
      <w:spacing w:before="0" w:after="120"/>
      <w:ind w:hanging="0" w:start="1440" w:end="0"/>
    </w:pPr>
    <w:rPr/>
  </w:style>
  <w:style w:type="paragraph" w:styleId="53">
    <w:name w:val="Продолжение списка 5"/>
    <w:basedOn w:val="Normal"/>
    <w:qFormat/>
    <w:pPr>
      <w:spacing w:before="0" w:after="120"/>
      <w:ind w:hanging="0" w:start="1800" w:end="0"/>
    </w:pPr>
    <w:rPr/>
  </w:style>
  <w:style w:type="paragraph" w:styleId="Style16">
    <w:name w:val="Нумерованный список"/>
    <w:basedOn w:val="Normal"/>
    <w:qFormat/>
    <w:pPr>
      <w:numPr>
        <w:ilvl w:val="0"/>
        <w:numId w:val="10"/>
      </w:numPr>
    </w:pPr>
    <w:rPr/>
  </w:style>
  <w:style w:type="paragraph" w:styleId="26">
    <w:name w:val="Нумерованный список 2"/>
    <w:basedOn w:val="Normal"/>
    <w:qFormat/>
    <w:pPr>
      <w:numPr>
        <w:ilvl w:val="0"/>
        <w:numId w:val="5"/>
      </w:numPr>
    </w:pPr>
    <w:rPr/>
  </w:style>
  <w:style w:type="paragraph" w:styleId="35">
    <w:name w:val="Нумерованный список 3"/>
    <w:basedOn w:val="Normal"/>
    <w:qFormat/>
    <w:pPr>
      <w:numPr>
        <w:ilvl w:val="0"/>
        <w:numId w:val="4"/>
      </w:numPr>
    </w:pPr>
    <w:rPr/>
  </w:style>
  <w:style w:type="paragraph" w:styleId="44">
    <w:name w:val="Нумерованный список 4"/>
    <w:basedOn w:val="Normal"/>
    <w:qFormat/>
    <w:pPr>
      <w:numPr>
        <w:ilvl w:val="0"/>
        <w:numId w:val="3"/>
      </w:numPr>
    </w:pPr>
    <w:rPr/>
  </w:style>
  <w:style w:type="paragraph" w:styleId="54">
    <w:name w:val="Нумерованный список 5"/>
    <w:basedOn w:val="Normal"/>
    <w:qFormat/>
    <w:pPr>
      <w:numPr>
        <w:ilvl w:val="0"/>
        <w:numId w:val="2"/>
      </w:numPr>
    </w:pPr>
    <w:rPr/>
  </w:style>
  <w:style w:type="paragraph" w:styleId="Style17">
    <w:name w:val="Текст макроса"/>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GB" w:bidi="ar-SA" w:eastAsia="zh-CN"/>
    </w:rPr>
  </w:style>
  <w:style w:type="paragraph" w:styleId="Style18">
    <w:name w:val="Шапка"/>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Style19">
    <w:name w:val="Обычный (веб)"/>
    <w:basedOn w:val="Normal"/>
    <w:qFormat/>
    <w:pPr/>
    <w:rPr>
      <w:rFonts w:ascii="Times New Roman" w:hAnsi="Times New Roman" w:cs="Times New Roman"/>
      <w:sz w:val="24"/>
      <w:szCs w:val="24"/>
    </w:rPr>
  </w:style>
  <w:style w:type="paragraph" w:styleId="Style20">
    <w:name w:val="Обычный отступ"/>
    <w:basedOn w:val="Normal"/>
    <w:qFormat/>
    <w:pPr>
      <w:ind w:hanging="0" w:start="720" w:end="0"/>
    </w:pPr>
    <w:rPr/>
  </w:style>
  <w:style w:type="paragraph" w:styleId="Style21">
    <w:name w:val="Заголовок записки"/>
    <w:basedOn w:val="Normal"/>
    <w:next w:val="Normal"/>
    <w:qFormat/>
    <w:pPr/>
    <w:rPr/>
  </w:style>
  <w:style w:type="paragraph" w:styleId="Style22">
    <w:name w:val="Текст"/>
    <w:basedOn w:val="Normal"/>
    <w:qFormat/>
    <w:pPr/>
    <w:rPr>
      <w:rFonts w:ascii="Courier New" w:hAnsi="Courier New" w:cs="Courier New"/>
      <w:sz w:val="20"/>
    </w:rPr>
  </w:style>
  <w:style w:type="paragraph" w:styleId="Style23">
    <w:name w:val="Приветствие"/>
    <w:basedOn w:val="Normal"/>
    <w:next w:val="Normal"/>
    <w:qFormat/>
    <w:pPr/>
    <w:rPr/>
  </w:style>
  <w:style w:type="paragraph" w:styleId="Signature">
    <w:name w:val="Signature"/>
    <w:basedOn w:val="Normal"/>
    <w:pPr>
      <w:ind w:hanging="0" w:start="4320" w:end="0"/>
    </w:pPr>
    <w:rPr/>
  </w:style>
  <w:style w:type="paragraph" w:styleId="Subtitle">
    <w:name w:val="Subtitle"/>
    <w:basedOn w:val="Normal"/>
    <w:next w:val="BodyText"/>
    <w:qFormat/>
    <w:pPr>
      <w:spacing w:before="0" w:after="60"/>
      <w:jc w:val="center"/>
      <w:outlineLvl w:val="1"/>
    </w:pPr>
    <w:rPr>
      <w:rFonts w:ascii="Arial" w:hAnsi="Arial" w:cs="Arial"/>
      <w:sz w:val="24"/>
      <w:szCs w:val="24"/>
    </w:rPr>
  </w:style>
  <w:style w:type="paragraph" w:styleId="Style24">
    <w:name w:val="Таблица ссылок"/>
    <w:basedOn w:val="Normal"/>
    <w:next w:val="Normal"/>
    <w:qFormat/>
    <w:pPr>
      <w:ind w:hanging="220" w:start="220" w:end="0"/>
    </w:pPr>
    <w:rPr/>
  </w:style>
  <w:style w:type="paragraph" w:styleId="Style25">
    <w:name w:val="Перечень рисунков"/>
    <w:basedOn w:val="Normal"/>
    <w:next w:val="Normal"/>
    <w:qFormat/>
    <w:pPr>
      <w:ind w:hanging="440" w:start="440" w:end="0"/>
    </w:pPr>
    <w:rPr/>
  </w:style>
  <w:style w:type="paragraph" w:styleId="Style26">
    <w:name w:val="Заголовок таблицы ссылок"/>
    <w:basedOn w:val="Normal"/>
    <w:next w:val="Normal"/>
    <w:qFormat/>
    <w:pPr>
      <w:spacing w:before="120" w:after="0"/>
    </w:pPr>
    <w:rPr>
      <w:rFonts w:ascii="Arial" w:hAnsi="Arial" w:cs="Arial"/>
      <w:b/>
      <w:bCs/>
      <w:sz w:val="24"/>
      <w:szCs w:val="24"/>
    </w:rPr>
  </w:style>
  <w:style w:type="paragraph" w:styleId="TOC1">
    <w:name w:val="toc 1"/>
    <w:basedOn w:val="Normal"/>
    <w:next w:val="Normal"/>
    <w:pPr/>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Style27">
    <w:name w:val="Текст выноски"/>
    <w:basedOn w:val="Normal"/>
    <w:qFormat/>
    <w:pPr/>
    <w:rPr>
      <w:rFonts w:ascii="Tahoma" w:hAnsi="Tahoma" w:cs="Tahoma"/>
      <w:sz w:val="16"/>
      <w:szCs w:val="16"/>
    </w:rPr>
  </w:style>
  <w:style w:type="paragraph" w:styleId="ListParagraph">
    <w:name w:val="List Paragraph"/>
    <w:basedOn w:val="Normal"/>
    <w:qFormat/>
    <w:pPr>
      <w:ind w:hanging="0" w:start="720" w:end="0"/>
    </w:pPr>
    <w:rPr>
      <w:rFonts w:ascii="Times New Roman" w:hAnsi="Times New Roman" w:cs="Times New Roman"/>
      <w:sz w:val="20"/>
      <w:lang w:val="en-C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hyperlink" Target="mailto:mail@icsg.or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2010-11-15T09:42:00Z</dcterms:created>
  <dc:creator>Thomas Baack</dc:creator>
  <dc:description/>
  <cp:keywords/>
  <dc:language>ru-RU</dc:language>
  <cp:lastModifiedBy>Федоров Д.Т.</cp:lastModifiedBy>
  <cp:lastPrinted>2010-09-07T11:00:00Z</cp:lastPrinted>
  <dcterms:modified xsi:type="dcterms:W3CDTF">2010-11-15T09:42:00Z</dcterms:modified>
  <cp:revision>2</cp:revision>
  <dc:subject/>
  <dc:title> January  '98                                                         Date issued:  January 9, 1998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1562911986</vt:r8>
  </property>
</Properties>
</file>