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2.wmf" ContentType="image/x-wmf"/>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000000" w:val="clear"/>
        <w:tabs>
          <w:tab w:val="clear" w:pos="720"/>
          <w:tab w:val="left" w:pos="0" w:leader="none"/>
          <w:tab w:val="right" w:pos="10206" w:leader="none"/>
        </w:tabs>
        <w:ind w:end="-450"/>
        <w:rPr>
          <w:b/>
          <w:color w:val="FFFFFF"/>
          <w:sz w:val="32"/>
        </w:rPr>
      </w:pPr>
      <w:r>
        <w:rPr>
          <w:b/>
          <w:color w:val="FFFFFF"/>
          <w:sz w:val="28"/>
          <w:shd w:fill="000000" w:val="clear"/>
        </w:rPr>
        <w:t>Press Release</w:t>
        <w:tab/>
      </w:r>
      <w:r>
        <w:rPr>
          <w:b/>
          <w:color w:val="FFFFFF"/>
          <w:sz w:val="32"/>
          <w:shd w:fill="000000" w:val="clear"/>
        </w:rPr>
        <w:t xml:space="preserve">                                     </w:t>
      </w:r>
      <w:r>
        <w:rPr>
          <w:b/>
          <w:color w:val="FFFFFF"/>
          <w:sz w:val="24"/>
          <w:shd w:fill="000000" w:val="clear"/>
        </w:rPr>
        <w:t>Date issued: 21</w:t>
      </w:r>
      <w:r>
        <w:rPr>
          <w:b/>
          <w:color w:val="FFFFFF"/>
          <w:sz w:val="24"/>
          <w:shd w:fill="000000" w:val="clear"/>
          <w:vertAlign w:val="superscript"/>
        </w:rPr>
        <w:t>st</w:t>
      </w:r>
      <w:r>
        <w:rPr>
          <w:b/>
          <w:color w:val="FFFFFF"/>
          <w:sz w:val="24"/>
          <w:shd w:fill="000000" w:val="clear"/>
        </w:rPr>
        <w:t xml:space="preserve"> April 2009</w:t>
      </w:r>
      <w:r>
        <mc:AlternateContent>
          <mc:Choice Requires="wps">
            <w:drawing>
              <wp:anchor distT="0" distB="0" distL="114935" distR="114935" simplePos="0" relativeHeight="4" behindDoc="1" locked="0" layoutInCell="1" allowOverlap="1">
                <wp:simplePos x="0" y="0"/>
                <wp:positionH relativeFrom="column">
                  <wp:posOffset>1035050</wp:posOffset>
                </wp:positionH>
                <wp:positionV relativeFrom="paragraph">
                  <wp:posOffset>174625</wp:posOffset>
                </wp:positionV>
                <wp:extent cx="4883150" cy="430530"/>
                <wp:effectExtent l="0" t="0" r="0" b="0"/>
                <wp:wrapNone/>
                <wp:docPr id="1" name="Frame1"/>
                <a:graphic xmlns:a="http://schemas.openxmlformats.org/drawingml/2006/main">
                  <a:graphicData uri="http://schemas.microsoft.com/office/word/2010/wordprocessingShape">
                    <wps:wsp>
                      <wps:cNvSpPr txBox="1"/>
                      <wps:spPr>
                        <a:xfrm>
                          <a:off x="0" y="0"/>
                          <a:ext cx="4883150" cy="430530"/>
                        </a:xfrm>
                        <a:prstGeom prst="rect"/>
                        <a:solidFill>
                          <a:srgbClr val="FFFFFF">
                            <a:alpha val="0"/>
                          </a:srgbClr>
                        </a:solidFill>
                      </wps:spPr>
                      <wps:txbx>
                        <w:txbxContent>
                          <w:p>
                            <w:pPr>
                              <w:pStyle w:val="Heading4"/>
                              <w:ind w:hanging="0" w:start="0"/>
                              <w:rPr>
                                <w:rFonts w:ascii="Franklin Gothic Demi" w:hAnsi="Franklin Gothic Demi" w:cs="Franklin Gothic Demi"/>
                                <w:sz w:val="40"/>
                                <w:szCs w:val="40"/>
                              </w:rPr>
                            </w:pPr>
                            <w:r>
                              <w:rPr>
                                <w:rFonts w:cs="Franklin Gothic Demi" w:ascii="Franklin Gothic Demi" w:hAnsi="Franklin Gothic Demi"/>
                                <w:sz w:val="40"/>
                                <w:szCs w:val="40"/>
                              </w:rPr>
                              <w:t>International Copper Study Group</w:t>
                            </w:r>
                          </w:p>
                        </w:txbxContent>
                      </wps:txbx>
                      <wps:bodyPr anchor="t" lIns="13335" tIns="13335" rIns="13335" bIns="13335">
                        <a:noAutofit/>
                      </wps:bodyPr>
                    </wps:wsp>
                  </a:graphicData>
                </a:graphic>
              </wp:anchor>
            </w:drawing>
          </mc:Choice>
          <mc:Fallback>
            <w:pict>
              <v:rect fillcolor="#FFFFFF" style="position:absolute;rotation:-0;width:384.5pt;height:33.9pt;mso-wrap-distance-left:9.05pt;mso-wrap-distance-right:9.05pt;mso-wrap-distance-top:0pt;mso-wrap-distance-bottom:0pt;margin-top:13.75pt;mso-position-vertical-relative:text;margin-left:81.5pt;mso-position-horizontal-relative:text">
                <v:fill opacity="0f"/>
                <v:textbox inset="0.0145833333333333in,0.0145833333333333in,0.0145833333333333in,0.0145833333333333in">
                  <w:txbxContent>
                    <w:p>
                      <w:pPr>
                        <w:pStyle w:val="Heading4"/>
                        <w:ind w:hanging="0" w:start="0"/>
                        <w:rPr>
                          <w:rFonts w:ascii="Franklin Gothic Demi" w:hAnsi="Franklin Gothic Demi" w:cs="Franklin Gothic Demi"/>
                          <w:sz w:val="40"/>
                          <w:szCs w:val="40"/>
                        </w:rPr>
                      </w:pPr>
                      <w:r>
                        <w:rPr>
                          <w:rFonts w:cs="Franklin Gothic Demi" w:ascii="Franklin Gothic Demi" w:hAnsi="Franklin Gothic Demi"/>
                          <w:sz w:val="40"/>
                          <w:szCs w:val="40"/>
                        </w:rPr>
                        <w:t>International Copper Study Group</w:t>
                      </w:r>
                    </w:p>
                  </w:txbxContent>
                </v:textbox>
                <w10:wrap type="none"/>
              </v:rect>
            </w:pict>
          </mc:Fallback>
        </mc:AlternateContent>
      </w:r>
    </w:p>
    <w:p>
      <w:pPr>
        <w:pStyle w:val="Normal"/>
        <w:rPr>
          <w:rFonts w:ascii="Britannic Bold" w:hAnsi="Britannic Bold" w:cs="Britannic Bold"/>
          <w:sz w:val="16"/>
          <w:szCs w:val="16"/>
        </w:rPr>
      </w:pPr>
      <w:r>
        <w:rPr>
          <w:rFonts w:cs="Britannic Bold" w:ascii="Britannic Bold" w:hAnsi="Britannic Bold"/>
          <w:sz w:val="24"/>
        </w:rPr>
        <w:drawing>
          <wp:inline distT="0" distB="0" distL="0" distR="0">
            <wp:extent cx="613410" cy="764540"/>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2"/>
                    <a:srcRect l="-24" t="-19" r="-24" b="-19"/>
                    <a:stretch>
                      <a:fillRect/>
                    </a:stretch>
                  </pic:blipFill>
                  <pic:spPr bwMode="auto">
                    <a:xfrm>
                      <a:off x="0" y="0"/>
                      <a:ext cx="613410" cy="764540"/>
                    </a:xfrm>
                    <a:prstGeom prst="rect">
                      <a:avLst/>
                    </a:prstGeom>
                    <a:noFill/>
                  </pic:spPr>
                </pic:pic>
              </a:graphicData>
            </a:graphic>
          </wp:inline>
        </w:drawing>
      </w:r>
    </w:p>
    <w:p>
      <w:pPr>
        <w:pStyle w:val="Normal"/>
        <w:tabs>
          <w:tab w:val="clear" w:pos="720"/>
          <w:tab w:val="right" w:pos="9781" w:leader="none"/>
        </w:tabs>
        <w:rPr>
          <w:rFonts w:ascii="Britannic Bold" w:hAnsi="Britannic Bold" w:cs="Britannic Bold"/>
          <w:sz w:val="24"/>
          <w:szCs w:val="16"/>
        </w:rPr>
      </w:pPr>
      <w:r>
        <w:rPr>
          <w:rFonts w:cs="Britannic Bold" w:ascii="Britannic Bold" w:hAnsi="Britannic Bold"/>
          <w:sz w:val="24"/>
          <w:szCs w:val="16"/>
        </w:rPr>
      </w:r>
    </w:p>
    <w:p>
      <w:pPr>
        <w:pStyle w:val="BodyText"/>
        <w:ind w:end="-450"/>
        <w:rPr>
          <w:rFonts w:ascii="Franklin Gothic Demi" w:hAnsi="Franklin Gothic Demi" w:cs="Franklin Gothic Demi"/>
        </w:rPr>
      </w:pPr>
      <w:r>
        <w:rPr>
          <w:rFonts w:cs="Franklin Gothic Demi" w:ascii="Franklin Gothic Demi" w:hAnsi="Franklin Gothic Demi"/>
        </w:rPr>
        <w:t xml:space="preserve">                                        </w:t>
      </w:r>
      <w:r>
        <w:rPr>
          <w:rFonts w:cs="Franklin Gothic Demi" w:ascii="Franklin Gothic Demi" w:hAnsi="Franklin Gothic Demi"/>
        </w:rPr>
        <w:t>Forecast 2009-2010</w:t>
      </w:r>
    </w:p>
    <w:p>
      <w:pPr>
        <w:pStyle w:val="Normal"/>
        <w:spacing w:before="60" w:after="60"/>
        <w:ind w:end="-450"/>
        <w:jc w:val="both"/>
        <w:rPr/>
      </w:pPr>
      <w:r>
        <w:rPr>
          <w:rFonts w:cs="Arial" w:ascii="Arial" w:hAnsi="Arial"/>
        </w:rPr>
        <w:t>The International Copper Study Group (ICSG) held the 33</w:t>
      </w:r>
      <w:r>
        <w:rPr>
          <w:rFonts w:cs="Arial" w:ascii="Arial" w:hAnsi="Arial"/>
          <w:vertAlign w:val="superscript"/>
        </w:rPr>
        <w:t>rd</w:t>
      </w:r>
      <w:r>
        <w:rPr>
          <w:rFonts w:cs="Arial" w:ascii="Arial" w:hAnsi="Arial"/>
        </w:rPr>
        <w:t xml:space="preserve"> Regular Meeting of its Statistical Committee on the 21</w:t>
      </w:r>
      <w:r>
        <w:rPr>
          <w:rFonts w:cs="Arial" w:ascii="Arial" w:hAnsi="Arial"/>
          <w:vertAlign w:val="superscript"/>
        </w:rPr>
        <w:t>st</w:t>
      </w:r>
      <w:r>
        <w:rPr>
          <w:rFonts w:cs="Arial" w:ascii="Arial" w:hAnsi="Arial"/>
        </w:rPr>
        <w:t xml:space="preserve"> April 2009 in Lisbon, Portugal.  Government delegates and industry advisors from most of the world’s leading copper producing and using countries met to discuss key issues affecting the global copper market.  In its meeting of the Statistical Committee, the ICSG view of the world balance of refined copper production and use was developed.</w:t>
      </w:r>
    </w:p>
    <w:p>
      <w:pPr>
        <w:pStyle w:val="3"/>
        <w:spacing w:before="60" w:after="60"/>
        <w:ind w:end="-450"/>
        <w:rPr>
          <w:rFonts w:ascii="Arial" w:hAnsi="Arial" w:cs="Arial"/>
          <w:sz w:val="20"/>
        </w:rPr>
      </w:pPr>
      <w:r>
        <w:rPr>
          <w:rFonts w:cs="Arial" w:ascii="Arial" w:hAnsi="Arial"/>
          <w:sz w:val="20"/>
        </w:rPr>
        <w:t>According to ICSG data, the refined copper market balance for 2008 showed a surplus of about 250,000 metric tonnes (t). Projections for 2009 and 2010 indicate that a surplus of at least 345,000 t and 400,000 t, respectively, are expected to develop. Note that in calculating global usage, China’s copper usage is based on its apparent consumption using reported data (production + net trade +/- SHFE stock changes) and does not take into account changes in unreported stocks [State Reserve Bureau (SRB), producer, consumer, and merchant], which may be significant during periods of stocking or de-stocking.</w:t>
      </w:r>
    </w:p>
    <w:p>
      <w:pPr>
        <w:pStyle w:val="3"/>
        <w:spacing w:before="60" w:after="60"/>
        <w:ind w:end="-450"/>
        <w:rPr>
          <w:rFonts w:ascii="Arial" w:hAnsi="Arial" w:cs="Arial"/>
          <w:sz w:val="20"/>
        </w:rPr>
      </w:pPr>
      <w:r>
        <w:rPr>
          <w:rFonts w:cs="Arial" w:ascii="Arial" w:hAnsi="Arial"/>
          <w:sz w:val="20"/>
        </w:rPr>
        <w:t>ICSG recognizes that the current global economic crisis has created a large degree of uncertainty in the global market, and its impacts on both the supply and demand for refined copper are not fully known.  Therefore, we are cautionary that future market developments could significantly alter forward-looking market balances.</w:t>
      </w:r>
    </w:p>
    <w:p>
      <w:pPr>
        <w:pStyle w:val="3"/>
        <w:spacing w:before="60" w:after="60"/>
        <w:ind w:end="-450"/>
        <w:rPr>
          <w:rFonts w:ascii="Arial" w:hAnsi="Arial" w:cs="Arial"/>
          <w:sz w:val="20"/>
        </w:rPr>
      </w:pPr>
      <w:r>
        <w:rPr>
          <w:rFonts w:cs="Arial" w:ascii="Arial" w:hAnsi="Arial"/>
          <w:sz w:val="20"/>
        </w:rPr>
        <w:t>ICSG projections of copper production have been revised downwards substantially since the October 2008 forecast owing to announced cutbacks and closures at operating mines and refineries and delays or cancellations in project developments.  World copper mine production in 2009 is now expected to rise by 3.8% (590,000 t) compared with that in 2008, to 16 million tonnes (Mt), down significantly from the anticipated 11% growth projected in October.  Capacity utilization is expected to decline to about 81%, the lowest level since 1989.  Preliminary indications are that mine production in 2010 will increase to 17.2 Mt (7.5%) owing to new developments and a reduction in operational constraints.  World production of refined copper (adjusted for both feed shortages and production disruptions) is projected to decrease to 17.6 Mt in 2009, a decline of about 700,000 t (3.7%) from that in 2008. A significant portion of the decline, 200,000 t, is attributed to reduced secondary production stemming from a global shortage of copper scrap.  Capacity utilization is expected to improve in 2010 and refined production is projected to increase by 6.7% to 18.8 Mt, an increase of about 1.2 Mt compared with that of 2009.  Electrolytic refinery production increases in Asia, and SX-EW production growth in Africa and South America, are expected to account for most of the growth. A shortage of concentrates in 2009 and 2010 is expected to restrain the growth of refined production.</w:t>
      </w:r>
    </w:p>
    <w:p>
      <w:pPr>
        <w:pStyle w:val="3"/>
        <w:spacing w:before="60" w:after="60"/>
        <w:ind w:end="-450"/>
        <w:rPr>
          <w:rFonts w:ascii="Arial" w:hAnsi="Arial" w:cs="Arial"/>
          <w:sz w:val="20"/>
        </w:rPr>
      </w:pPr>
      <w:r>
        <w:rPr>
          <w:rFonts w:cs="Arial" w:ascii="Arial" w:hAnsi="Arial"/>
          <w:sz w:val="20"/>
        </w:rPr>
        <w:t>The current global economic crisis has significantly reduced world refined copper usage.  ICSG expects world refined usage to decline by a minimum of 4.3% in 2009, mostly owing to an average decline of 14% in three major markets - the United States, the European Union, and Japan.  Growth in China of about 3% is expected to be lower than that in previous years  Based on prospects for a recovery in the world economy, and anticipated expansion of the semis industry in China and the Gulf region, indications are that usage in 2010 could improve by 6.4% - an increase of only 1.8% above 2008 levels.</w:t>
      </w:r>
    </w:p>
    <w:p>
      <w:pPr>
        <w:pStyle w:val="3"/>
        <w:spacing w:before="60" w:after="60"/>
        <w:ind w:end="-450"/>
        <w:rPr>
          <w:rFonts w:ascii="Arial" w:hAnsi="Arial" w:cs="Arial"/>
          <w:i/>
          <w:sz w:val="20"/>
        </w:rPr>
      </w:pPr>
      <w:r>
        <w:rPr>
          <w:rFonts w:cs="Arial" w:ascii="Arial" w:hAnsi="Arial"/>
          <w:i/>
          <w:sz w:val="20"/>
        </w:rPr>
      </w:r>
    </w:p>
    <w:p>
      <w:pPr>
        <w:pStyle w:val="3"/>
        <w:spacing w:before="60" w:after="60"/>
        <w:ind w:end="-450"/>
        <w:jc w:val="center"/>
        <w:rPr>
          <w:rFonts w:ascii="Arial" w:hAnsi="Arial" w:cs="Arial"/>
          <w:sz w:val="20"/>
        </w:rPr>
      </w:pPr>
      <w:r>
        <w:rPr/>
        <w:drawing>
          <wp:inline distT="0" distB="0" distL="0" distR="0">
            <wp:extent cx="6256655" cy="3591560"/>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3"/>
                    <a:srcRect l="-4" t="-7" r="-4" b="-7"/>
                    <a:stretch>
                      <a:fillRect/>
                    </a:stretch>
                  </pic:blipFill>
                  <pic:spPr bwMode="auto">
                    <a:xfrm>
                      <a:off x="0" y="0"/>
                      <a:ext cx="6256655" cy="3591560"/>
                    </a:xfrm>
                    <a:prstGeom prst="rect">
                      <a:avLst/>
                    </a:prstGeom>
                    <a:noFill/>
                  </pic:spPr>
                </pic:pic>
              </a:graphicData>
            </a:graphic>
          </wp:inline>
        </w:drawing>
      </w:r>
    </w:p>
    <w:p>
      <w:pPr>
        <w:pStyle w:val="Normal"/>
        <w:ind w:end="-450"/>
        <w:rPr/>
      </w:pPr>
      <w:r>
        <w:rPr>
          <w:rFonts w:cs="Arial" w:ascii="Arial" w:hAnsi="Arial"/>
          <w:sz w:val="14"/>
          <w:szCs w:val="14"/>
        </w:rPr>
        <w:t>1/ Based on a formula for the difference between the projected copper availability in concentrates and the projected use in primary refined production;   2/ Based on supply deviations over the previous 3 years.</w:t>
      </w:r>
    </w:p>
    <w:sectPr>
      <w:type w:val="nextPage"/>
      <w:pgSz w:w="11906" w:h="16838"/>
      <w:pgMar w:left="1021" w:right="1021" w:gutter="0" w:header="0" w:top="397" w:footer="0" w:bottom="28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Liberation Sans">
    <w:altName w:val="Arial"/>
    <w:charset w:val="01" w:characterSet="utf-8"/>
    <w:family w:val="swiss"/>
    <w:pitch w:val="variable"/>
  </w:font>
  <w:font w:name="Tahoma">
    <w:charset w:val="cc" w:characterSet="windows-1251"/>
    <w:family w:val="swiss"/>
    <w:pitch w:val="variable"/>
  </w:font>
  <w:font w:name="Arial Narrow">
    <w:charset w:val="cc" w:characterSet="windows-1251"/>
    <w:family w:val="swiss"/>
    <w:pitch w:val="variable"/>
  </w:font>
  <w:font w:name="Franklin Gothic Demi">
    <w:charset w:val="00" w:characterSet="windows-1252"/>
    <w:family w:val="swiss"/>
    <w:pitch w:val="variable"/>
  </w:font>
  <w:font w:name="Britannic Bold">
    <w:charset w:val="00" w:characterSet="windows-1252"/>
    <w:family w:val="swiss"/>
    <w:pitch w:val="variable"/>
  </w:font>
  <w:font w:name="Arial">
    <w:charset w:val="cc" w:characterSet="windows-125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revisionView w:insDel="0" w:formatting="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Sans NF"/>
        <w:sz w:val="24"/>
        <w:szCs w:val="24"/>
        <w:lang w:val="ru-RU"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n-US" w:bidi="ar-SA" w:eastAsia="zh-CN"/>
    </w:rPr>
  </w:style>
  <w:style w:type="paragraph" w:styleId="Heading4">
    <w:name w:val="heading 4"/>
    <w:basedOn w:val="Normal"/>
    <w:next w:val="Normal"/>
    <w:qFormat/>
    <w:pPr>
      <w:keepNext w:val="true"/>
      <w:numPr>
        <w:ilvl w:val="3"/>
        <w:numId w:val="1"/>
      </w:numPr>
      <w:jc w:val="center"/>
      <w:outlineLvl w:val="3"/>
    </w:pPr>
    <w:rPr>
      <w:sz w:val="56"/>
      <w:vertAlign w:val="superscript"/>
      <w:lang w:val="en-GB"/>
    </w:rPr>
  </w:style>
  <w:style w:type="character" w:styleId="Style13">
    <w:name w:val="Основной шрифт абзаца"/>
    <w:qFormat/>
    <w:rPr/>
  </w:style>
  <w:style w:type="paragraph" w:styleId="Heading">
    <w:name w:val="Heading"/>
    <w:basedOn w:val="Normal"/>
    <w:next w:val="BodyText"/>
    <w:qFormat/>
    <w:pPr>
      <w:keepNext w:val="true"/>
      <w:spacing w:before="240" w:after="120"/>
    </w:pPr>
    <w:rPr>
      <w:rFonts w:ascii="Liberation Sans" w:hAnsi="Liberation Sans" w:eastAsia="Noto Sans CJK SC" w:cs="NotoSans NF"/>
      <w:sz w:val="28"/>
      <w:szCs w:val="28"/>
    </w:rPr>
  </w:style>
  <w:style w:type="paragraph" w:styleId="BodyText">
    <w:name w:val="Body Text"/>
    <w:basedOn w:val="Normal"/>
    <w:pPr/>
    <w:rPr>
      <w:sz w:val="28"/>
    </w:rPr>
  </w:style>
  <w:style w:type="paragraph" w:styleId="List">
    <w:name w:val="List"/>
    <w:basedOn w:val="BodyText"/>
    <w:pPr/>
    <w:rPr>
      <w:rFonts w:cs="NotoSans NF"/>
    </w:rPr>
  </w:style>
  <w:style w:type="paragraph" w:styleId="Caption">
    <w:name w:val="caption"/>
    <w:basedOn w:val="Normal"/>
    <w:qFormat/>
    <w:pPr>
      <w:suppressLineNumbers/>
      <w:spacing w:before="120" w:after="120"/>
    </w:pPr>
    <w:rPr>
      <w:rFonts w:cs="NotoSans NF"/>
      <w:i/>
      <w:iCs/>
      <w:sz w:val="24"/>
      <w:szCs w:val="24"/>
    </w:rPr>
  </w:style>
  <w:style w:type="paragraph" w:styleId="Index">
    <w:name w:val="Index"/>
    <w:basedOn w:val="Normal"/>
    <w:qFormat/>
    <w:pPr>
      <w:suppressLineNumbers/>
    </w:pPr>
    <w:rPr>
      <w:rFonts w:cs="NotoSans NF"/>
    </w:rPr>
  </w:style>
  <w:style w:type="paragraph" w:styleId="BodyTextIndent">
    <w:name w:val="Body Text Indent"/>
    <w:basedOn w:val="Normal"/>
    <w:pPr>
      <w:ind w:firstLine="720" w:start="0" w:end="0"/>
    </w:pPr>
    <w:rPr>
      <w:sz w:val="28"/>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Style14">
    <w:name w:val="Схема документа"/>
    <w:basedOn w:val="Normal"/>
    <w:qFormat/>
    <w:pPr>
      <w:shd w:fill="000080" w:val="clear"/>
    </w:pPr>
    <w:rPr>
      <w:rFonts w:ascii="Tahoma" w:hAnsi="Tahoma" w:cs="Tahoma"/>
    </w:rPr>
  </w:style>
  <w:style w:type="paragraph" w:styleId="2">
    <w:name w:val="Основной текст 2"/>
    <w:basedOn w:val="Normal"/>
    <w:qFormat/>
    <w:pPr>
      <w:jc w:val="both"/>
    </w:pPr>
    <w:rPr>
      <w:rFonts w:ascii="Arial Narrow" w:hAnsi="Arial Narrow" w:cs="Arial Narrow"/>
      <w:sz w:val="28"/>
    </w:rPr>
  </w:style>
  <w:style w:type="paragraph" w:styleId="3">
    <w:name w:val="Основной текст 3"/>
    <w:basedOn w:val="Normal"/>
    <w:qFormat/>
    <w:pPr>
      <w:jc w:val="both"/>
    </w:pPr>
    <w:rPr>
      <w:rFonts w:ascii="Tahoma" w:hAnsi="Tahoma" w:cs="Tahoma"/>
      <w:sz w:val="22"/>
    </w:rPr>
  </w:style>
  <w:style w:type="paragraph" w:styleId="Style15">
    <w:name w:val="Текст выноски"/>
    <w:basedOn w:val="Normal"/>
    <w:qFormat/>
    <w:pPr/>
    <w:rPr>
      <w:rFonts w:ascii="Tahoma" w:hAnsi="Tahoma" w:cs="Tahoma"/>
      <w:sz w:val="16"/>
      <w:szCs w:val="16"/>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wmf"/><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2</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2009-04-22T08:27:00Z</dcterms:created>
  <dc:creator>A satisfied Microsoft Office User</dc:creator>
  <dc:description/>
  <cp:keywords/>
  <dc:language>ru-RU</dc:language>
  <cp:lastModifiedBy>FedorovDT</cp:lastModifiedBy>
  <cp:lastPrinted>2009-04-22T09:26:00Z</cp:lastPrinted>
  <dcterms:modified xsi:type="dcterms:W3CDTF">2009-04-22T08:27:00Z</dcterms:modified>
  <cp:revision>2</cp:revision>
  <dc:subject/>
  <dc:title>The International Copper Study Group held its 8th Annual meetings In Lisbon Portugal on the 13-15 of June 2000</dc:title>
</cp:coreProperties>
</file>