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media/image2.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40" w:end="-649"/>
        <w:rPr>
          <w:rFonts w:ascii="Arial" w:hAnsi="Arial" w:cs="Arial"/>
          <w:b/>
          <w:color w:val="FFFFFF"/>
          <w:sz w:val="28"/>
          <w:szCs w:val="28"/>
        </w:rPr>
      </w:pPr>
      <w:r>
        <w:rPr>
          <w:b/>
          <w:color w:val="FFFFFF"/>
          <w:sz w:val="28"/>
          <w:szCs w:val="28"/>
          <w:highlight w:val="black"/>
        </w:rPr>
        <w:t>ICSG PRESS RELEASE                                          Date Issued: 20</w:t>
      </w:r>
      <w:r>
        <w:rPr>
          <w:b/>
          <w:color w:val="FFFFFF"/>
          <w:sz w:val="28"/>
          <w:szCs w:val="28"/>
          <w:highlight w:val="black"/>
          <w:vertAlign w:val="superscript"/>
        </w:rPr>
        <w:t>th</w:t>
      </w:r>
      <w:r>
        <w:rPr>
          <w:b/>
          <w:color w:val="FFFFFF"/>
          <w:sz w:val="28"/>
          <w:szCs w:val="28"/>
          <w:highlight w:val="black"/>
        </w:rPr>
        <w:t xml:space="preserve"> February </w:t>
      </w:r>
      <w:r>
        <w:rPr>
          <w:rFonts w:cs="Arial" w:ascii="Arial" w:hAnsi="Arial"/>
          <w:b/>
          <w:color w:val="FFFFFF"/>
          <w:sz w:val="28"/>
          <w:szCs w:val="28"/>
          <w:highlight w:val="black"/>
        </w:rPr>
        <w:t>2009</w:t>
      </w:r>
    </w:p>
    <w:p>
      <w:pPr>
        <w:pStyle w:val="BodyText"/>
        <w:numPr>
          <w:ilvl w:val="0"/>
          <w:numId w:val="0"/>
        </w:numPr>
        <w:spacing w:before="0" w:after="0"/>
        <w:ind w:start="-540" w:end="-649"/>
        <w:jc w:val="center"/>
        <w:outlineLvl w:val="0"/>
        <w:rPr>
          <w:rFonts w:ascii="Arial" w:hAnsi="Arial" w:cs="Arial"/>
          <w:b/>
          <w:color w:val="FFFFFF"/>
          <w:sz w:val="24"/>
          <w:szCs w:val="24"/>
        </w:rPr>
      </w:pPr>
      <w:r>
        <w:rPr>
          <w:rFonts w:cs="Arial"/>
          <w:b/>
          <w:color w:val="FFFFFF"/>
          <w:sz w:val="24"/>
          <w:szCs w:val="24"/>
        </w:rPr>
      </w:r>
    </w:p>
    <w:p>
      <w:pPr>
        <w:pStyle w:val="BodyText"/>
        <w:numPr>
          <w:ilvl w:val="0"/>
          <w:numId w:val="0"/>
        </w:numPr>
        <w:spacing w:before="0" w:after="0"/>
        <w:ind w:start="-540" w:end="-649"/>
        <w:jc w:val="center"/>
        <w:outlineLvl w:val="0"/>
        <w:rPr>
          <w:b/>
          <w:sz w:val="24"/>
          <w:szCs w:val="24"/>
        </w:rPr>
      </w:pPr>
      <w:r>
        <w:drawing>
          <wp:anchor distT="0" distB="0" distL="114935" distR="114935" simplePos="0" relativeHeight="3" behindDoc="0" locked="0" layoutInCell="0" allowOverlap="1">
            <wp:simplePos x="0" y="0"/>
            <wp:positionH relativeFrom="page">
              <wp:posOffset>364490</wp:posOffset>
            </wp:positionH>
            <wp:positionV relativeFrom="paragraph">
              <wp:posOffset>24130</wp:posOffset>
            </wp:positionV>
            <wp:extent cx="809625" cy="100965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4" t="-19" r="-24" b="-19"/>
                    <a:stretch>
                      <a:fillRect/>
                    </a:stretch>
                  </pic:blipFill>
                  <pic:spPr bwMode="auto">
                    <a:xfrm>
                      <a:off x="0" y="0"/>
                      <a:ext cx="809625" cy="1009650"/>
                    </a:xfrm>
                    <a:prstGeom prst="rect">
                      <a:avLst/>
                    </a:prstGeom>
                    <a:noFill/>
                  </pic:spPr>
                </pic:pic>
              </a:graphicData>
            </a:graphic>
          </wp:anchor>
        </w:drawing>
      </w:r>
      <w:r>
        <w:rPr>
          <w:b/>
          <w:sz w:val="24"/>
          <w:szCs w:val="24"/>
        </w:rPr>
        <w:t>Copper: Preliminary Data for November 2008</w:t>
      </w:r>
    </w:p>
    <w:p>
      <w:pPr>
        <w:pStyle w:val="BodyText"/>
        <w:numPr>
          <w:ilvl w:val="0"/>
          <w:numId w:val="0"/>
        </w:numPr>
        <w:spacing w:before="0" w:after="0"/>
        <w:ind w:start="-540" w:end="-649"/>
        <w:jc w:val="center"/>
        <w:outlineLvl w:val="0"/>
        <w:rPr>
          <w:b/>
          <w:sz w:val="8"/>
          <w:szCs w:val="8"/>
        </w:rPr>
      </w:pPr>
      <w:r>
        <w:rPr>
          <w:b/>
          <w:sz w:val="8"/>
          <w:szCs w:val="8"/>
        </w:rPr>
      </w:r>
    </w:p>
    <w:p>
      <w:pPr>
        <w:pStyle w:val="BodyText"/>
        <w:spacing w:before="0" w:after="0"/>
        <w:ind w:start="-540" w:end="-649"/>
        <w:jc w:val="both"/>
        <w:rPr/>
      </w:pPr>
      <w:r>
        <w:rPr>
          <w:sz w:val="18"/>
          <w:szCs w:val="18"/>
        </w:rPr>
        <w:t xml:space="preserve">The International Copper Study Group (ICSG) released preliminary data for November 2008 for world copper supply and demand in its February 2009 Copper Bulletin.  The Bulletin is available for sale upon request. </w:t>
      </w:r>
    </w:p>
    <w:p>
      <w:pPr>
        <w:pStyle w:val="BodyText"/>
        <w:spacing w:before="60" w:after="0"/>
        <w:ind w:start="-540" w:end="-649"/>
        <w:jc w:val="both"/>
        <w:rPr/>
      </w:pPr>
      <w:r>
        <w:rPr>
          <w:sz w:val="18"/>
        </w:rPr>
        <w:t xml:space="preserve">According to the preliminary ICSG data, the copper market for November showed a surplus of 47,000 metric tonnes (t).  When making seasonal adjustments for world refined production and usage, November showed a surplus of </w:t>
        <w:br/>
        <w:t xml:space="preserve">36,000 t.  The apparent refined copper balance for the first 11 months of 2008, including revisions to data previously presented, indicates a production surplus of 147,000 t (a seasonally adjusted surplus of 291,000 t). This compares with a production surplus of 143,000 t (a seasonally adjusted surplus of 281,000 t) for the same period in 2007.  </w:t>
      </w:r>
    </w:p>
    <w:p>
      <w:pPr>
        <w:pStyle w:val="BodyText"/>
        <w:spacing w:before="60" w:after="0"/>
        <w:ind w:start="-540" w:end="-649"/>
        <w:jc w:val="both"/>
        <w:rPr/>
      </w:pPr>
      <w:r>
        <w:rPr>
          <w:rFonts w:cs="Arial"/>
          <w:sz w:val="18"/>
          <w:szCs w:val="18"/>
        </w:rPr>
        <w:t xml:space="preserve">World refined copper usage in the first eleven months of 2008 increased by 2.6% (421,000 t) compared with usage in the same period of 2007.  Of the four leading copper markets, only China experienced strong growth for the first 11 months of the year (12.6%), with usage remaining depressed in the EU-15 countries, Japan, and the United States, where it decreased by 4.4%, 3.6%, and 7%, respectively.  These four markets represent around 65% of world total usage. World usage excluding these four markets grew by 4%. </w:t>
      </w:r>
      <w:r>
        <w:rPr>
          <w:rFonts w:cs="Arial"/>
          <w:i/>
          <w:sz w:val="18"/>
          <w:szCs w:val="18"/>
        </w:rPr>
        <w:t xml:space="preserve">Note that </w:t>
      </w:r>
      <w:r>
        <w:rPr>
          <w:rFonts w:cs="Arial"/>
          <w:i/>
          <w:iCs/>
          <w:sz w:val="18"/>
          <w:szCs w:val="18"/>
        </w:rPr>
        <w:t>China’s apparent copper usage is based only on reported data (production + net trade +/- SHFE stock changes+/-industry stock changes, if reported ) and does not take into account changes in unreported stocks [State Reserve Bureau (SRB), producer, consumer and merchant/trader], which may be significant</w:t>
      </w:r>
      <w:r>
        <w:rPr>
          <w:i/>
          <w:iCs/>
          <w:sz w:val="18"/>
          <w:szCs w:val="18"/>
        </w:rPr>
        <w:t xml:space="preserve"> during periods of stocking or de-stocking</w:t>
      </w:r>
      <w:r>
        <w:rPr>
          <w:sz w:val="18"/>
          <w:szCs w:val="18"/>
        </w:rPr>
        <w:t>.</w:t>
      </w:r>
    </w:p>
    <w:p>
      <w:pPr>
        <w:pStyle w:val="BodyText"/>
        <w:tabs>
          <w:tab w:val="clear" w:pos="720"/>
          <w:tab w:val="left" w:pos="7380" w:leader="none"/>
        </w:tabs>
        <w:spacing w:before="60" w:after="0"/>
        <w:ind w:start="-540" w:end="-649"/>
        <w:jc w:val="both"/>
        <w:rPr/>
      </w:pPr>
      <w:r>
        <w:rPr>
          <w:sz w:val="18"/>
          <w:szCs w:val="18"/>
        </w:rPr>
        <w:t>In the first eleven months of 2008, world mine production remained practically unchanged (+0.2%) as compared to the 2007 level for the same period; c</w:t>
      </w:r>
      <w:r>
        <w:rPr>
          <w:sz w:val="18"/>
        </w:rPr>
        <w:t xml:space="preserve">oncentrate production was down by 53,000 t (-0.5%) while solvent extraction-electrowinning (SX-EW) was up by 85,000 t (3%). Although year-on-year mine output increased in China, Congo, Peru and the United States, world mine production was mainly affected by lower output in major producing countries such as Chile (-3.6%), Indonesia (-20%) and Mexico (-29%) due to </w:t>
      </w:r>
      <w:r>
        <w:rPr>
          <w:sz w:val="18"/>
          <w:szCs w:val="18"/>
        </w:rPr>
        <w:t>lower ore grades, labour issues or operational problems.</w:t>
      </w:r>
      <w:r>
        <w:rPr>
          <w:sz w:val="18"/>
        </w:rPr>
        <w:t xml:space="preserve">  </w:t>
      </w:r>
      <w:r>
        <w:rPr>
          <w:sz w:val="18"/>
          <w:szCs w:val="18"/>
        </w:rPr>
        <w:t>On a year-on-year basis,</w:t>
      </w:r>
      <w:r>
        <w:rPr>
          <w:sz w:val="18"/>
        </w:rPr>
        <w:t xml:space="preserve"> mine production was up in Africa (13.5%) and Oceania (1.8%) but down in America (-1%), Asia (-0.1%) and Europe (-0.7%).  </w:t>
      </w:r>
      <w:r>
        <w:rPr>
          <w:sz w:val="18"/>
          <w:szCs w:val="18"/>
        </w:rPr>
        <w:t>As a result, the average g</w:t>
      </w:r>
      <w:r>
        <w:rPr>
          <w:sz w:val="18"/>
        </w:rPr>
        <w:t>lobal mine capacity utilization fell to about 83.4% in the first eleven months of 2008 from around 86% in the same period of 2007.</w:t>
      </w:r>
      <w:r>
        <w:rPr>
          <w:sz w:val="18"/>
          <w:szCs w:val="18"/>
        </w:rPr>
        <w:t xml:space="preserve">  </w:t>
      </w:r>
    </w:p>
    <w:p>
      <w:pPr>
        <w:pStyle w:val="BodyText"/>
        <w:spacing w:before="60" w:after="0"/>
        <w:ind w:start="-540" w:end="-649"/>
        <w:jc w:val="both"/>
        <w:rPr>
          <w:sz w:val="18"/>
          <w:szCs w:val="18"/>
        </w:rPr>
      </w:pPr>
      <w:r>
        <w:rPr>
          <w:sz w:val="18"/>
          <w:szCs w:val="18"/>
        </w:rPr>
        <w:t>World refined production in the first eleven months of 2008 increased by 2.6% (426,000 t) compared with production in the same period of 2007: primary production went up by 3% and secondary production (from scrap) decreased slightly (-0.2%). Production was down in several countries including India, Japan, South Korea and the United States, where output was affected by operational failures, adverse weather conditions or maintenance shutdowns. However, those decreases were more than offset by increases in other countries such Australia, Chile, China, Congo, Peru and Scandinavia countries. On a year-on-year basis, refined production was down in Africa (-2.7%) and North America (-1.9%) but up in all remaining regions: Latin America (4.5%), Asia (2.6%), Europe (3%) and Oceania (14%). The average g</w:t>
      </w:r>
      <w:r>
        <w:rPr>
          <w:sz w:val="18"/>
        </w:rPr>
        <w:t>lobal refined capacity utilization was about 82% in the first eleven months of 2008 compared with 83.6% in the same period of 2007.</w:t>
      </w:r>
    </w:p>
    <w:p>
      <w:pPr>
        <w:pStyle w:val="BodyText"/>
        <w:spacing w:before="60" w:after="0"/>
        <w:ind w:start="-540" w:end="-649"/>
        <w:jc w:val="both"/>
        <w:rPr>
          <w:sz w:val="18"/>
          <w:szCs w:val="18"/>
        </w:rPr>
      </w:pPr>
      <w:r>
        <w:rPr>
          <w:sz w:val="18"/>
          <w:szCs w:val="18"/>
        </w:rPr>
        <w:t xml:space="preserve">The average LME cash price for January 2009 was US$3,220.69 per tonne, up from the December 2008 average of US$3,071.98 per tonne.  The 2009 high and low copper prices through end of January were US$3,390.50 and US$3,050.50 per tonne, respectively.  As of the end January 2009, copper stocks held at the major metal exchanges (LME, COMEX, SHFE) totalled </w:t>
        <w:br/>
        <w:t>544,272 t, an increase of 154,589 t from stocks held at the end of December 2008.  Stocks were down at SHFE and up at Comex and LME.</w:t>
      </w:r>
    </w:p>
    <w:p>
      <w:pPr>
        <w:pStyle w:val="BodyText"/>
        <w:numPr>
          <w:ilvl w:val="0"/>
          <w:numId w:val="0"/>
        </w:numPr>
        <w:spacing w:lineRule="atLeast" w:line="18" w:before="120" w:after="0"/>
        <w:ind w:start="-540" w:end="-649"/>
        <w:jc w:val="center"/>
        <w:outlineLvl w:val="0"/>
        <w:rPr>
          <w:b/>
          <w:sz w:val="24"/>
        </w:rPr>
      </w:pPr>
      <w:r>
        <w:rPr>
          <w:b/>
          <w:sz w:val="24"/>
        </w:rPr>
        <w:t>World Refined Copper Usage and Supply Trends, 2002-2008</w:t>
      </w:r>
    </w:p>
    <w:p>
      <w:pPr>
        <w:pStyle w:val="BodyText"/>
        <w:numPr>
          <w:ilvl w:val="0"/>
          <w:numId w:val="0"/>
        </w:numPr>
        <w:spacing w:lineRule="atLeast" w:line="18" w:before="60" w:after="0"/>
        <w:ind w:start="-540" w:end="-649"/>
        <w:jc w:val="center"/>
        <w:outlineLvl w:val="0"/>
        <w:rPr/>
      </w:pPr>
      <w:r>
        <w:rPr/>
        <w:t xml:space="preserve">Thousand metric tonnes, copper </w:t>
      </w:r>
    </w:p>
    <w:p>
      <w:pPr>
        <w:pStyle w:val="Normal"/>
        <w:ind w:start="-540" w:end="-649"/>
        <w:jc w:val="center"/>
        <w:rPr/>
      </w:pPr>
      <w:r>
        <w:rPr/>
        <w:drawing>
          <wp:inline distT="0" distB="0" distL="0" distR="0">
            <wp:extent cx="6165850" cy="41128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6" t="-7" r="-6" b="-7"/>
                    <a:stretch>
                      <a:fillRect/>
                    </a:stretch>
                  </pic:blipFill>
                  <pic:spPr bwMode="auto">
                    <a:xfrm>
                      <a:off x="0" y="0"/>
                      <a:ext cx="6165850" cy="4112895"/>
                    </a:xfrm>
                    <a:prstGeom prst="rect">
                      <a:avLst/>
                    </a:prstGeom>
                    <a:noFill/>
                  </pic:spPr>
                </pic:pic>
              </a:graphicData>
            </a:graphic>
          </wp:inline>
        </w:drawing>
      </w:r>
    </w:p>
    <w:p>
      <w:pPr>
        <w:pStyle w:val="BodyText"/>
        <w:spacing w:before="0" w:after="0"/>
        <w:ind w:start="-360" w:end="-649"/>
        <w:rPr/>
      </w:pPr>
      <w:r>
        <w:rPr/>
        <w:t>Due to the nature of statistical reporting, the published data should be considered as preliminary as some figures are currently based on estimates and could change. p/ preliminary,      1/ Based on EU apparent usage.      2/ Surplus/deficit is calculated using refined production minus refined usage.      3/ Surplus/deficit is calculated using seasonally adjusted refined production minus seasonally adjusted refined usage.</w:t>
      </w:r>
    </w:p>
    <w:sectPr>
      <w:type w:val="nextPage"/>
      <w:pgSz w:w="11906" w:h="16838"/>
      <w:pgMar w:left="1281" w:right="1168" w:gutter="0" w:header="0" w:top="340" w:footer="0" w:bottom="24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Univers">
    <w:altName w:val="Arial"/>
    <w:charset w:val="00" w:characterSet="windows-1252"/>
    <w:family w:val="swiss"/>
    <w:pitch w:val="variable"/>
  </w:font>
  <w:font w:name="Liberation Sans">
    <w:altName w:val="Arial"/>
    <w:charset w:val="01" w:characterSet="utf-8"/>
    <w:family w:val="swiss"/>
    <w:pitch w:val="variable"/>
  </w:font>
  <w:font w:name="Arial">
    <w:charset w:val="cc" w:characterSet="windows-1251"/>
    <w:family w:val="swiss"/>
    <w:pitch w:val="variable"/>
  </w:font>
  <w:font w:name="Tahoma">
    <w:charset w:val="cc" w:characterSet="windows-1251"/>
    <w:family w:val="swiss"/>
    <w:pitch w:val="variable"/>
  </w:font>
</w:fonts>
</file>

<file path=word/settings.xml><?xml version="1.0" encoding="utf-8"?>
<w:settings xmlns:w="http://schemas.openxmlformats.org/wordprocessingml/2006/main">
  <w:zoom w:percent="100"/>
  <w:revisionView w:insDel="0" w:formatting="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Sans NF"/>
        <w:sz w:val="24"/>
        <w:szCs w:val="24"/>
        <w:lang w:val="ru-RU" w:eastAsia="zh-CN" w:bidi="hi-IN"/>
      </w:rPr>
    </w:rPrDefault>
    <w:pPrDefault>
      <w:pPr>
        <w:suppressAutoHyphens w:val="true"/>
      </w:pPr>
    </w:pPrDefault>
  </w:docDefaults>
  <w:style w:type="paragraph" w:styleId="Normal">
    <w:name w:val="Normal"/>
    <w:qFormat/>
    <w:pPr>
      <w:widowControl/>
      <w:bidi w:val="0"/>
    </w:pPr>
    <w:rPr>
      <w:rFonts w:ascii="Univers;Arial" w:hAnsi="Univers;Arial" w:eastAsia="Times New Roman;Times New Roman" w:cs="Univers;Arial"/>
      <w:color w:val="auto"/>
      <w:sz w:val="22"/>
      <w:szCs w:val="20"/>
      <w:lang w:val="en-GB" w:bidi="ar-SA"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before="0" w:after="120"/>
    </w:pPr>
    <w:rPr>
      <w:rFonts w:ascii="Arial" w:hAnsi="Arial" w:cs="Arial"/>
      <w:sz w:val="16"/>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Style15">
    <w:name w:val="Текст выноски"/>
    <w:basedOn w:val="Normal"/>
    <w:qFormat/>
    <w:pPr/>
    <w:rPr>
      <w:rFonts w:ascii="Tahoma" w:hAnsi="Tahoma" w:cs="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2009-02-24T11:36:00Z</dcterms:created>
  <dc:creator>ANA</dc:creator>
  <dc:description/>
  <cp:keywords/>
  <dc:language>ru-RU</dc:language>
  <cp:lastModifiedBy>FedorovDT</cp:lastModifiedBy>
  <cp:lastPrinted>2009-02-20T13:34:00Z</cp:lastPrinted>
  <dcterms:modified xsi:type="dcterms:W3CDTF">2009-02-24T11:36:00Z</dcterms:modified>
  <cp:revision>2</cp:revision>
  <dc:subject/>
  <dc:title>ICSG PRESS RELEASE                                                   Date Issued: 20th January 2009</dc:title>
</cp:coreProperties>
</file>