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40"/>
        <w:rPr>
          <w:rFonts w:ascii="Arial" w:hAnsi="Arial" w:cs="Arial"/>
          <w:b/>
          <w:color w:val="FFFFFF"/>
          <w:sz w:val="28"/>
          <w:szCs w:val="28"/>
        </w:rPr>
      </w:pPr>
      <w:r>
        <w:rPr>
          <w:b/>
          <w:color w:val="FFFFFF"/>
          <w:sz w:val="28"/>
          <w:szCs w:val="28"/>
          <w:highlight w:val="black"/>
        </w:rPr>
        <w:t>ICSG PRESS RELEASE                                Date Issued: 26</w:t>
      </w:r>
      <w:r>
        <w:rPr>
          <w:b/>
          <w:color w:val="FFFFFF"/>
          <w:sz w:val="28"/>
          <w:szCs w:val="28"/>
          <w:highlight w:val="black"/>
          <w:vertAlign w:val="superscript"/>
        </w:rPr>
        <w:t>th</w:t>
      </w:r>
      <w:r>
        <w:rPr>
          <w:b/>
          <w:color w:val="FFFFFF"/>
          <w:sz w:val="28"/>
          <w:szCs w:val="28"/>
          <w:highlight w:val="black"/>
        </w:rPr>
        <w:t xml:space="preserve"> March 2012</w:t>
      </w:r>
    </w:p>
    <w:p>
      <w:pPr>
        <w:pStyle w:val="BodyText"/>
        <w:numPr>
          <w:ilvl w:val="0"/>
          <w:numId w:val="0"/>
        </w:numPr>
        <w:spacing w:before="0" w:after="0"/>
        <w:ind w:end="-40"/>
        <w:jc w:val="center"/>
        <w:outlineLvl w:val="0"/>
        <w:rPr>
          <w:rFonts w:ascii="Arial" w:hAnsi="Arial" w:cs="Arial"/>
          <w:b/>
          <w:color w:val="FFFFFF"/>
          <w:sz w:val="18"/>
          <w:szCs w:val="18"/>
        </w:rPr>
      </w:pPr>
      <w:r>
        <w:rPr>
          <w:rFonts w:cs="Arial"/>
          <w:b/>
          <w:color w:val="FFFFFF"/>
          <w:sz w:val="18"/>
          <w:szCs w:val="18"/>
        </w:rPr>
      </w:r>
    </w:p>
    <w:p>
      <w:pPr>
        <w:pStyle w:val="BodyText"/>
        <w:numPr>
          <w:ilvl w:val="0"/>
          <w:numId w:val="0"/>
        </w:numPr>
        <w:spacing w:before="0" w:after="0"/>
        <w:ind w:end="-40"/>
        <w:jc w:val="center"/>
        <w:outlineLvl w:val="0"/>
        <w:rPr>
          <w:b/>
          <w:sz w:val="24"/>
          <w:szCs w:val="24"/>
          <w:lang w:val="en-US" w:eastAsia="ru-RU"/>
        </w:rPr>
      </w:pPr>
      <w:r>
        <w:rPr>
          <w:b/>
          <w:sz w:val="24"/>
          <w:szCs w:val="24"/>
          <w:lang w:val="en-US" w:eastAsia="ru-RU"/>
        </w:rPr>
        <w:drawing>
          <wp:anchor distT="0" distB="0" distL="114935" distR="114935" simplePos="0" relativeHeight="2" behindDoc="0" locked="0" layoutInCell="0" allowOverlap="1">
            <wp:simplePos x="0" y="0"/>
            <wp:positionH relativeFrom="page">
              <wp:posOffset>739775</wp:posOffset>
            </wp:positionH>
            <wp:positionV relativeFrom="paragraph">
              <wp:posOffset>-1905</wp:posOffset>
            </wp:positionV>
            <wp:extent cx="809625" cy="10096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24" t="-19" r="-24" b="-19"/>
                    <a:stretch>
                      <a:fillRect/>
                    </a:stretch>
                  </pic:blipFill>
                  <pic:spPr bwMode="auto">
                    <a:xfrm>
                      <a:off x="0" y="0"/>
                      <a:ext cx="809625" cy="1009650"/>
                    </a:xfrm>
                    <a:prstGeom prst="rect">
                      <a:avLst/>
                    </a:prstGeom>
                    <a:noFill/>
                  </pic:spPr>
                </pic:pic>
              </a:graphicData>
            </a:graphic>
          </wp:anchor>
        </w:drawing>
      </w:r>
    </w:p>
    <w:p>
      <w:pPr>
        <w:pStyle w:val="BodyText"/>
        <w:numPr>
          <w:ilvl w:val="0"/>
          <w:numId w:val="0"/>
        </w:numPr>
        <w:spacing w:before="0" w:after="0"/>
        <w:ind w:end="-40"/>
        <w:jc w:val="center"/>
        <w:outlineLvl w:val="0"/>
        <w:rPr>
          <w:b/>
          <w:sz w:val="24"/>
          <w:szCs w:val="24"/>
        </w:rPr>
      </w:pPr>
      <w:r>
        <w:rPr>
          <w:b/>
          <w:sz w:val="24"/>
          <w:szCs w:val="24"/>
        </w:rPr>
      </w:r>
    </w:p>
    <w:p>
      <w:pPr>
        <w:pStyle w:val="BodyText"/>
        <w:numPr>
          <w:ilvl w:val="0"/>
          <w:numId w:val="0"/>
        </w:numPr>
        <w:spacing w:before="0" w:after="0"/>
        <w:ind w:end="-40"/>
        <w:jc w:val="center"/>
        <w:outlineLvl w:val="0"/>
        <w:rPr>
          <w:b/>
          <w:sz w:val="24"/>
          <w:szCs w:val="24"/>
        </w:rPr>
      </w:pPr>
      <w:r>
        <w:rPr>
          <w:b/>
          <w:sz w:val="24"/>
          <w:szCs w:val="24"/>
        </w:rPr>
        <w:t>Launch of ICSG Online Statistical Database</w:t>
      </w:r>
    </w:p>
    <w:p>
      <w:pPr>
        <w:pStyle w:val="BodyText"/>
        <w:numPr>
          <w:ilvl w:val="0"/>
          <w:numId w:val="0"/>
        </w:numPr>
        <w:spacing w:before="0" w:after="0"/>
        <w:ind w:end="-40"/>
        <w:jc w:val="center"/>
        <w:outlineLvl w:val="0"/>
        <w:rPr>
          <w:b/>
          <w:sz w:val="24"/>
          <w:szCs w:val="24"/>
        </w:rPr>
      </w:pPr>
      <w:r>
        <w:rPr>
          <w:b/>
          <w:sz w:val="24"/>
          <w:szCs w:val="24"/>
        </w:rPr>
      </w:r>
    </w:p>
    <w:p>
      <w:pPr>
        <w:pStyle w:val="BodyText"/>
        <w:numPr>
          <w:ilvl w:val="0"/>
          <w:numId w:val="0"/>
        </w:numPr>
        <w:spacing w:before="0" w:after="0"/>
        <w:ind w:end="-40"/>
        <w:jc w:val="center"/>
        <w:outlineLvl w:val="0"/>
        <w:rPr>
          <w:b/>
          <w:sz w:val="24"/>
          <w:szCs w:val="24"/>
        </w:rPr>
      </w:pPr>
      <w:r>
        <w:rPr>
          <w:b/>
          <w:sz w:val="24"/>
          <w:szCs w:val="24"/>
        </w:rPr>
      </w:r>
    </w:p>
    <w:p>
      <w:pPr>
        <w:pStyle w:val="BodyText"/>
        <w:spacing w:before="0" w:after="0"/>
        <w:ind w:end="-40"/>
        <w:jc w:val="both"/>
        <w:rPr>
          <w:b/>
          <w:color w:val="000000"/>
          <w:sz w:val="18"/>
          <w:szCs w:val="18"/>
        </w:rPr>
      </w:pPr>
      <w:r>
        <w:rPr>
          <w:b/>
          <w:color w:val="000000"/>
          <w:sz w:val="18"/>
          <w:szCs w:val="18"/>
        </w:rPr>
      </w:r>
    </w:p>
    <w:p>
      <w:pPr>
        <w:pStyle w:val="BodyText"/>
        <w:spacing w:before="0" w:after="0"/>
        <w:ind w:end="-40"/>
        <w:jc w:val="both"/>
        <w:rPr>
          <w:color w:val="000000"/>
          <w:sz w:val="18"/>
          <w:szCs w:val="18"/>
        </w:rPr>
      </w:pPr>
      <w:r>
        <w:rPr>
          <w:color w:val="000000"/>
          <w:sz w:val="18"/>
          <w:szCs w:val="18"/>
        </w:rPr>
      </w:r>
    </w:p>
    <w:p>
      <w:pPr>
        <w:pStyle w:val="BodyText"/>
        <w:spacing w:before="0" w:after="0"/>
        <w:ind w:end="-40"/>
        <w:jc w:val="both"/>
        <w:rPr/>
      </w:pPr>
      <w:r>
        <w:rPr>
          <w:color w:val="000000"/>
          <w:sz w:val="18"/>
          <w:szCs w:val="18"/>
        </w:rPr>
        <w:t xml:space="preserve">The International Copper Study Group (ICSG) is pleased to inform of the launching of its Online Statistical Database. </w:t>
      </w:r>
    </w:p>
    <w:p>
      <w:pPr>
        <w:pStyle w:val="BodyText"/>
        <w:spacing w:before="0" w:after="0"/>
        <w:ind w:end="-40"/>
        <w:jc w:val="both"/>
        <w:rPr>
          <w:color w:val="000000"/>
          <w:sz w:val="18"/>
          <w:szCs w:val="18"/>
        </w:rPr>
      </w:pPr>
      <w:r>
        <w:rPr>
          <w:color w:val="000000"/>
          <w:sz w:val="18"/>
          <w:szCs w:val="18"/>
        </w:rPr>
      </w:r>
    </w:p>
    <w:p>
      <w:pPr>
        <w:pStyle w:val="BodyText"/>
        <w:ind w:end="-40"/>
        <w:jc w:val="both"/>
        <w:rPr/>
      </w:pPr>
      <w:r>
        <w:rPr>
          <w:color w:val="000000"/>
          <w:sz w:val="18"/>
          <w:szCs w:val="18"/>
        </w:rPr>
        <w:t xml:space="preserve">ICSG holds an extensive and detailed statistical database covering historical data for copper production, usage, trade, stocks and prices.  Until now, the data was partly provided to subscribers, in a static manner, through ICSG’s periodic publications: Monthly Copper Bulletin, ICSG Statistical Yearbook or ICSG Directory of Copper Mines and Plants. </w:t>
      </w:r>
    </w:p>
    <w:p>
      <w:pPr>
        <w:pStyle w:val="BodyText"/>
        <w:ind w:end="-40"/>
        <w:jc w:val="both"/>
        <w:rPr/>
      </w:pPr>
      <w:r>
        <w:rPr>
          <w:color w:val="000000"/>
          <w:sz w:val="18"/>
          <w:szCs w:val="18"/>
        </w:rPr>
        <w:t>Historical statistics are of relevance in any analysis.  The new online database will give subscribers the opportunity to have direct access to detailed ICSG historical data.  It will also offer subscribers specific data extraction tools that will enable users to download the data they require with the layout best suited for their analysis. The users can also build “views” within their user’s profile to enable regular downloads of the same data sets.</w:t>
      </w:r>
    </w:p>
    <w:p>
      <w:pPr>
        <w:pStyle w:val="BodyText"/>
        <w:ind w:end="-40"/>
        <w:jc w:val="both"/>
        <w:rPr/>
      </w:pPr>
      <w:r>
        <w:rPr>
          <w:color w:val="000000"/>
          <w:sz w:val="18"/>
          <w:szCs w:val="18"/>
        </w:rPr>
        <w:t xml:space="preserve">The new online database presents country statistics from 1995 through to the current time, on a monthly and annual basis. The data available cover </w:t>
      </w:r>
      <w:r>
        <w:rPr>
          <w:bCs/>
          <w:color w:val="000000"/>
          <w:sz w:val="18"/>
          <w:szCs w:val="18"/>
        </w:rPr>
        <w:t>mine, smelter, refined and semis production statistics, trade statistics for the main copper products, and copper prices and stocks data</w:t>
      </w:r>
      <w:r>
        <w:rPr>
          <w:color w:val="000000"/>
          <w:sz w:val="18"/>
          <w:szCs w:val="18"/>
        </w:rPr>
        <w:t>.</w:t>
      </w:r>
      <w:r>
        <w:rPr>
          <w:bCs/>
          <w:color w:val="000000"/>
          <w:sz w:val="18"/>
          <w:szCs w:val="18"/>
        </w:rPr>
        <w:t xml:space="preserve">  Capacity data for operating, past operating, and three years forward projected copper mines, smelters and refineries are also available since 1995  </w:t>
      </w:r>
      <w:r>
        <w:rPr>
          <w:color w:val="000000"/>
          <w:sz w:val="18"/>
          <w:szCs w:val="18"/>
        </w:rPr>
        <w:t xml:space="preserve">This service will only be available to subscribers of the Monthly Bulletin or the Directory of Copper Mines and Plants.  The cost to access the service will be €200/€250 (Euros) per year for orders originating from institutions based in ICSG member countries/Non member countries, and is added to the cost of the regular subscriptions for the Monthly Bulletin or the Directory of Copper Mines and Plants.   </w:t>
      </w:r>
    </w:p>
    <w:p>
      <w:pPr>
        <w:pStyle w:val="BodyText"/>
        <w:ind w:end="-40"/>
        <w:jc w:val="both"/>
        <w:rPr>
          <w:color w:val="000000"/>
          <w:sz w:val="18"/>
          <w:szCs w:val="18"/>
        </w:rPr>
      </w:pPr>
      <w:r>
        <w:rPr>
          <w:color w:val="000000"/>
          <w:sz w:val="18"/>
          <w:szCs w:val="18"/>
        </w:rPr>
        <w:t>The online database is accessed through the internet with a username and password and the data can be downloaded directly to Excel.  A User’s Manual will be delivered to the subscribers.</w:t>
      </w:r>
    </w:p>
    <w:p>
      <w:pPr>
        <w:pStyle w:val="BodyText"/>
        <w:ind w:end="-40"/>
        <w:jc w:val="both"/>
        <w:rPr/>
      </w:pPr>
      <w:r>
        <w:rPr>
          <w:color w:val="000000"/>
          <w:sz w:val="18"/>
          <w:szCs w:val="18"/>
        </w:rPr>
        <w:t xml:space="preserve">For further information, please contact ICSG Chief Statistician, Ms Ana Rebelo, at </w:t>
      </w:r>
      <w:hyperlink r:id="rId3">
        <w:r>
          <w:rPr>
            <w:rStyle w:val="Hyperlink"/>
            <w:sz w:val="18"/>
            <w:szCs w:val="18"/>
          </w:rPr>
          <w:t>mail@icsg.org</w:t>
        </w:r>
      </w:hyperlink>
      <w:r>
        <w:rPr>
          <w:color w:val="000000"/>
          <w:sz w:val="18"/>
          <w:szCs w:val="18"/>
        </w:rPr>
        <w:t xml:space="preserve"> or +351213513870.</w:t>
      </w:r>
    </w:p>
    <w:p>
      <w:pPr>
        <w:pStyle w:val="BodyText"/>
        <w:ind w:end="-40"/>
        <w:jc w:val="both"/>
        <w:rPr>
          <w:color w:val="000000"/>
          <w:sz w:val="18"/>
          <w:szCs w:val="18"/>
        </w:rPr>
      </w:pPr>
      <w:r>
        <w:rPr>
          <w:color w:val="000000"/>
          <w:sz w:val="18"/>
          <w:szCs w:val="18"/>
        </w:rPr>
        <w:t xml:space="preserve">Should you be interested to subscribe to this new service please contact the secretariat or fill the order form in the following link. </w:t>
      </w:r>
      <w:hyperlink r:id="rId4">
        <w:r>
          <w:rPr>
            <w:rStyle w:val="Hyperlink"/>
            <w:sz w:val="18"/>
            <w:szCs w:val="18"/>
          </w:rPr>
          <w:t>http://www.icsg.org/images/stories/pdfs/mar2012_publication_order_form.pdf</w:t>
        </w:r>
      </w:hyperlink>
    </w:p>
    <w:p>
      <w:pPr>
        <w:pStyle w:val="BodyText"/>
        <w:ind w:end="-40"/>
        <w:jc w:val="both"/>
        <w:rPr>
          <w:color w:val="000000"/>
          <w:sz w:val="18"/>
          <w:szCs w:val="18"/>
        </w:rPr>
      </w:pPr>
      <w:r>
        <w:rPr>
          <w:color w:val="000000"/>
          <w:sz w:val="18"/>
          <w:szCs w:val="18"/>
        </w:rPr>
      </w:r>
    </w:p>
    <w:p>
      <w:pPr>
        <w:pStyle w:val="BodyText"/>
        <w:tabs>
          <w:tab w:val="clear" w:pos="720"/>
          <w:tab w:val="left" w:pos="7380" w:leader="none"/>
        </w:tabs>
        <w:spacing w:before="60" w:after="0"/>
        <w:ind w:end="-40"/>
        <w:jc w:val="both"/>
        <w:rPr>
          <w:color w:val="000000"/>
          <w:sz w:val="14"/>
          <w:szCs w:val="14"/>
        </w:rPr>
      </w:pPr>
      <w:r>
        <w:rPr>
          <w:color w:val="000000"/>
          <w:sz w:val="14"/>
          <w:szCs w:val="14"/>
        </w:rPr>
      </w:r>
    </w:p>
    <w:sectPr>
      <w:type w:val="nextPage"/>
      <w:pgSz w:w="11906" w:h="16838"/>
      <w:pgMar w:left="1281" w:right="1168" w:gutter="0" w:header="0" w:top="340" w:footer="0" w:bottom="24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nivers">
    <w:altName w:val="Arial"/>
    <w:charset w:val="00" w:characterSet="windows-1252"/>
    <w:family w:val="swiss"/>
    <w:pitch w:val="default"/>
  </w:font>
  <w:font w:name="Liberation Sans">
    <w:altName w:val="Arial"/>
    <w:charset w:val="01" w:characterSet="utf-8"/>
    <w:family w:val="swiss"/>
    <w:pitch w:val="variable"/>
  </w:font>
  <w:font w:name="Arial">
    <w:charset w:val="cc" w:characterSet="windows-1251"/>
    <w:family w:val="swiss"/>
    <w:pitch w:val="variable"/>
  </w:font>
  <w:font w:name="Tahoma">
    <w:charset w:val="cc" w:characterSet="windows-1251"/>
    <w:family w:val="swiss"/>
    <w:pitch w:val="variable"/>
  </w:font>
</w:fonts>
</file>

<file path=word/settings.xml><?xml version="1.0" encoding="utf-8"?>
<w:settings xmlns:w="http://schemas.openxmlformats.org/wordprocessingml/2006/main">
  <w:zoom w:percent="156"/>
  <w:trackRevisions/>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sz w:val="24"/>
        <w:szCs w:val="24"/>
        <w:lang w:val="ru-RU" w:eastAsia="zh-CN" w:bidi="hi-IN"/>
      </w:rPr>
    </w:rPrDefault>
    <w:pPrDefault>
      <w:pPr>
        <w:suppressAutoHyphens w:val="true"/>
      </w:pPr>
    </w:pPrDefault>
  </w:docDefaults>
  <w:style w:type="paragraph" w:styleId="Normal">
    <w:name w:val="Normal"/>
    <w:qFormat/>
    <w:pPr>
      <w:widowControl/>
      <w:bidi w:val="0"/>
    </w:pPr>
    <w:rPr>
      <w:rFonts w:ascii="Univers;Arial" w:hAnsi="Univers;Arial" w:eastAsia="Times New Roman" w:cs="Univers;Arial"/>
      <w:color w:val="auto"/>
      <w:sz w:val="22"/>
      <w:szCs w:val="20"/>
      <w:lang w:val="en-GB" w:bidi="ar-SA" w:eastAsia="zh-CN"/>
    </w:rPr>
  </w:style>
  <w:style w:type="character" w:styleId="Style14">
    <w:name w:val="Основной шрифт абзаца"/>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before="0" w:after="120"/>
    </w:pPr>
    <w:rPr>
      <w:rFonts w:ascii="Arial" w:hAnsi="Arial" w:cs="Arial"/>
      <w:sz w:val="16"/>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Style15">
    <w:name w:val="Текст выноски"/>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il@icsg.org" TargetMode="External"/><Relationship Id="rId4" Type="http://schemas.openxmlformats.org/officeDocument/2006/relationships/hyperlink" Target="http://www.icsg.org/images/stories/pdfs/mar2012_publication_order_form.pdf"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2012-03-27T08:09:00Z</dcterms:created>
  <dc:creator>ANA</dc:creator>
  <dc:description/>
  <dc:language>ru-RU</dc:language>
  <cp:lastModifiedBy>Федоров Дмитрий Теодорович</cp:lastModifiedBy>
  <cp:lastPrinted>2011-11-22T17:06:00Z</cp:lastPrinted>
  <dcterms:modified xsi:type="dcterms:W3CDTF">2012-03-27T08:09:00Z</dcterms:modified>
  <cp:revision>2</cp:revision>
  <dc:subject/>
  <dc:title>ICSG PRESS RELEASE                                                   Date Issued: 20th January 2009</dc:title>
</cp:coreProperties>
</file>