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Responsible AI &amp; Model Interpretability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563EB"/>
          <w:sz w:val="26"/>
          <w:szCs w:val="26"/>
        </w:rPr>
        <w:t xml:space="preserve">Fairness Audit · SHAP · LIME · Bias Mitigation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May 2026  |  Random Forest Customer Churn Model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a full Responsible AI audit of the Random Forest customer churn classifier. Three interpretability techniques — SHAP global importance, SHAP beeswarm visualisation, and LIME local explanations — were applied alongside a structured fairness assessment across gender, age group, region, and income tier.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fairness issues of varying severity were identified: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 55+ customers: TPR gap of 0.545 versus the 18–34 cohort — the model fails to identify actual churners in this group at a substantially lower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Rural customers: Demographic Parity gap of 0.113 — rural customers are predicted to churn at a higher rate, partly driven by data collection bias.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Low-income customers: Moderate DP gap of 0.070, correlated with the rural bias.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Gender-based gaps are within acceptable tolerances (&lt; 0.03). A prioritised mitigation roadmap covering immediate, medium-term, and governance actions is provided in Section 6.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Model &amp; Dataset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Algorithm: Random Forest (200 trees, max depth 8, balanced class weights)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Task: Binary classification — predict customer churn (1) vs retention (0)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Test-set performance: Accuracy 90.0%, Weighted F1 0.845, ROC-AUC 0.929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Sensitive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Gender: Female (52%), Male (48%)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 Group: 18–34 (30%), 35–54 (45%), 55+ (25%)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Region: Urban (50%), Suburban (35%), Rural (15%)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Income Tier: Low (25%), Mid (50%), High (25%)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Realistic demographic bias was injected into training data — rural + low-income and 55+ customers were given artificially elevated churn rates — simulating patterns commonly observed in real-world telecom datasets where certain customer segments are over-represented in historical records.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Global Interpretability — SHAP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Feature Importance: Gini vs SHAP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1 compares Gini (impurity-based) importance with mean absolute SHAP values. Gini can overstate high-cardinality features; SHAP provides a game-theoretically fair attribution. The beeswarm (right panel) shows both magnitude and direction of each feature's effect.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619750" cy="2495550"/>
            <wp:effectExtent t="0" r="0" b="0" l="0"/>
            <wp:docPr id="1" name="/home/claude/rai_fig1_shap.png" descr="/home/claude/rai_fig1_shap.png" title="/home/claude/rai_fig1_sh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1. Left: Top-12 features — Gini (blue) vs mean |SHAP| (amber). Right: SHAP beeswarm — each dot is one test customer, coloured by feature value (blue=low, red=high). Rightward position = pushes toward churn.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Key SHAP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top-3 features by SHAP and Gini are consistent — confirming stable, reliable feature ranking.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Delay and Support Calls show strong positive SHAP effects — high values strongly push predictions toward churn.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Satisfaction Score and Tenure are protective — high values reduce churn probability.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Several mid-ranked features show bidirectional effects (dots on both sides of zero), indicating nonlinear or interaction-driven behaviour not visible in aggregate importance scores.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Local Explanations — LIME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LIME fits a local linear model around each individual prediction. Figure 2 shows explanations for three representative customers.</w:t>
      </w:r>
    </w:p>
    <w:p>
      <w:pPr>
        <w:spacing w:after="80"/>
      </w:pPr>
    </w:p>
    <w:p>
      <w:pPr>
        <w:spacing w:after="12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/home/claude/rai_fig2_lime.png" descr="/home/claude/rai_fig2_lime.png" title="/home/claude/rai_fig2_l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2. LIME explanations for a high-risk churner (left), uncertain borderline customer (centre), and low-risk customer (right). Red bars increase churn probability; blue bars decrease it. Each explanation is specific to that individual.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LIME explanations serve three practical purposes: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service teams can understand exactly why a customer was flagged, enabling personalised and relevant retention offers.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and regulatory teams can demonstrate that predictions are driven by legitimate commercial factors rather than protected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developers can spot unexpected explanation patterns that signal data quality issues or proxy discrimination.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Fairness &amp; Bias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Fairness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Demographic Parity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P(ŷ=1|A=a) equal ∀a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Equal churn prediction rates across groups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Equal Opportunity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TPR equal ∀a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Equally good at identifying actual churners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Equalized Odds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TPR and FPR equal ∀a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Both error types balanced across groups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Predictive Parity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Precision equal ∀a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Equal reliability of positive predictions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Group-Level Metrics (Test Set, n=250)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320"/>
        <w:gridCol w:w="560"/>
        <w:gridCol w:w="920"/>
        <w:gridCol w:w="1200"/>
        <w:gridCol w:w="960"/>
        <w:gridCol w:w="960"/>
        <w:gridCol w:w="960"/>
        <w:gridCol w:w="1160"/>
      </w:tblGrid>
      <w:tr>
        <w:trPr>
          <w:tblHeader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Gender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Female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135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34.1%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89.6%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0.841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0.804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0.056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Gender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115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34.8%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90.4%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0.849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0.775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0.027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18–34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34.3%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98.6%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0.980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1.000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0.022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35–54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115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34.8%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91.3%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0.872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0.850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0.053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55+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65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33.8%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78.5%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0.588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0.455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0.047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Urban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91.5%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0.853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0.762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0.011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Suburban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81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33.3%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90.1%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0.852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0.852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0.074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Rural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39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43.6%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84.6%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0.813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0.765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0.091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Income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33.3%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88.3%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0.811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0.750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0.050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Income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133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36.8%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90.2%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0.857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0.796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0.036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Income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57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29.8%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91.2%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0.848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0.824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0.050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Fairness Gap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80"/>
        <w:gridCol w:w="1280"/>
        <w:gridCol w:w="1280"/>
        <w:gridCol w:w="1280"/>
        <w:gridCol w:w="26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 Gap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 Gap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TPR Gap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FPR Gap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Gender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0.007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0.008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0.029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0.030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Acceptable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 Group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0.009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0.201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0.545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0.032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Critical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0.113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0.069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0.090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0.080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High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Income Tier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0.070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0.029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0.074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0.014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Detailed Findings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Age Group —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55+ cohort has TPR 0.455 vs 1.000 for 18–34 — a gap of 0.545.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model misses 54.5% more actual churners in the oldest group relative to the youngest.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Accuracy is 20 points lower (78.5% vs 98.6%), entirely due to elevated false negatives.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 cause: 55+ customers have fewer training samples and different feature distributions (lower digital engagement), causing systematic underfitting for this cohort.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Region —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Rural customers show a churn rate of 43.6% vs 32.3% Urban — DP gap of 0.113.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FPR gap of 0.080 means rural customers receive more false alarms than urban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Root cause: rural status correlates with legitimate risk factors (lower income, weaker service) but the training data over-represents rural churners due to collection bias.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Income Tier —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Low-income customers show a moderate DP gap of 0.070, partly confounded with the Rural bias.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TPR gap of 0.074 is below the critical threshold but warrants monitoring.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Gender — ACCEPTABLE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gender-based gaps are below 0.03. No material fairness concern detected.</w:t>
      </w:r>
    </w:p>
    <w:p>
      <w:pPr>
        <w:spacing w:after="12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3952875"/>
            <wp:effectExtent t="0" r="0" b="0" l="0"/>
            <wp:docPr id="1" name="/home/claude/rai_fig3_bias.png" descr="/home/claude/rai_fig3_bias.png" title="/home/claude/rai_fig3_b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3. Fairness dashboard across four sensitive attributes. Bars show Accuracy, F1, TPR, and FPR per group (left axis); dashed line shows actual churn rate (right axis). Red TPR-gap badge flags critical or high-severity disparities.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Mitigation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7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SMOTE-NC oversampling (55+/Rural)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DP gap, Equal Opportunity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Group-stratified train/test splits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Collect under-sampled segment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Algorithm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Fairlearn ExponentiatedGradient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Equal Opportunity, DP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Algorithm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Per-group probability calibration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Predictive parity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Post-proc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Threshold adjustment per group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TPR gap (Critical fix)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Post-proc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Reject-option for prob ≈ 0.5 cases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Quarterly fairness CI/CD gate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Drift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Disaggregated metric dashboards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Human review for 55+/Rural 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Critical groups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Immediate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adjustment (Hardt et al., 2016): lower the classification threshold for 55+ customers (e.g. from 0.50 to 0.35) to equalise TPR. Demonstrated in the notebook — reduces the TPR gap from 0.545 to below 0.05 with no model retraining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Disaggregated reporting: add group-level TPR and FPR per sensitive attribute to all model monitoring dashboards. Aggregate accuracy alone would never surface the age disparity.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review gate: any automated churn intervention (discount, contract change) for 55+ or Rural customers should require human agent review before execution.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Medium-Term Actions (2–4 Weeks)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SMOTE-NC resampling: oversample the 55+ and Rural training segments to represent at least 20% of training data. SMOTE-NC handles mixed continuous/categorical features correctly.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Fairness-constrained training: use the Fairlearn library with ExponentiatedGradient and an EqualOpportunity constraint. This directly bounds the allowable TPR gap during model fitting.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proxy audit: compute correlations between each of the 15 features and the sensitive attributes. Features with |correlation| &gt; 0.30 with age_group or region may act as proxies for protected attributes and should be removed or transformed.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Long-Term Governance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Fairness CI/CD gate: block model deployment if any TPR gap exceeds 0.10 or any DP gap exceeds 0.15. Re-run this audit at every retraining cycle.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collection reform: audit upstream data collection for systematic under-representation of Rural and 55+ segments. This requires engagement with business operations teams.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card: create and maintain a model card (Mitchell et al., 2019) documenting intended use, known limitations, and fairness properties. Update at each retraining.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SHAP Dependence Plots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Figure 4 shows SHAP dependence plots for the top-3 features. The x-axis is the raw feature value, the y-axis is the SHAP contribution, and colour encodes an interaction with the next most important feature.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790700"/>
            <wp:effectExtent t="0" r="0" b="0" l="0"/>
            <wp:docPr id="1" name="/home/claude/rai_fig4_dependence.png" descr="/home/claude/rai_fig4_dependence.png" title="/home/claude/rai_fig4_depend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4. SHAP dependence plots for the top-3 features. Nonlinear SHAP trajectories reveal threshold effects. Colour encodes an interaction feature (blue=low, red=high).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effects are visible in the highest-ranked feature — SHAP value near zero below a threshold, then rising sharply above it. This nonlinearity is invisible to linear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interaction colouring shows that the combined effect of two top features can exceed either individual effect — a key insight for feature engineering and model simplification.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churn classifier performs well on aggregate metrics (90% accuracy, 0.929 AUC) but harbours material fairness deficits that would cause disproportionate harm to older and rural customers if deployed without remediation.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urgent finding is the 0.545 TPR gap for 55+ customers. Without correction, the model would fail to identify real churners in this group — meaning retention interventions would not reach customers who need them most.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good news is that threshold adjustment — the most impactful immediate fix — requires zero model retraining and can be deployed today. Resampling and fairness-constrained training can follow in subsequent retraining cycles.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Responsible AI is not a one-time checkpoint. Fairness evaluation must be embedded into the model development lifecycle as a first-class requirement at every retraining cycle.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b436049f5a441526cca8512bbe26e4eca8929e.png"/><Relationship Id="rId8" Type="http://schemas.openxmlformats.org/officeDocument/2006/relationships/image" Target="media/ddd525f5d641a676a2b99ea3ae33bdce48e20d4b.png"/><Relationship Id="rId9" Type="http://schemas.openxmlformats.org/officeDocument/2006/relationships/image" Target="media/d829aa69272e9ae0ab062337796726bb03cb25f2.png"/><Relationship Id="rId10" Type="http://schemas.openxmlformats.org/officeDocument/2006/relationships/image" Target="media/4047558371b1c11758b5bd9269e48f420f3940a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2026-05-17T11:28:01.632Z</dcterms:created>
  <dcterms:modified xsi:type="dcterms:W3CDTF">2026-05-17T11:28:01.643Z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