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38609217"/>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3BD76B16" w14:textId="32B046EB" w:rsidR="000E58A2" w:rsidRPr="00CC68AE" w:rsidRDefault="00CA16FF" w:rsidP="009E4E33">
      <w:pPr>
        <w:pStyle w:val="11"/>
        <w:rPr>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38609217" w:history="1">
        <w:r w:rsidR="000E58A2" w:rsidRPr="00CC68AE">
          <w:rPr>
            <w:rStyle w:val="af4"/>
            <w:bCs/>
          </w:rPr>
          <w:t>目錄</w:t>
        </w:r>
        <w:r w:rsidR="000E58A2" w:rsidRPr="00CC68AE">
          <w:rPr>
            <w:webHidden/>
          </w:rPr>
          <w:tab/>
        </w:r>
        <w:r w:rsidR="000E58A2" w:rsidRPr="00CC68AE">
          <w:rPr>
            <w:webHidden/>
          </w:rPr>
          <w:fldChar w:fldCharType="begin"/>
        </w:r>
        <w:r w:rsidR="000E58A2" w:rsidRPr="00CC68AE">
          <w:rPr>
            <w:webHidden/>
          </w:rPr>
          <w:instrText xml:space="preserve"> PAGEREF _Toc238609217 \h </w:instrText>
        </w:r>
        <w:r w:rsidR="000E58A2" w:rsidRPr="00CC68AE">
          <w:rPr>
            <w:webHidden/>
          </w:rPr>
        </w:r>
        <w:r w:rsidR="000E58A2" w:rsidRPr="00CC68AE">
          <w:rPr>
            <w:webHidden/>
          </w:rPr>
          <w:fldChar w:fldCharType="separate"/>
        </w:r>
        <w:r w:rsidR="00EC1F40">
          <w:rPr>
            <w:webHidden/>
          </w:rPr>
          <w:t>I</w:t>
        </w:r>
        <w:r w:rsidR="000E58A2" w:rsidRPr="00CC68AE">
          <w:rPr>
            <w:webHidden/>
          </w:rPr>
          <w:fldChar w:fldCharType="end"/>
        </w:r>
      </w:hyperlink>
    </w:p>
    <w:p w14:paraId="5234019C" w14:textId="32C3909C" w:rsidR="000E58A2" w:rsidRPr="009E4E33" w:rsidRDefault="00214676" w:rsidP="009E4E33">
      <w:pPr>
        <w:pStyle w:val="11"/>
        <w:rPr>
          <w:szCs w:val="24"/>
        </w:rPr>
      </w:pPr>
      <w:hyperlink w:anchor="_Toc238609218" w:history="1">
        <w:r w:rsidR="000E58A2" w:rsidRPr="009E4E33">
          <w:rPr>
            <w:rStyle w:val="af4"/>
            <w:b/>
            <w:bCs/>
          </w:rPr>
          <w:t>第</w:t>
        </w:r>
        <w:r w:rsidR="000E58A2" w:rsidRPr="009E4E33">
          <w:rPr>
            <w:rStyle w:val="af4"/>
            <w:b/>
            <w:bCs/>
          </w:rPr>
          <w:t>1</w:t>
        </w:r>
        <w:r w:rsidR="000E58A2" w:rsidRPr="009E4E33">
          <w:rPr>
            <w:rStyle w:val="af4"/>
            <w:b/>
            <w:bCs/>
          </w:rPr>
          <w:t>章</w:t>
        </w:r>
        <w:r w:rsidR="000E58A2" w:rsidRPr="009E4E33">
          <w:rPr>
            <w:rStyle w:val="af4"/>
            <w:rFonts w:cs="Times New Roman"/>
            <w:b/>
            <w:bCs/>
          </w:rPr>
          <w:t xml:space="preserve"> TPASS</w:t>
        </w:r>
        <w:r w:rsidR="000E58A2" w:rsidRPr="009E4E33">
          <w:rPr>
            <w:rStyle w:val="af4"/>
            <w:b/>
            <w:bCs/>
          </w:rPr>
          <w:t>使用比例分析</w:t>
        </w:r>
        <w:r w:rsidR="000E58A2" w:rsidRPr="009E4E33">
          <w:rPr>
            <w:webHidden/>
          </w:rPr>
          <w:tab/>
        </w:r>
        <w:r w:rsidR="000E58A2" w:rsidRPr="009E4E33">
          <w:rPr>
            <w:webHidden/>
          </w:rPr>
          <w:fldChar w:fldCharType="begin"/>
        </w:r>
        <w:r w:rsidR="000E58A2" w:rsidRPr="009E4E33">
          <w:rPr>
            <w:webHidden/>
          </w:rPr>
          <w:instrText xml:space="preserve"> PAGEREF _Toc238609218 \h </w:instrText>
        </w:r>
        <w:r w:rsidR="000E58A2" w:rsidRPr="009E4E33">
          <w:rPr>
            <w:webHidden/>
          </w:rPr>
        </w:r>
        <w:r w:rsidR="000E58A2" w:rsidRPr="009E4E33">
          <w:rPr>
            <w:webHidden/>
          </w:rPr>
          <w:fldChar w:fldCharType="separate"/>
        </w:r>
        <w:r w:rsidR="00EC1F40">
          <w:rPr>
            <w:webHidden/>
          </w:rPr>
          <w:t>1</w:t>
        </w:r>
        <w:r w:rsidR="000E58A2" w:rsidRPr="009E4E33">
          <w:rPr>
            <w:webHidden/>
          </w:rPr>
          <w:fldChar w:fldCharType="end"/>
        </w:r>
      </w:hyperlink>
    </w:p>
    <w:p w14:paraId="302E969D" w14:textId="023ADDDE" w:rsidR="000E58A2" w:rsidRPr="00CC68AE" w:rsidRDefault="00214676">
      <w:pPr>
        <w:pStyle w:val="21"/>
        <w:tabs>
          <w:tab w:val="left" w:pos="1200"/>
          <w:tab w:val="right" w:leader="dot" w:pos="8296"/>
        </w:tabs>
        <w:rPr>
          <w:noProof/>
          <w:szCs w:val="24"/>
        </w:rPr>
      </w:pPr>
      <w:hyperlink w:anchor="_Toc238609219" w:history="1">
        <w:r w:rsidR="000E58A2" w:rsidRPr="00CC68AE">
          <w:rPr>
            <w:rStyle w:val="af4"/>
            <w:bCs/>
            <w:noProof/>
          </w:rPr>
          <w:t>1.1</w:t>
        </w:r>
        <w:r w:rsidR="000E58A2" w:rsidRPr="00CC68AE">
          <w:rPr>
            <w:noProof/>
            <w:szCs w:val="24"/>
          </w:rPr>
          <w:tab/>
        </w:r>
        <w:r w:rsidR="000E58A2" w:rsidRPr="00CC68AE">
          <w:rPr>
            <w:rStyle w:val="af4"/>
            <w:bCs/>
            <w:noProof/>
          </w:rPr>
          <w:t>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_Toc238609219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0654CFD1" w14:textId="635048C1" w:rsidR="000E58A2" w:rsidRPr="00CC68AE" w:rsidRDefault="00214676">
      <w:pPr>
        <w:pStyle w:val="31"/>
        <w:tabs>
          <w:tab w:val="left" w:pos="1944"/>
          <w:tab w:val="right" w:leader="dot" w:pos="8296"/>
        </w:tabs>
        <w:rPr>
          <w:noProof/>
          <w:szCs w:val="24"/>
        </w:rPr>
      </w:pPr>
      <w:hyperlink w:anchor="_Toc238609220" w:history="1">
        <w:r w:rsidR="000E58A2" w:rsidRPr="00CC68AE">
          <w:rPr>
            <w:rStyle w:val="af4"/>
            <w:bCs/>
            <w:noProof/>
          </w:rPr>
          <w:t>1.1.1</w:t>
        </w:r>
        <w:r w:rsidR="000E58A2" w:rsidRPr="00CC68AE">
          <w:rPr>
            <w:noProof/>
            <w:szCs w:val="24"/>
          </w:rPr>
          <w:tab/>
        </w:r>
        <w:r w:rsidR="000E58A2" w:rsidRPr="00CC68AE">
          <w:rPr>
            <w:rStyle w:val="af4"/>
            <w:bCs/>
            <w:noProof/>
          </w:rPr>
          <w:t>花蓮縣市區客運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_Toc238609220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7EB5430A" w14:textId="260431CF" w:rsidR="000E58A2" w:rsidRPr="00CC68AE" w:rsidRDefault="00214676">
      <w:pPr>
        <w:pStyle w:val="31"/>
        <w:tabs>
          <w:tab w:val="left" w:pos="1944"/>
          <w:tab w:val="right" w:leader="dot" w:pos="8296"/>
        </w:tabs>
        <w:rPr>
          <w:noProof/>
          <w:szCs w:val="24"/>
        </w:rPr>
      </w:pPr>
      <w:hyperlink w:anchor="_Toc238609221" w:history="1">
        <w:r w:rsidR="000E58A2" w:rsidRPr="00CC68AE">
          <w:rPr>
            <w:rStyle w:val="af4"/>
            <w:bCs/>
            <w:noProof/>
          </w:rPr>
          <w:t>1.1.2</w:t>
        </w:r>
        <w:r w:rsidR="000E58A2" w:rsidRPr="00CC68AE">
          <w:rPr>
            <w:noProof/>
            <w:szCs w:val="24"/>
          </w:rPr>
          <w:tab/>
        </w:r>
        <w:r w:rsidR="000E58A2" w:rsidRPr="00CC68AE">
          <w:rPr>
            <w:rStyle w:val="af4"/>
            <w:bCs/>
            <w:noProof/>
          </w:rPr>
          <w:t>臺東縣市區客運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_Toc238609221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AD9C6BB" w14:textId="7CC6965B" w:rsidR="000E58A2" w:rsidRPr="00CC68AE" w:rsidRDefault="00214676">
      <w:pPr>
        <w:pStyle w:val="21"/>
        <w:tabs>
          <w:tab w:val="left" w:pos="1200"/>
          <w:tab w:val="right" w:leader="dot" w:pos="8296"/>
        </w:tabs>
        <w:rPr>
          <w:noProof/>
          <w:szCs w:val="24"/>
        </w:rPr>
      </w:pPr>
      <w:hyperlink w:anchor="_Toc238609222" w:history="1">
        <w:r w:rsidR="000E58A2" w:rsidRPr="00CC68AE">
          <w:rPr>
            <w:rStyle w:val="af4"/>
            <w:bCs/>
            <w:noProof/>
          </w:rPr>
          <w:t>1.2</w:t>
        </w:r>
        <w:r w:rsidR="000E58A2" w:rsidRPr="00CC68AE">
          <w:rPr>
            <w:noProof/>
            <w:szCs w:val="24"/>
          </w:rPr>
          <w:tab/>
        </w:r>
        <w:r w:rsidR="000E58A2" w:rsidRPr="00CC68AE">
          <w:rPr>
            <w:rStyle w:val="af4"/>
            <w:bCs/>
            <w:noProof/>
          </w:rPr>
          <w:t>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_Toc238609222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5FA99D38" w14:textId="63CB79AD" w:rsidR="000E58A2" w:rsidRPr="00CC68AE" w:rsidRDefault="00214676">
      <w:pPr>
        <w:pStyle w:val="31"/>
        <w:tabs>
          <w:tab w:val="left" w:pos="1944"/>
          <w:tab w:val="right" w:leader="dot" w:pos="8296"/>
        </w:tabs>
        <w:rPr>
          <w:noProof/>
          <w:szCs w:val="24"/>
        </w:rPr>
      </w:pPr>
      <w:hyperlink w:anchor="_Toc238609223" w:history="1">
        <w:r w:rsidR="000E58A2" w:rsidRPr="00CC68AE">
          <w:rPr>
            <w:rStyle w:val="af4"/>
            <w:bCs/>
            <w:noProof/>
          </w:rPr>
          <w:t>1.2.1</w:t>
        </w:r>
        <w:r w:rsidR="000E58A2" w:rsidRPr="00CC68AE">
          <w:rPr>
            <w:noProof/>
            <w:szCs w:val="24"/>
          </w:rPr>
          <w:tab/>
        </w:r>
        <w:r w:rsidR="000E58A2" w:rsidRPr="00CC68AE">
          <w:rPr>
            <w:rStyle w:val="af4"/>
            <w:bCs/>
            <w:noProof/>
          </w:rPr>
          <w:t>花蓮縣公路客運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_Toc238609223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9014A69" w14:textId="1519B0B5" w:rsidR="000E58A2" w:rsidRPr="00CC68AE" w:rsidRDefault="00214676">
      <w:pPr>
        <w:pStyle w:val="31"/>
        <w:tabs>
          <w:tab w:val="left" w:pos="1944"/>
          <w:tab w:val="right" w:leader="dot" w:pos="8296"/>
        </w:tabs>
        <w:rPr>
          <w:noProof/>
          <w:szCs w:val="24"/>
        </w:rPr>
      </w:pPr>
      <w:hyperlink w:anchor="_Toc238609224" w:history="1">
        <w:r w:rsidR="000E58A2" w:rsidRPr="00CC68AE">
          <w:rPr>
            <w:rStyle w:val="af4"/>
            <w:bCs/>
            <w:noProof/>
          </w:rPr>
          <w:t>1.2.2</w:t>
        </w:r>
        <w:r w:rsidR="000E58A2" w:rsidRPr="00CC68AE">
          <w:rPr>
            <w:noProof/>
            <w:szCs w:val="24"/>
          </w:rPr>
          <w:tab/>
        </w:r>
        <w:r w:rsidR="000E58A2" w:rsidRPr="00CC68AE">
          <w:rPr>
            <w:rStyle w:val="af4"/>
            <w:bCs/>
            <w:noProof/>
          </w:rPr>
          <w:t>臺東縣公路客運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_Toc238609224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11904230" w14:textId="38AFEEFB" w:rsidR="000E58A2" w:rsidRPr="00CC68AE" w:rsidRDefault="00214676">
      <w:pPr>
        <w:pStyle w:val="21"/>
        <w:tabs>
          <w:tab w:val="left" w:pos="1200"/>
          <w:tab w:val="right" w:leader="dot" w:pos="8296"/>
        </w:tabs>
        <w:rPr>
          <w:noProof/>
          <w:szCs w:val="24"/>
        </w:rPr>
      </w:pPr>
      <w:hyperlink w:anchor="_Toc238609225" w:history="1">
        <w:r w:rsidR="000E58A2" w:rsidRPr="00CC68AE">
          <w:rPr>
            <w:rStyle w:val="af4"/>
            <w:bCs/>
            <w:noProof/>
          </w:rPr>
          <w:t>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_Toc238609225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6647ED13" w14:textId="6D1C1C6F" w:rsidR="000E58A2" w:rsidRPr="009E4E33" w:rsidRDefault="00214676" w:rsidP="009E4E33">
      <w:pPr>
        <w:pStyle w:val="11"/>
        <w:rPr>
          <w:szCs w:val="24"/>
        </w:rPr>
      </w:pPr>
      <w:hyperlink w:anchor="_Toc238609226" w:history="1">
        <w:r w:rsidR="000E58A2" w:rsidRPr="009E4E33">
          <w:rPr>
            <w:rStyle w:val="af4"/>
            <w:b/>
            <w:bCs/>
          </w:rPr>
          <w:t>第</w:t>
        </w:r>
        <w:r w:rsidR="000E58A2" w:rsidRPr="009E4E33">
          <w:rPr>
            <w:rStyle w:val="af4"/>
            <w:b/>
            <w:bCs/>
          </w:rPr>
          <w:t>2</w:t>
        </w:r>
        <w:r w:rsidR="000E58A2" w:rsidRPr="009E4E33">
          <w:rPr>
            <w:rStyle w:val="af4"/>
            <w:b/>
            <w:bCs/>
          </w:rPr>
          <w:t>章</w:t>
        </w:r>
        <w:r w:rsidR="000E58A2" w:rsidRPr="009E4E33">
          <w:rPr>
            <w:rStyle w:val="af4"/>
            <w:b/>
            <w:bCs/>
          </w:rPr>
          <w:t xml:space="preserve"> </w:t>
        </w:r>
        <w:r w:rsidR="000E58A2" w:rsidRPr="009E4E33">
          <w:rPr>
            <w:rStyle w:val="af4"/>
            <w:b/>
            <w:bCs/>
          </w:rPr>
          <w:t>平均搭乘里程趨勢分析</w:t>
        </w:r>
        <w:r w:rsidR="000E58A2" w:rsidRPr="009E4E33">
          <w:rPr>
            <w:webHidden/>
          </w:rPr>
          <w:tab/>
        </w:r>
        <w:r w:rsidR="000E58A2" w:rsidRPr="009E4E33">
          <w:rPr>
            <w:webHidden/>
          </w:rPr>
          <w:fldChar w:fldCharType="begin"/>
        </w:r>
        <w:r w:rsidR="000E58A2" w:rsidRPr="009E4E33">
          <w:rPr>
            <w:webHidden/>
          </w:rPr>
          <w:instrText xml:space="preserve"> PAGEREF _Toc238609226 \h </w:instrText>
        </w:r>
        <w:r w:rsidR="000E58A2" w:rsidRPr="009E4E33">
          <w:rPr>
            <w:webHidden/>
          </w:rPr>
        </w:r>
        <w:r w:rsidR="000E58A2" w:rsidRPr="009E4E33">
          <w:rPr>
            <w:webHidden/>
          </w:rPr>
          <w:fldChar w:fldCharType="separate"/>
        </w:r>
        <w:r w:rsidR="00EC1F40">
          <w:rPr>
            <w:webHidden/>
          </w:rPr>
          <w:t>5</w:t>
        </w:r>
        <w:r w:rsidR="000E58A2" w:rsidRPr="009E4E33">
          <w:rPr>
            <w:webHidden/>
          </w:rPr>
          <w:fldChar w:fldCharType="end"/>
        </w:r>
      </w:hyperlink>
    </w:p>
    <w:p w14:paraId="705ED03C" w14:textId="2605F863" w:rsidR="000E58A2" w:rsidRPr="00CC68AE" w:rsidRDefault="00214676">
      <w:pPr>
        <w:pStyle w:val="21"/>
        <w:tabs>
          <w:tab w:val="left" w:pos="1200"/>
          <w:tab w:val="right" w:leader="dot" w:pos="8296"/>
        </w:tabs>
        <w:rPr>
          <w:noProof/>
          <w:szCs w:val="24"/>
        </w:rPr>
      </w:pPr>
      <w:hyperlink w:anchor="_Toc238609227" w:history="1">
        <w:r w:rsidR="000E58A2" w:rsidRPr="00CC68AE">
          <w:rPr>
            <w:rStyle w:val="af4"/>
            <w:bCs/>
            <w:noProof/>
          </w:rPr>
          <w:t>2.1</w:t>
        </w:r>
        <w:r w:rsidR="000E58A2" w:rsidRPr="00CC68AE">
          <w:rPr>
            <w:noProof/>
            <w:szCs w:val="24"/>
          </w:rPr>
          <w:tab/>
        </w:r>
        <w:r w:rsidR="000E58A2" w:rsidRPr="00CC68AE">
          <w:rPr>
            <w:rStyle w:val="af4"/>
            <w:bCs/>
            <w:noProof/>
          </w:rPr>
          <w:t>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_Toc238609227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006781F1" w14:textId="5880B816" w:rsidR="000E58A2" w:rsidRPr="00CC68AE" w:rsidRDefault="00214676">
      <w:pPr>
        <w:pStyle w:val="31"/>
        <w:tabs>
          <w:tab w:val="left" w:pos="1944"/>
          <w:tab w:val="right" w:leader="dot" w:pos="8296"/>
        </w:tabs>
        <w:rPr>
          <w:noProof/>
          <w:szCs w:val="24"/>
        </w:rPr>
      </w:pPr>
      <w:hyperlink w:anchor="_Toc238609228" w:history="1">
        <w:r w:rsidR="000E58A2" w:rsidRPr="00CC68AE">
          <w:rPr>
            <w:rStyle w:val="af4"/>
            <w:rFonts w:cs="標楷體"/>
            <w:bCs/>
            <w:noProof/>
          </w:rPr>
          <w:t>2.1.1</w:t>
        </w:r>
        <w:r w:rsidR="000E58A2" w:rsidRPr="00CC68AE">
          <w:rPr>
            <w:noProof/>
            <w:szCs w:val="24"/>
          </w:rPr>
          <w:tab/>
        </w:r>
        <w:r w:rsidR="000E58A2" w:rsidRPr="00CC68AE">
          <w:rPr>
            <w:rStyle w:val="af4"/>
            <w:bCs/>
            <w:noProof/>
          </w:rPr>
          <w:t>花蓮縣市區客運平均搭乘里程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_Toc238609228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1DF09CA5" w14:textId="26A0D5D0" w:rsidR="000E58A2" w:rsidRPr="00CC68AE" w:rsidRDefault="00214676">
      <w:pPr>
        <w:pStyle w:val="31"/>
        <w:tabs>
          <w:tab w:val="left" w:pos="1944"/>
          <w:tab w:val="right" w:leader="dot" w:pos="8296"/>
        </w:tabs>
        <w:rPr>
          <w:noProof/>
          <w:szCs w:val="24"/>
        </w:rPr>
      </w:pPr>
      <w:hyperlink w:anchor="_Toc238609229" w:history="1">
        <w:r w:rsidR="000E58A2" w:rsidRPr="00CC68AE">
          <w:rPr>
            <w:rStyle w:val="af4"/>
            <w:rFonts w:cs="標楷體"/>
            <w:bCs/>
            <w:noProof/>
          </w:rPr>
          <w:t>2.1.2</w:t>
        </w:r>
        <w:r w:rsidR="000E58A2" w:rsidRPr="00CC68AE">
          <w:rPr>
            <w:noProof/>
            <w:szCs w:val="24"/>
          </w:rPr>
          <w:tab/>
        </w:r>
        <w:r w:rsidR="000E58A2" w:rsidRPr="00CC68AE">
          <w:rPr>
            <w:rStyle w:val="af4"/>
            <w:bCs/>
            <w:noProof/>
          </w:rPr>
          <w:t>臺東縣市區客運平均搭乘里程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_Toc238609229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32B63239" w14:textId="7EEA7463" w:rsidR="000E58A2" w:rsidRPr="00CC68AE" w:rsidRDefault="00214676">
      <w:pPr>
        <w:pStyle w:val="31"/>
        <w:tabs>
          <w:tab w:val="left" w:pos="1944"/>
          <w:tab w:val="right" w:leader="dot" w:pos="8296"/>
        </w:tabs>
        <w:rPr>
          <w:noProof/>
          <w:szCs w:val="24"/>
        </w:rPr>
      </w:pPr>
      <w:hyperlink w:anchor="_Toc238609230" w:history="1">
        <w:r w:rsidR="000E58A2" w:rsidRPr="00CC68AE">
          <w:rPr>
            <w:rStyle w:val="af4"/>
            <w:rFonts w:cs="標楷體"/>
            <w:bCs/>
            <w:noProof/>
          </w:rPr>
          <w:t>2.1.3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_Toc238609230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12B17320" w14:textId="61EEF260" w:rsidR="000E58A2" w:rsidRPr="00CC68AE" w:rsidRDefault="00214676">
      <w:pPr>
        <w:pStyle w:val="21"/>
        <w:tabs>
          <w:tab w:val="left" w:pos="1200"/>
          <w:tab w:val="right" w:leader="dot" w:pos="8296"/>
        </w:tabs>
        <w:rPr>
          <w:noProof/>
          <w:szCs w:val="24"/>
        </w:rPr>
      </w:pPr>
      <w:hyperlink w:anchor="_Toc238609231" w:history="1">
        <w:r w:rsidR="000E58A2" w:rsidRPr="00CC68AE">
          <w:rPr>
            <w:rStyle w:val="af4"/>
            <w:bCs/>
            <w:noProof/>
          </w:rPr>
          <w:t>2.2</w:t>
        </w:r>
        <w:r w:rsidR="000E58A2" w:rsidRPr="00CC68AE">
          <w:rPr>
            <w:noProof/>
            <w:szCs w:val="24"/>
          </w:rPr>
          <w:tab/>
        </w:r>
        <w:r w:rsidR="000E58A2" w:rsidRPr="00CC68AE">
          <w:rPr>
            <w:rStyle w:val="af4"/>
            <w:bCs/>
            <w:noProof/>
          </w:rPr>
          <w:t>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_Toc238609231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3C9A51DD" w14:textId="5C321585" w:rsidR="000E58A2" w:rsidRPr="00CC68AE" w:rsidRDefault="00214676">
      <w:pPr>
        <w:pStyle w:val="31"/>
        <w:tabs>
          <w:tab w:val="left" w:pos="1944"/>
          <w:tab w:val="right" w:leader="dot" w:pos="8296"/>
        </w:tabs>
        <w:rPr>
          <w:noProof/>
          <w:szCs w:val="24"/>
        </w:rPr>
      </w:pPr>
      <w:hyperlink w:anchor="_Toc238609232" w:history="1">
        <w:r w:rsidR="000E58A2" w:rsidRPr="00CC68AE">
          <w:rPr>
            <w:rStyle w:val="af4"/>
            <w:rFonts w:cs="標楷體"/>
            <w:bCs/>
            <w:noProof/>
          </w:rPr>
          <w:t>2.2.1</w:t>
        </w:r>
        <w:r w:rsidR="000E58A2" w:rsidRPr="00CC68AE">
          <w:rPr>
            <w:noProof/>
            <w:szCs w:val="24"/>
          </w:rPr>
          <w:tab/>
        </w:r>
        <w:r w:rsidR="000E58A2" w:rsidRPr="00CC68AE">
          <w:rPr>
            <w:rStyle w:val="af4"/>
            <w:bCs/>
            <w:noProof/>
          </w:rPr>
          <w:t>花蓮縣公路客運平均搭乘里程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_Toc238609232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074370D1" w14:textId="5C95C8A8" w:rsidR="000E58A2" w:rsidRPr="00CC68AE" w:rsidRDefault="00214676">
      <w:pPr>
        <w:pStyle w:val="31"/>
        <w:tabs>
          <w:tab w:val="left" w:pos="1944"/>
          <w:tab w:val="right" w:leader="dot" w:pos="8296"/>
        </w:tabs>
        <w:rPr>
          <w:noProof/>
          <w:szCs w:val="24"/>
        </w:rPr>
      </w:pPr>
      <w:hyperlink w:anchor="_Toc238609233" w:history="1">
        <w:r w:rsidR="000E58A2" w:rsidRPr="00CC68AE">
          <w:rPr>
            <w:rStyle w:val="af4"/>
            <w:bCs/>
            <w:noProof/>
          </w:rPr>
          <w:t>2.2.2</w:t>
        </w:r>
        <w:r w:rsidR="000E58A2" w:rsidRPr="00CC68AE">
          <w:rPr>
            <w:noProof/>
            <w:szCs w:val="24"/>
          </w:rPr>
          <w:tab/>
        </w:r>
        <w:r w:rsidR="000E58A2" w:rsidRPr="00CC68AE">
          <w:rPr>
            <w:rStyle w:val="af4"/>
            <w:bCs/>
            <w:noProof/>
          </w:rPr>
          <w:t>臺東縣公路客運平均搭乘里程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_Toc238609233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414BBA1F" w14:textId="1E68ED0D" w:rsidR="000E58A2" w:rsidRPr="00CC68AE" w:rsidRDefault="00214676">
      <w:pPr>
        <w:pStyle w:val="31"/>
        <w:tabs>
          <w:tab w:val="left" w:pos="1944"/>
          <w:tab w:val="right" w:leader="dot" w:pos="8296"/>
        </w:tabs>
        <w:rPr>
          <w:noProof/>
          <w:szCs w:val="24"/>
        </w:rPr>
      </w:pPr>
      <w:hyperlink w:anchor="_Toc238609234" w:history="1">
        <w:r w:rsidR="000E58A2" w:rsidRPr="00CC68AE">
          <w:rPr>
            <w:rStyle w:val="af4"/>
            <w:rFonts w:cs="標楷體"/>
            <w:bCs/>
            <w:noProof/>
          </w:rPr>
          <w:t>2.2.3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_Toc238609234 \h </w:instrText>
        </w:r>
        <w:r w:rsidR="000E58A2" w:rsidRPr="00CC68AE">
          <w:rPr>
            <w:noProof/>
            <w:webHidden/>
          </w:rPr>
        </w:r>
        <w:r w:rsidR="000E58A2" w:rsidRPr="00CC68AE">
          <w:rPr>
            <w:noProof/>
            <w:webHidden/>
          </w:rPr>
          <w:fldChar w:fldCharType="separate"/>
        </w:r>
        <w:r w:rsidR="00EC1F40">
          <w:rPr>
            <w:noProof/>
            <w:webHidden/>
          </w:rPr>
          <w:t>8</w:t>
        </w:r>
        <w:r w:rsidR="000E58A2" w:rsidRPr="00CC68AE">
          <w:rPr>
            <w:noProof/>
            <w:webHidden/>
          </w:rPr>
          <w:fldChar w:fldCharType="end"/>
        </w:r>
      </w:hyperlink>
    </w:p>
    <w:p w14:paraId="113019F2" w14:textId="4A98E8D5" w:rsidR="000E58A2" w:rsidRPr="009E4E33" w:rsidRDefault="00214676" w:rsidP="009E4E33">
      <w:pPr>
        <w:pStyle w:val="11"/>
        <w:rPr>
          <w:szCs w:val="24"/>
        </w:rPr>
      </w:pPr>
      <w:hyperlink w:anchor="_Toc238609235" w:history="1">
        <w:r w:rsidR="000E58A2" w:rsidRPr="009E4E33">
          <w:rPr>
            <w:rStyle w:val="af4"/>
            <w:b/>
            <w:bCs/>
          </w:rPr>
          <w:t>第</w:t>
        </w:r>
        <w:r w:rsidR="000E58A2" w:rsidRPr="009E4E33">
          <w:rPr>
            <w:rStyle w:val="af4"/>
            <w:b/>
            <w:bCs/>
          </w:rPr>
          <w:t>3</w:t>
        </w:r>
        <w:r w:rsidR="000E58A2" w:rsidRPr="009E4E33">
          <w:rPr>
            <w:rStyle w:val="af4"/>
            <w:b/>
            <w:bCs/>
          </w:rPr>
          <w:t>章</w:t>
        </w:r>
        <w:r w:rsidR="000E58A2" w:rsidRPr="009E4E33">
          <w:rPr>
            <w:rStyle w:val="af4"/>
            <w:b/>
            <w:bCs/>
          </w:rPr>
          <w:t xml:space="preserve"> </w:t>
        </w:r>
        <w:r w:rsidR="000E58A2" w:rsidRPr="009E4E33">
          <w:rPr>
            <w:rStyle w:val="af4"/>
            <w:b/>
            <w:bCs/>
          </w:rPr>
          <w:t>平均每日使用次數及其族群分布趨勢分析</w:t>
        </w:r>
        <w:r w:rsidR="000E58A2" w:rsidRPr="009E4E33">
          <w:rPr>
            <w:webHidden/>
          </w:rPr>
          <w:tab/>
        </w:r>
        <w:r w:rsidR="000E58A2" w:rsidRPr="009E4E33">
          <w:rPr>
            <w:webHidden/>
          </w:rPr>
          <w:fldChar w:fldCharType="begin"/>
        </w:r>
        <w:r w:rsidR="000E58A2" w:rsidRPr="009E4E33">
          <w:rPr>
            <w:webHidden/>
          </w:rPr>
          <w:instrText xml:space="preserve"> PAGEREF _Toc238609235 \h </w:instrText>
        </w:r>
        <w:r w:rsidR="000E58A2" w:rsidRPr="009E4E33">
          <w:rPr>
            <w:webHidden/>
          </w:rPr>
        </w:r>
        <w:r w:rsidR="000E58A2" w:rsidRPr="009E4E33">
          <w:rPr>
            <w:webHidden/>
          </w:rPr>
          <w:fldChar w:fldCharType="separate"/>
        </w:r>
        <w:r w:rsidR="00EC1F40">
          <w:rPr>
            <w:webHidden/>
          </w:rPr>
          <w:t>9</w:t>
        </w:r>
        <w:r w:rsidR="000E58A2" w:rsidRPr="009E4E33">
          <w:rPr>
            <w:webHidden/>
          </w:rPr>
          <w:fldChar w:fldCharType="end"/>
        </w:r>
      </w:hyperlink>
    </w:p>
    <w:p w14:paraId="7D6014DA" w14:textId="2BD8FB6F" w:rsidR="000E58A2" w:rsidRPr="00CC68AE" w:rsidRDefault="00214676">
      <w:pPr>
        <w:pStyle w:val="21"/>
        <w:tabs>
          <w:tab w:val="left" w:pos="1200"/>
          <w:tab w:val="right" w:leader="dot" w:pos="8296"/>
        </w:tabs>
        <w:rPr>
          <w:noProof/>
          <w:szCs w:val="24"/>
        </w:rPr>
      </w:pPr>
      <w:hyperlink w:anchor="_Toc238609236" w:history="1">
        <w:r w:rsidR="000E58A2" w:rsidRPr="00CC68AE">
          <w:rPr>
            <w:rStyle w:val="af4"/>
            <w:rFonts w:cs="標楷體"/>
            <w:bCs/>
            <w:noProof/>
          </w:rPr>
          <w:t>3.1</w:t>
        </w:r>
        <w:r w:rsidR="000E58A2" w:rsidRPr="00CC68AE">
          <w:rPr>
            <w:noProof/>
            <w:szCs w:val="24"/>
          </w:rPr>
          <w:tab/>
        </w:r>
        <w:r w:rsidR="000E58A2" w:rsidRPr="00CC68AE">
          <w:rPr>
            <w:rStyle w:val="af4"/>
            <w:bCs/>
            <w:noProof/>
          </w:rPr>
          <w:t>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_Toc238609236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6A0CFB62" w14:textId="34D82A3B" w:rsidR="000E58A2" w:rsidRPr="00CC68AE" w:rsidRDefault="00214676">
      <w:pPr>
        <w:pStyle w:val="31"/>
        <w:tabs>
          <w:tab w:val="left" w:pos="1944"/>
          <w:tab w:val="right" w:leader="dot" w:pos="8296"/>
        </w:tabs>
        <w:rPr>
          <w:noProof/>
          <w:szCs w:val="24"/>
        </w:rPr>
      </w:pPr>
      <w:hyperlink w:anchor="_Toc238609237" w:history="1">
        <w:r w:rsidR="000E58A2" w:rsidRPr="00CC68AE">
          <w:rPr>
            <w:rStyle w:val="af4"/>
            <w:rFonts w:cs="標楷體"/>
            <w:bCs/>
            <w:noProof/>
          </w:rPr>
          <w:t>3.1.1</w:t>
        </w:r>
        <w:r w:rsidR="000E58A2" w:rsidRPr="00CC68AE">
          <w:rPr>
            <w:noProof/>
            <w:szCs w:val="24"/>
          </w:rPr>
          <w:tab/>
        </w:r>
        <w:r w:rsidR="000E58A2" w:rsidRPr="00CC68AE">
          <w:rPr>
            <w:rStyle w:val="af4"/>
            <w:bCs/>
            <w:noProof/>
          </w:rPr>
          <w:t>花蓮縣市區客運平均每日使用次數及其族群分布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_Toc238609237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0F14D91D" w14:textId="11C93AD5" w:rsidR="000E58A2" w:rsidRPr="00CC68AE" w:rsidRDefault="00214676">
      <w:pPr>
        <w:pStyle w:val="31"/>
        <w:tabs>
          <w:tab w:val="left" w:pos="1944"/>
          <w:tab w:val="right" w:leader="dot" w:pos="8296"/>
        </w:tabs>
        <w:rPr>
          <w:noProof/>
          <w:szCs w:val="24"/>
        </w:rPr>
      </w:pPr>
      <w:hyperlink w:anchor="_Toc238609238" w:history="1">
        <w:r w:rsidR="000E58A2" w:rsidRPr="00CC68AE">
          <w:rPr>
            <w:rStyle w:val="af4"/>
            <w:rFonts w:cs="標楷體"/>
            <w:bCs/>
            <w:noProof/>
          </w:rPr>
          <w:t>3.1.2</w:t>
        </w:r>
        <w:r w:rsidR="000E58A2" w:rsidRPr="00CC68AE">
          <w:rPr>
            <w:noProof/>
            <w:szCs w:val="24"/>
          </w:rPr>
          <w:tab/>
        </w:r>
        <w:r w:rsidR="000E58A2" w:rsidRPr="00CC68AE">
          <w:rPr>
            <w:rStyle w:val="af4"/>
            <w:bCs/>
            <w:noProof/>
          </w:rPr>
          <w:t>臺東縣市區客運平均每日使用次數及其族群分布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_Toc238609238 \h </w:instrText>
        </w:r>
        <w:r w:rsidR="000E58A2" w:rsidRPr="00CC68AE">
          <w:rPr>
            <w:noProof/>
            <w:webHidden/>
          </w:rPr>
        </w:r>
        <w:r w:rsidR="000E58A2" w:rsidRPr="00CC68AE">
          <w:rPr>
            <w:noProof/>
            <w:webHidden/>
          </w:rPr>
          <w:fldChar w:fldCharType="separate"/>
        </w:r>
        <w:r w:rsidR="00EC1F40">
          <w:rPr>
            <w:noProof/>
            <w:webHidden/>
          </w:rPr>
          <w:t>14</w:t>
        </w:r>
        <w:r w:rsidR="000E58A2" w:rsidRPr="00CC68AE">
          <w:rPr>
            <w:noProof/>
            <w:webHidden/>
          </w:rPr>
          <w:fldChar w:fldCharType="end"/>
        </w:r>
      </w:hyperlink>
    </w:p>
    <w:p w14:paraId="2DD9E057" w14:textId="6981B261" w:rsidR="000E58A2" w:rsidRPr="00CC68AE" w:rsidRDefault="00214676">
      <w:pPr>
        <w:pStyle w:val="31"/>
        <w:tabs>
          <w:tab w:val="left" w:pos="1944"/>
          <w:tab w:val="right" w:leader="dot" w:pos="8296"/>
        </w:tabs>
        <w:rPr>
          <w:noProof/>
          <w:szCs w:val="24"/>
        </w:rPr>
      </w:pPr>
      <w:hyperlink w:anchor="_Toc238609239" w:history="1">
        <w:r w:rsidR="000E58A2" w:rsidRPr="00CC68AE">
          <w:rPr>
            <w:rStyle w:val="af4"/>
            <w:rFonts w:cs="標楷體"/>
            <w:bCs/>
            <w:noProof/>
          </w:rPr>
          <w:t>3.1.3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_Toc238609239 \h </w:instrText>
        </w:r>
        <w:r w:rsidR="000E58A2" w:rsidRPr="00CC68AE">
          <w:rPr>
            <w:noProof/>
            <w:webHidden/>
          </w:rPr>
        </w:r>
        <w:r w:rsidR="000E58A2" w:rsidRPr="00CC68AE">
          <w:rPr>
            <w:noProof/>
            <w:webHidden/>
          </w:rPr>
          <w:fldChar w:fldCharType="separate"/>
        </w:r>
        <w:r w:rsidR="00EC1F40">
          <w:rPr>
            <w:noProof/>
            <w:webHidden/>
          </w:rPr>
          <w:t>18</w:t>
        </w:r>
        <w:r w:rsidR="000E58A2" w:rsidRPr="00CC68AE">
          <w:rPr>
            <w:noProof/>
            <w:webHidden/>
          </w:rPr>
          <w:fldChar w:fldCharType="end"/>
        </w:r>
      </w:hyperlink>
    </w:p>
    <w:p w14:paraId="1A8022EE" w14:textId="6DFE5B61" w:rsidR="000E58A2" w:rsidRPr="00CC68AE" w:rsidRDefault="00214676">
      <w:pPr>
        <w:pStyle w:val="21"/>
        <w:tabs>
          <w:tab w:val="left" w:pos="1200"/>
          <w:tab w:val="right" w:leader="dot" w:pos="8296"/>
        </w:tabs>
        <w:rPr>
          <w:noProof/>
          <w:szCs w:val="24"/>
        </w:rPr>
      </w:pPr>
      <w:hyperlink w:anchor="_Toc238609240" w:history="1">
        <w:r w:rsidR="000E58A2" w:rsidRPr="00CC68AE">
          <w:rPr>
            <w:rStyle w:val="af4"/>
            <w:rFonts w:cs="標楷體"/>
            <w:bCs/>
            <w:noProof/>
          </w:rPr>
          <w:t>3.2</w:t>
        </w:r>
        <w:r w:rsidR="000E58A2" w:rsidRPr="00CC68AE">
          <w:rPr>
            <w:noProof/>
            <w:szCs w:val="24"/>
          </w:rPr>
          <w:tab/>
        </w:r>
        <w:r w:rsidR="000E58A2" w:rsidRPr="00CC68AE">
          <w:rPr>
            <w:rStyle w:val="af4"/>
            <w:bCs/>
            <w:noProof/>
          </w:rPr>
          <w:t>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_Toc238609240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40C8B637" w14:textId="116AE611" w:rsidR="000E58A2" w:rsidRPr="00CC68AE" w:rsidRDefault="00214676">
      <w:pPr>
        <w:pStyle w:val="31"/>
        <w:tabs>
          <w:tab w:val="left" w:pos="1944"/>
          <w:tab w:val="right" w:leader="dot" w:pos="8296"/>
        </w:tabs>
        <w:rPr>
          <w:noProof/>
          <w:szCs w:val="24"/>
        </w:rPr>
      </w:pPr>
      <w:hyperlink w:anchor="_Toc238609241" w:history="1">
        <w:r w:rsidR="000E58A2" w:rsidRPr="00CC68AE">
          <w:rPr>
            <w:rStyle w:val="af4"/>
            <w:rFonts w:cs="標楷體"/>
            <w:bCs/>
            <w:noProof/>
          </w:rPr>
          <w:t>3.2.1</w:t>
        </w:r>
        <w:r w:rsidR="000E58A2" w:rsidRPr="00CC68AE">
          <w:rPr>
            <w:noProof/>
            <w:szCs w:val="24"/>
          </w:rPr>
          <w:tab/>
        </w:r>
        <w:r w:rsidR="000E58A2" w:rsidRPr="00CC68AE">
          <w:rPr>
            <w:rStyle w:val="af4"/>
            <w:bCs/>
            <w:noProof/>
          </w:rPr>
          <w:t>花蓮縣公路客運平均每日使用次數及其族群分布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_Toc238609241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6F0326D5" w14:textId="647040BA" w:rsidR="000E58A2" w:rsidRPr="00CC68AE" w:rsidRDefault="00214676">
      <w:pPr>
        <w:pStyle w:val="31"/>
        <w:tabs>
          <w:tab w:val="left" w:pos="1944"/>
          <w:tab w:val="right" w:leader="dot" w:pos="8296"/>
        </w:tabs>
        <w:rPr>
          <w:noProof/>
          <w:szCs w:val="24"/>
        </w:rPr>
      </w:pPr>
      <w:hyperlink w:anchor="_Toc238609242" w:history="1">
        <w:r w:rsidR="000E58A2" w:rsidRPr="00CC68AE">
          <w:rPr>
            <w:rStyle w:val="af4"/>
            <w:rFonts w:cs="標楷體"/>
            <w:bCs/>
            <w:noProof/>
          </w:rPr>
          <w:t>3.2.2</w:t>
        </w:r>
        <w:r w:rsidR="000E58A2" w:rsidRPr="00CC68AE">
          <w:rPr>
            <w:noProof/>
            <w:szCs w:val="24"/>
          </w:rPr>
          <w:tab/>
        </w:r>
        <w:r w:rsidR="000E58A2" w:rsidRPr="00CC68AE">
          <w:rPr>
            <w:rStyle w:val="af4"/>
            <w:bCs/>
            <w:noProof/>
          </w:rPr>
          <w:t>臺東縣公路客運平均每日使用次數及其族群分布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_Toc238609242 \h </w:instrText>
        </w:r>
        <w:r w:rsidR="000E58A2" w:rsidRPr="00CC68AE">
          <w:rPr>
            <w:noProof/>
            <w:webHidden/>
          </w:rPr>
        </w:r>
        <w:r w:rsidR="000E58A2" w:rsidRPr="00CC68AE">
          <w:rPr>
            <w:noProof/>
            <w:webHidden/>
          </w:rPr>
          <w:fldChar w:fldCharType="separate"/>
        </w:r>
        <w:r w:rsidR="00EC1F40">
          <w:rPr>
            <w:noProof/>
            <w:webHidden/>
          </w:rPr>
          <w:t>23</w:t>
        </w:r>
        <w:r w:rsidR="000E58A2" w:rsidRPr="00CC68AE">
          <w:rPr>
            <w:noProof/>
            <w:webHidden/>
          </w:rPr>
          <w:fldChar w:fldCharType="end"/>
        </w:r>
      </w:hyperlink>
    </w:p>
    <w:p w14:paraId="66F5A4D3" w14:textId="042F6FBD" w:rsidR="000E58A2" w:rsidRPr="00CC68AE" w:rsidRDefault="00214676">
      <w:pPr>
        <w:pStyle w:val="31"/>
        <w:tabs>
          <w:tab w:val="left" w:pos="1944"/>
          <w:tab w:val="right" w:leader="dot" w:pos="8296"/>
        </w:tabs>
        <w:rPr>
          <w:noProof/>
          <w:szCs w:val="24"/>
        </w:rPr>
      </w:pPr>
      <w:hyperlink w:anchor="_Toc238609243" w:history="1">
        <w:r w:rsidR="000E58A2" w:rsidRPr="00CC68AE">
          <w:rPr>
            <w:rStyle w:val="af4"/>
            <w:bCs/>
            <w:noProof/>
          </w:rPr>
          <w:t>3.2.3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_Toc238609243 \h </w:instrText>
        </w:r>
        <w:r w:rsidR="000E58A2" w:rsidRPr="00CC68AE">
          <w:rPr>
            <w:noProof/>
            <w:webHidden/>
          </w:rPr>
        </w:r>
        <w:r w:rsidR="000E58A2" w:rsidRPr="00CC68AE">
          <w:rPr>
            <w:noProof/>
            <w:webHidden/>
          </w:rPr>
          <w:fldChar w:fldCharType="separate"/>
        </w:r>
        <w:r w:rsidR="00EC1F40">
          <w:rPr>
            <w:noProof/>
            <w:webHidden/>
          </w:rPr>
          <w:t>27</w:t>
        </w:r>
        <w:r w:rsidR="000E58A2" w:rsidRPr="00CC68AE">
          <w:rPr>
            <w:noProof/>
            <w:webHidden/>
          </w:rPr>
          <w:fldChar w:fldCharType="end"/>
        </w:r>
      </w:hyperlink>
    </w:p>
    <w:p w14:paraId="78C11EC5" w14:textId="2C81E2BF" w:rsidR="000E58A2" w:rsidRPr="009E4E33" w:rsidRDefault="00214676" w:rsidP="009E4E33">
      <w:pPr>
        <w:pStyle w:val="11"/>
        <w:rPr>
          <w:szCs w:val="24"/>
        </w:rPr>
      </w:pPr>
      <w:hyperlink w:anchor="_Toc238609244" w:history="1">
        <w:r w:rsidR="000E58A2" w:rsidRPr="009E4E33">
          <w:rPr>
            <w:rStyle w:val="af4"/>
            <w:b/>
            <w:bCs/>
          </w:rPr>
          <w:t>第</w:t>
        </w:r>
        <w:r w:rsidR="000E58A2" w:rsidRPr="009E4E33">
          <w:rPr>
            <w:rStyle w:val="af4"/>
            <w:b/>
            <w:bCs/>
          </w:rPr>
          <w:t>4</w:t>
        </w:r>
        <w:r w:rsidR="000E58A2" w:rsidRPr="009E4E33">
          <w:rPr>
            <w:rStyle w:val="af4"/>
            <w:b/>
            <w:bCs/>
          </w:rPr>
          <w:t>章</w:t>
        </w:r>
        <w:r w:rsidR="000E58A2" w:rsidRPr="009E4E33">
          <w:rPr>
            <w:rStyle w:val="af4"/>
            <w:b/>
            <w:bCs/>
          </w:rPr>
          <w:t xml:space="preserve"> </w:t>
        </w:r>
        <w:r w:rsidR="000E58A2" w:rsidRPr="009E4E33">
          <w:rPr>
            <w:rStyle w:val="af4"/>
            <w:b/>
            <w:bCs/>
          </w:rPr>
          <w:t>平均轉乘次數趨勢分析</w:t>
        </w:r>
        <w:r w:rsidR="000E58A2" w:rsidRPr="009E4E33">
          <w:rPr>
            <w:webHidden/>
          </w:rPr>
          <w:tab/>
        </w:r>
        <w:r w:rsidR="000E58A2" w:rsidRPr="009E4E33">
          <w:rPr>
            <w:webHidden/>
          </w:rPr>
          <w:fldChar w:fldCharType="begin"/>
        </w:r>
        <w:r w:rsidR="000E58A2" w:rsidRPr="009E4E33">
          <w:rPr>
            <w:webHidden/>
          </w:rPr>
          <w:instrText xml:space="preserve"> PAGEREF _Toc238609244 \h </w:instrText>
        </w:r>
        <w:r w:rsidR="000E58A2" w:rsidRPr="009E4E33">
          <w:rPr>
            <w:webHidden/>
          </w:rPr>
        </w:r>
        <w:r w:rsidR="000E58A2" w:rsidRPr="009E4E33">
          <w:rPr>
            <w:webHidden/>
          </w:rPr>
          <w:fldChar w:fldCharType="separate"/>
        </w:r>
        <w:r w:rsidR="00EC1F40">
          <w:rPr>
            <w:webHidden/>
          </w:rPr>
          <w:t>29</w:t>
        </w:r>
        <w:r w:rsidR="000E58A2" w:rsidRPr="009E4E33">
          <w:rPr>
            <w:webHidden/>
          </w:rPr>
          <w:fldChar w:fldCharType="end"/>
        </w:r>
      </w:hyperlink>
    </w:p>
    <w:p w14:paraId="23C66FE4" w14:textId="11563342" w:rsidR="000E58A2" w:rsidRPr="00CC68AE" w:rsidRDefault="00214676">
      <w:pPr>
        <w:pStyle w:val="21"/>
        <w:tabs>
          <w:tab w:val="left" w:pos="1200"/>
          <w:tab w:val="right" w:leader="dot" w:pos="8296"/>
        </w:tabs>
        <w:rPr>
          <w:noProof/>
          <w:szCs w:val="24"/>
        </w:rPr>
      </w:pPr>
      <w:hyperlink w:anchor="_Toc238609245" w:history="1">
        <w:r w:rsidR="000E58A2" w:rsidRPr="00CC68AE">
          <w:rPr>
            <w:rStyle w:val="af4"/>
            <w:bCs/>
            <w:noProof/>
          </w:rPr>
          <w:t>4.1</w:t>
        </w:r>
        <w:r w:rsidR="000E58A2" w:rsidRPr="00CC68AE">
          <w:rPr>
            <w:noProof/>
            <w:szCs w:val="24"/>
          </w:rPr>
          <w:tab/>
        </w:r>
        <w:r w:rsidR="000E58A2" w:rsidRPr="00CC68AE">
          <w:rPr>
            <w:rStyle w:val="af4"/>
            <w:bCs/>
            <w:noProof/>
          </w:rPr>
          <w:t>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_Toc238609245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0EBF4F47" w14:textId="1CC6DAA6" w:rsidR="000E58A2" w:rsidRPr="00CC68AE" w:rsidRDefault="00214676">
      <w:pPr>
        <w:pStyle w:val="31"/>
        <w:tabs>
          <w:tab w:val="left" w:pos="1944"/>
          <w:tab w:val="right" w:leader="dot" w:pos="8296"/>
        </w:tabs>
        <w:rPr>
          <w:noProof/>
          <w:szCs w:val="24"/>
        </w:rPr>
      </w:pPr>
      <w:hyperlink w:anchor="_Toc238609246" w:history="1">
        <w:r w:rsidR="000E58A2" w:rsidRPr="00CC68AE">
          <w:rPr>
            <w:rStyle w:val="af4"/>
            <w:bCs/>
            <w:noProof/>
          </w:rPr>
          <w:t>4.1.1</w:t>
        </w:r>
        <w:r w:rsidR="000E58A2" w:rsidRPr="00CC68AE">
          <w:rPr>
            <w:noProof/>
            <w:szCs w:val="24"/>
          </w:rPr>
          <w:tab/>
        </w:r>
        <w:r w:rsidR="000E58A2" w:rsidRPr="00CC68AE">
          <w:rPr>
            <w:rStyle w:val="af4"/>
            <w:bCs/>
            <w:noProof/>
          </w:rPr>
          <w:t>花蓮縣客運平均轉乘次數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_Toc238609246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5C511B47" w14:textId="1948F4BC" w:rsidR="000E58A2" w:rsidRPr="00CC68AE" w:rsidRDefault="00214676">
      <w:pPr>
        <w:pStyle w:val="31"/>
        <w:tabs>
          <w:tab w:val="left" w:pos="1944"/>
          <w:tab w:val="right" w:leader="dot" w:pos="8296"/>
        </w:tabs>
        <w:rPr>
          <w:noProof/>
          <w:szCs w:val="24"/>
        </w:rPr>
      </w:pPr>
      <w:hyperlink w:anchor="_Toc238609247" w:history="1">
        <w:r w:rsidR="000E58A2" w:rsidRPr="00CC68AE">
          <w:rPr>
            <w:rStyle w:val="af4"/>
            <w:bCs/>
            <w:noProof/>
          </w:rPr>
          <w:t>4.1.2</w:t>
        </w:r>
        <w:r w:rsidR="000E58A2" w:rsidRPr="00CC68AE">
          <w:rPr>
            <w:noProof/>
            <w:szCs w:val="24"/>
          </w:rPr>
          <w:tab/>
        </w:r>
        <w:r w:rsidR="000E58A2" w:rsidRPr="00CC68AE">
          <w:rPr>
            <w:rStyle w:val="af4"/>
            <w:bCs/>
            <w:noProof/>
          </w:rPr>
          <w:t>臺東縣客運平均轉乘次數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_Toc238609247 \h </w:instrText>
        </w:r>
        <w:r w:rsidR="000E58A2" w:rsidRPr="00CC68AE">
          <w:rPr>
            <w:noProof/>
            <w:webHidden/>
          </w:rPr>
        </w:r>
        <w:r w:rsidR="000E58A2" w:rsidRPr="00CC68AE">
          <w:rPr>
            <w:noProof/>
            <w:webHidden/>
          </w:rPr>
          <w:fldChar w:fldCharType="separate"/>
        </w:r>
        <w:r w:rsidR="00EC1F40">
          <w:rPr>
            <w:noProof/>
            <w:webHidden/>
          </w:rPr>
          <w:t>31</w:t>
        </w:r>
        <w:r w:rsidR="000E58A2" w:rsidRPr="00CC68AE">
          <w:rPr>
            <w:noProof/>
            <w:webHidden/>
          </w:rPr>
          <w:fldChar w:fldCharType="end"/>
        </w:r>
      </w:hyperlink>
    </w:p>
    <w:p w14:paraId="2E904D62" w14:textId="4F7752D9" w:rsidR="000E58A2" w:rsidRDefault="00214676">
      <w:pPr>
        <w:pStyle w:val="31"/>
        <w:tabs>
          <w:tab w:val="left" w:pos="1944"/>
          <w:tab w:val="right" w:leader="dot" w:pos="8296"/>
        </w:tabs>
        <w:rPr>
          <w:noProof/>
        </w:rPr>
      </w:pPr>
      <w:hyperlink w:anchor="_Toc238609248" w:history="1">
        <w:r w:rsidR="000E58A2" w:rsidRPr="00CC68AE">
          <w:rPr>
            <w:rStyle w:val="af4"/>
            <w:bCs/>
            <w:noProof/>
          </w:rPr>
          <w:t>4.1.3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_Toc238609248 \h </w:instrText>
        </w:r>
        <w:r w:rsidR="000E58A2" w:rsidRPr="00CC68AE">
          <w:rPr>
            <w:noProof/>
            <w:webHidden/>
          </w:rPr>
        </w:r>
        <w:r w:rsidR="000E58A2" w:rsidRPr="00CC68AE">
          <w:rPr>
            <w:noProof/>
            <w:webHidden/>
          </w:rPr>
          <w:fldChar w:fldCharType="separate"/>
        </w:r>
        <w:r w:rsidR="00EC1F40">
          <w:rPr>
            <w:noProof/>
            <w:webHidden/>
          </w:rPr>
          <w:t>32</w:t>
        </w:r>
        <w:r w:rsidR="000E58A2" w:rsidRPr="00CC68AE">
          <w:rPr>
            <w:noProof/>
            <w:webHidden/>
          </w:rPr>
          <w:fldChar w:fldCharType="end"/>
        </w:r>
      </w:hyperlink>
    </w:p>
    <w:p w14:paraId="0DF8E9A7" w14:textId="0FD92D5B" w:rsidR="00EC1F40" w:rsidRPr="00EC1F40" w:rsidRDefault="00EC1F40"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br w:type="page"/>
      </w:r>
      <w:r w:rsidR="00CA16FF"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38609218"/>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38609219"/>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38609220"/>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55CDC004">
            <wp:extent cx="5274310" cy="1758315"/>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315"/>
                    </a:xfrm>
                    <a:prstGeom prst="rect">
                      <a:avLst/>
                    </a:prstGeom>
                  </pic:spPr>
                </pic:pic>
              </a:graphicData>
            </a:graphic>
          </wp:inline>
        </w:drawing>
      </w:r>
    </w:p>
    <w:p w14:paraId="03F7D40C" w14:textId="501CDD7B"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p>
    <w:p w14:paraId="3362058A" w14:textId="0BC9E171"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5</w:t>
      </w:r>
      <w:r w:rsidR="008C0F5A" w:rsidRPr="008C0F5A">
        <w:rPr>
          <w:rFonts w:hint="eastAsia"/>
        </w:rPr>
        <w:t>月的</w:t>
      </w:r>
      <w:r w:rsidR="008C0F5A" w:rsidRPr="008C0F5A">
        <w:rPr>
          <w:rFonts w:hint="eastAsia"/>
        </w:rPr>
        <w:t>16.6%</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38609221"/>
      <w:proofErr w:type="gramStart"/>
      <w:r w:rsidR="00577514" w:rsidRPr="003F2D48">
        <w:rPr>
          <w:rFonts w:eastAsia="標楷體" w:hint="eastAsia"/>
          <w:b/>
          <w:color w:val="auto"/>
          <w:sz w:val="24"/>
          <w:szCs w:val="27"/>
        </w:rPr>
        <w:t>臺</w:t>
      </w:r>
      <w:proofErr w:type="gramEnd"/>
      <w:r w:rsidR="00577514" w:rsidRPr="003F2D48">
        <w:rPr>
          <w:rFonts w:eastAsia="標楷體" w:hint="eastAsia"/>
          <w:b/>
          <w:color w:val="auto"/>
          <w:sz w:val="24"/>
          <w:szCs w:val="27"/>
        </w:rPr>
        <w:t>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7D4DA061">
            <wp:extent cx="5274310" cy="1758315"/>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315"/>
                    </a:xfrm>
                    <a:prstGeom prst="rect">
                      <a:avLst/>
                    </a:prstGeom>
                  </pic:spPr>
                </pic:pic>
              </a:graphicData>
            </a:graphic>
          </wp:inline>
        </w:drawing>
      </w:r>
    </w:p>
    <w:p w14:paraId="1E74D389" w14:textId="5DD141A4"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379A86AF"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577514" w:rsidRPr="00CC68AE">
        <w:t>8</w:t>
      </w:r>
      <w:r w:rsidR="00577514" w:rsidRPr="00CC68AE">
        <w:t>月的</w:t>
      </w:r>
      <w:r w:rsidR="00577514" w:rsidRPr="00CC68AE">
        <w:t>6.7%</w:t>
      </w:r>
      <w:r w:rsidR="003F282A">
        <w:rPr>
          <w:rFonts w:hint="eastAsia"/>
        </w:rPr>
        <w:t>及</w:t>
      </w:r>
      <w:r w:rsidR="00577514" w:rsidRPr="00CC68AE">
        <w:t>113</w:t>
      </w:r>
      <w:r w:rsidR="00577514" w:rsidRPr="00CC68AE">
        <w:t>年</w:t>
      </w:r>
      <w:r w:rsidR="00577514" w:rsidRPr="00CC68AE">
        <w:t>7</w:t>
      </w:r>
      <w:r w:rsidR="00577514" w:rsidRPr="00CC68AE">
        <w:t>月的</w:t>
      </w:r>
      <w:r w:rsidR="00577514" w:rsidRPr="00CC68AE">
        <w:t>7.4%</w:t>
      </w:r>
      <w:r w:rsidR="00577514" w:rsidRPr="00CC68AE">
        <w:t>。從各月份變化來看，非假期月份使用比例多維持在</w:t>
      </w:r>
      <w:r w:rsidR="00577514" w:rsidRPr="00CC68AE">
        <w:t>14%</w:t>
      </w:r>
      <w:r w:rsidR="00577514" w:rsidRPr="00CC68AE">
        <w:t>至</w:t>
      </w:r>
      <w:r w:rsidR="00577514" w:rsidRPr="00CC68AE">
        <w:t>22%</w:t>
      </w:r>
      <w:proofErr w:type="gramStart"/>
      <w:r w:rsidR="00577514" w:rsidRPr="00CC68AE">
        <w:t>之間，</w:t>
      </w:r>
      <w:proofErr w:type="gramEnd"/>
      <w:r w:rsidR="00577514" w:rsidRPr="00CC68AE">
        <w:t>寒暑</w:t>
      </w:r>
      <w:proofErr w:type="gramStart"/>
      <w:r w:rsidR="00577514" w:rsidRPr="00CC68AE">
        <w:t>假期間則大</w:t>
      </w:r>
      <w:proofErr w:type="gramEnd"/>
      <w:r w:rsidR="00577514" w:rsidRPr="00CC68AE">
        <w:t>幅</w:t>
      </w:r>
      <w:r w:rsidR="00577514" w:rsidRPr="00CC68AE">
        <w:rPr>
          <w:rFonts w:hint="eastAsia"/>
        </w:rPr>
        <w:t>下跌</w:t>
      </w:r>
      <w:r w:rsidR="00577514" w:rsidRPr="00CC68AE">
        <w:t>至</w:t>
      </w:r>
      <w:r w:rsidR="00577514" w:rsidRPr="00CC68AE">
        <w:t>10%</w:t>
      </w:r>
      <w:r w:rsidR="00577514" w:rsidRPr="00CC68AE">
        <w:t>以下，推測極易受學生寒暑假放假及通學需求之干擾。整體而言，</w:t>
      </w:r>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38609222"/>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38609223"/>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CC1E03F">
            <wp:extent cx="5274310" cy="1758315"/>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315"/>
                    </a:xfrm>
                    <a:prstGeom prst="rect">
                      <a:avLst/>
                    </a:prstGeom>
                  </pic:spPr>
                </pic:pic>
              </a:graphicData>
            </a:graphic>
          </wp:inline>
        </w:drawing>
      </w:r>
    </w:p>
    <w:p w14:paraId="470DB37D" w14:textId="1A7381D9"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13"/>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4B21AC07"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8C0F5A" w:rsidRPr="008C0F5A">
        <w:rPr>
          <w:rFonts w:hint="eastAsia"/>
        </w:rPr>
        <w:t>1</w:t>
      </w:r>
      <w:r w:rsidR="000F633B">
        <w:rPr>
          <w:rFonts w:hint="eastAsia"/>
        </w:rPr>
        <w:t>2</w:t>
      </w:r>
      <w:r w:rsidR="008C0F5A" w:rsidRPr="008C0F5A">
        <w:rPr>
          <w:rFonts w:hint="eastAsia"/>
        </w:rPr>
        <w:t>月的</w:t>
      </w:r>
      <w:r w:rsidR="008C0F5A" w:rsidRPr="008C0F5A">
        <w:rPr>
          <w:rFonts w:hint="eastAsia"/>
        </w:rPr>
        <w:t>2</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月的</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3.4</w:t>
      </w:r>
      <w:r w:rsidR="008C0F5A" w:rsidRPr="008C0F5A">
        <w:rPr>
          <w:rFonts w:hint="eastAsia"/>
        </w:rPr>
        <w:t>%</w:t>
      </w:r>
      <w:r w:rsidR="008C0F5A" w:rsidRPr="008C0F5A">
        <w:rPr>
          <w:rFonts w:hint="eastAsia"/>
        </w:rPr>
        <w:t>、</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月的</w:t>
      </w:r>
      <w:r w:rsidR="008C0F5A" w:rsidRPr="008C0F5A">
        <w:rPr>
          <w:rFonts w:hint="eastAsia"/>
        </w:rPr>
        <w:t>1</w:t>
      </w:r>
      <w:r w:rsidR="000F633B">
        <w:rPr>
          <w:rFonts w:hint="eastAsia"/>
        </w:rPr>
        <w:t>7.2</w:t>
      </w:r>
      <w:r w:rsidR="008C0F5A" w:rsidRPr="008C0F5A">
        <w:rPr>
          <w:rFonts w:hint="eastAsia"/>
        </w:rPr>
        <w:t>%</w:t>
      </w:r>
      <w:r w:rsidR="008C0F5A" w:rsidRPr="008C0F5A">
        <w:rPr>
          <w:rFonts w:hint="eastAsia"/>
        </w:rPr>
        <w:t>。從各月份變化來看，</w:t>
      </w:r>
      <w:proofErr w:type="gramStart"/>
      <w:r w:rsidR="008C0F5A" w:rsidRPr="008C0F5A">
        <w:rPr>
          <w:rFonts w:hint="eastAsia"/>
        </w:rPr>
        <w:t>兩</w:t>
      </w:r>
      <w:proofErr w:type="gramEnd"/>
      <w:r w:rsidR="008C0F5A" w:rsidRPr="008C0F5A">
        <w:rPr>
          <w:rFonts w:hint="eastAsia"/>
        </w:rPr>
        <w:t>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w:t>
      </w:r>
      <w:r w:rsidR="008C0F5A" w:rsidRPr="008C0F5A">
        <w:rPr>
          <w:rFonts w:hint="eastAsia"/>
        </w:rPr>
        <w:lastRenderedPageBreak/>
        <w:t>出現相似低谷，</w:t>
      </w:r>
      <w:r w:rsidR="008C0F5A" w:rsidRPr="008C0F5A">
        <w:rPr>
          <w:rFonts w:hint="eastAsia"/>
        </w:rPr>
        <w:t>3</w:t>
      </w:r>
      <w:r w:rsidR="008C0F5A" w:rsidRPr="008C0F5A">
        <w:rPr>
          <w:rFonts w:hint="eastAsia"/>
        </w:rPr>
        <w:t>月則回升至</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，顯示</w:t>
      </w:r>
      <w:r w:rsidR="008C0F5A" w:rsidRPr="008C0F5A">
        <w:rPr>
          <w:rFonts w:hint="eastAsia"/>
        </w:rPr>
        <w:t>TPASS</w:t>
      </w:r>
      <w:r w:rsidR="008C0F5A" w:rsidRPr="008C0F5A">
        <w:rPr>
          <w:rFonts w:hint="eastAsia"/>
        </w:rPr>
        <w:t>使用比例受到寒暑假及通學需求變化的影響較為明顯。除寒暑</w:t>
      </w:r>
      <w:proofErr w:type="gramStart"/>
      <w:r w:rsidR="008C0F5A" w:rsidRPr="008C0F5A">
        <w:rPr>
          <w:rFonts w:hint="eastAsia"/>
        </w:rPr>
        <w:t>假期間外</w:t>
      </w:r>
      <w:proofErr w:type="gramEnd"/>
      <w:r w:rsidR="008C0F5A" w:rsidRPr="008C0F5A">
        <w:rPr>
          <w:rFonts w:hint="eastAsia"/>
        </w:rPr>
        <w:t>，其餘月份使用比例多維持在約</w:t>
      </w:r>
      <w:r w:rsidR="008C0F5A" w:rsidRPr="008C0F5A">
        <w:rPr>
          <w:rFonts w:hint="eastAsia"/>
        </w:rPr>
        <w:t>17%</w:t>
      </w:r>
      <w:r w:rsidR="008C0F5A" w:rsidRPr="008C0F5A">
        <w:rPr>
          <w:rFonts w:hint="eastAsia"/>
        </w:rPr>
        <w:t>至</w:t>
      </w:r>
      <w:r w:rsidR="008C0F5A" w:rsidRPr="008C0F5A">
        <w:rPr>
          <w:rFonts w:hint="eastAsia"/>
        </w:rPr>
        <w:t>2</w:t>
      </w:r>
      <w:r w:rsidR="00A157B2">
        <w:rPr>
          <w:rFonts w:hint="eastAsia"/>
        </w:rPr>
        <w:t>5</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38609224"/>
      <w:proofErr w:type="gramStart"/>
      <w:r w:rsidR="00577514" w:rsidRPr="003F282A">
        <w:rPr>
          <w:rFonts w:eastAsia="標楷體" w:hint="eastAsia"/>
          <w:b/>
          <w:color w:val="auto"/>
          <w:sz w:val="24"/>
          <w:szCs w:val="27"/>
        </w:rPr>
        <w:t>臺</w:t>
      </w:r>
      <w:proofErr w:type="gramEnd"/>
      <w:r w:rsidR="00577514" w:rsidRPr="003F282A">
        <w:rPr>
          <w:rFonts w:eastAsia="標楷體" w:hint="eastAsia"/>
          <w:b/>
          <w:color w:val="auto"/>
          <w:sz w:val="24"/>
          <w:szCs w:val="27"/>
        </w:rPr>
        <w:t>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0851F272">
            <wp:extent cx="5274310" cy="1758315"/>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315"/>
                    </a:xfrm>
                    <a:prstGeom prst="rect">
                      <a:avLst/>
                    </a:prstGeom>
                  </pic:spPr>
                </pic:pic>
              </a:graphicData>
            </a:graphic>
          </wp:inline>
        </w:drawing>
      </w:r>
    </w:p>
    <w:p w14:paraId="19E6914E" w14:textId="5B1F1EFF"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1.2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0B3A3FA6"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w:t>
      </w:r>
      <w:proofErr w:type="gramStart"/>
      <w:r w:rsidR="008C0F5A" w:rsidRPr="008C0F5A">
        <w:rPr>
          <w:rFonts w:hint="eastAsia"/>
        </w:rPr>
        <w:t>臺</w:t>
      </w:r>
      <w:proofErr w:type="gramEnd"/>
      <w:r w:rsidR="008C0F5A" w:rsidRPr="008C0F5A">
        <w:rPr>
          <w:rFonts w:hint="eastAsia"/>
        </w:rPr>
        <w:t>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，從</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月的</w:t>
      </w:r>
      <w:r w:rsidR="008C0F5A" w:rsidRPr="008C0F5A">
        <w:rPr>
          <w:rFonts w:hint="eastAsia"/>
        </w:rPr>
        <w:t>27.</w:t>
      </w:r>
      <w:r w:rsidR="00BE4D76">
        <w:rPr>
          <w:rFonts w:hint="eastAsia"/>
        </w:rPr>
        <w:t>8</w:t>
      </w:r>
      <w:r w:rsidR="008C0F5A" w:rsidRPr="008C0F5A">
        <w:rPr>
          <w:rFonts w:hint="eastAsia"/>
        </w:rPr>
        <w:t>%</w:t>
      </w:r>
      <w:r w:rsidR="008C0F5A" w:rsidRPr="008C0F5A">
        <w:rPr>
          <w:rFonts w:hint="eastAsia"/>
        </w:rPr>
        <w:t>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月的</w:t>
      </w:r>
      <w:r w:rsidR="00BE4D76">
        <w:rPr>
          <w:rFonts w:hint="eastAsia"/>
        </w:rPr>
        <w:t>40.8</w:t>
      </w:r>
      <w:r w:rsidR="008C0F5A" w:rsidRPr="008C0F5A">
        <w:rPr>
          <w:rFonts w:hint="eastAsia"/>
        </w:rPr>
        <w:t>%</w:t>
      </w:r>
      <w:r w:rsidR="008C0F5A" w:rsidRPr="008C0F5A">
        <w:rPr>
          <w:rFonts w:hint="eastAsia"/>
        </w:rPr>
        <w:t>，整體明顯提升，但期間仍可觀察到週期性的波動，推測可能受到寒暑假及節慶</w:t>
      </w:r>
      <w:proofErr w:type="gramStart"/>
      <w:r w:rsidR="008C0F5A" w:rsidRPr="008C0F5A">
        <w:rPr>
          <w:rFonts w:hint="eastAsia"/>
        </w:rPr>
        <w:t>期間</w:t>
      </w:r>
      <w:proofErr w:type="gramEnd"/>
      <w:r w:rsidR="008C0F5A" w:rsidRPr="008C0F5A">
        <w:rPr>
          <w:rFonts w:hint="eastAsia"/>
        </w:rPr>
        <w:t>旅運需求變化的影響。除假期期間的低谷外，非假期月份的使用比例亦由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38609225"/>
      <w:r w:rsidRPr="003F282A">
        <w:rPr>
          <w:rFonts w:ascii="Times New Roman" w:eastAsia="標楷體" w:hAnsi="Times New Roman"/>
          <w:b/>
          <w:color w:val="auto"/>
          <w:sz w:val="24"/>
          <w:szCs w:val="27"/>
        </w:rPr>
        <w:t>小結</w:t>
      </w:r>
      <w:bookmarkEnd w:id="16"/>
    </w:p>
    <w:p w14:paraId="510520CB" w14:textId="7777777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proofErr w:type="gramStart"/>
      <w:r w:rsidRPr="0082460F">
        <w:rPr>
          <w:rFonts w:hint="eastAsia"/>
        </w:rPr>
        <w:t>115</w:t>
      </w:r>
      <w:r w:rsidRPr="0082460F">
        <w:rPr>
          <w:rFonts w:hint="eastAsia"/>
        </w:rPr>
        <w:t>年</w:t>
      </w:r>
      <w:r w:rsidRPr="0082460F">
        <w:rPr>
          <w:rFonts w:hint="eastAsia"/>
        </w:rPr>
        <w:t>6</w:t>
      </w:r>
      <w:r w:rsidRPr="0082460F">
        <w:rPr>
          <w:rFonts w:hint="eastAsia"/>
        </w:rPr>
        <w:t>月各運具</w:t>
      </w:r>
      <w:proofErr w:type="gramEnd"/>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w:t>
      </w:r>
      <w:proofErr w:type="gramStart"/>
      <w:r w:rsidRPr="0082460F">
        <w:rPr>
          <w:rFonts w:hint="eastAsia"/>
        </w:rPr>
        <w:t>臺</w:t>
      </w:r>
      <w:proofErr w:type="gramEnd"/>
      <w:r w:rsidRPr="0082460F">
        <w:rPr>
          <w:rFonts w:hint="eastAsia"/>
        </w:rPr>
        <w:t>東縣市區客運則呈現較具規律之波動型態。推測可能與學生通學、日常通勤、寒暑假及觀光旅運需求變化等因素有關。</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使用比例整體均高於市區客運，其中花蓮縣公路客運使用比例多維持於相對穩定區間，臺東縣則呈現較高之使用比例，且部分月份波動幅度較為明顯。此現象顯示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lastRenderedPageBreak/>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38609226"/>
      <w:r w:rsidR="000D6762" w:rsidRPr="00233EE8">
        <w:rPr>
          <w:rFonts w:ascii="Times New Roman" w:eastAsia="標楷體" w:hAnsi="Times New Roman"/>
          <w:b/>
          <w:color w:val="auto"/>
          <w:sz w:val="28"/>
          <w:szCs w:val="28"/>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454AE1F7" w:rsid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proofErr w:type="gramStart"/>
      <w:r w:rsidRPr="00C96867">
        <w:rPr>
          <w:rFonts w:hint="eastAsia"/>
        </w:rPr>
        <w:t>總延人</w:t>
      </w:r>
      <w:proofErr w:type="gramEnd"/>
      <w:r w:rsidRPr="00C96867">
        <w:rPr>
          <w:rFonts w:hint="eastAsia"/>
        </w:rPr>
        <w:t>公里</w:t>
      </w:r>
      <w:r w:rsidRPr="00C96867">
        <w:rPr>
          <w:rFonts w:hint="eastAsia"/>
        </w:rPr>
        <w:t>/</w:t>
      </w:r>
      <w:r w:rsidRPr="00C96867">
        <w:rPr>
          <w:rFonts w:hint="eastAsia"/>
        </w:rPr>
        <w:t>總搭乘人次</w:t>
      </w:r>
    </w:p>
    <w:p w14:paraId="64CB9253" w14:textId="0F8DB4F8" w:rsidR="00803C67" w:rsidRPr="00C96867" w:rsidRDefault="00B8157B" w:rsidP="00B8157B">
      <w:pPr>
        <w:spacing w:beforeLines="50" w:before="180" w:afterLines="50" w:after="180" w:line="400" w:lineRule="exact"/>
        <w:ind w:firstLineChars="200" w:firstLine="480"/>
      </w:pPr>
      <w:proofErr w:type="gramStart"/>
      <w:r>
        <w:t>總延人</w:t>
      </w:r>
      <w:proofErr w:type="gramEnd"/>
      <w:r>
        <w:t>公里與總搭乘人次均以上、下車站牌皆能對應站間距離資料，且下車站累積里程大於上車站之票證紀錄計算，每筆紀錄計為一人次。分析期間可計入里程之紀錄比率為：花蓮縣公路客運</w:t>
      </w:r>
      <w:r>
        <w:t xml:space="preserve"> 93.57%</w:t>
      </w:r>
      <w:r>
        <w:t>、</w:t>
      </w:r>
      <w:proofErr w:type="gramStart"/>
      <w:r>
        <w:t>臺</w:t>
      </w:r>
      <w:proofErr w:type="gramEnd"/>
      <w:r>
        <w:t>東縣公路客運</w:t>
      </w:r>
      <w:r>
        <w:t xml:space="preserve"> 95.82%</w:t>
      </w:r>
      <w:r>
        <w:t>、花蓮縣市區客運</w:t>
      </w:r>
      <w:r>
        <w:t xml:space="preserve"> 93.79%</w:t>
      </w:r>
      <w:r>
        <w:t>、臺東縣市區客運</w:t>
      </w:r>
      <w:r>
        <w:t xml:space="preserve"> 92.52%</w:t>
      </w:r>
      <w:r>
        <w:t>；未能對應站間距離、上下車同站或里程為</w:t>
      </w:r>
      <w:proofErr w:type="gramStart"/>
      <w:r>
        <w:t>負值者不</w:t>
      </w:r>
      <w:proofErr w:type="gramEnd"/>
      <w:r>
        <w:t>納入計算。</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19" w:name="_toc_manual_6"/>
      <w:r w:rsidRPr="00610647">
        <w:rPr>
          <w:rFonts w:ascii="Times New Roman" w:eastAsia="標楷體" w:hAnsi="Times New Roman" w:hint="eastAsia"/>
          <w:b/>
          <w:color w:val="auto"/>
          <w:sz w:val="24"/>
          <w:szCs w:val="27"/>
        </w:rPr>
        <w:t xml:space="preserve"> </w:t>
      </w:r>
      <w:bookmarkStart w:id="20" w:name="_Toc238609227"/>
      <w:r w:rsidR="00E618A5" w:rsidRPr="00610647">
        <w:rPr>
          <w:rFonts w:ascii="Times New Roman" w:eastAsia="標楷體" w:hAnsi="Times New Roman"/>
          <w:b/>
          <w:color w:val="auto"/>
          <w:sz w:val="24"/>
          <w:szCs w:val="27"/>
        </w:rPr>
        <w:t>市區客運平均搭乘里程</w:t>
      </w:r>
      <w:bookmarkEnd w:id="19"/>
      <w:bookmarkEnd w:id="20"/>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1" w:name="_toc_manual_7"/>
      <w:r w:rsidRPr="00610647">
        <w:rPr>
          <w:rFonts w:eastAsia="標楷體" w:hint="eastAsia"/>
          <w:b/>
          <w:color w:val="auto"/>
          <w:sz w:val="24"/>
          <w:szCs w:val="27"/>
        </w:rPr>
        <w:t xml:space="preserve"> </w:t>
      </w:r>
      <w:bookmarkStart w:id="22" w:name="_Toc238609228"/>
      <w:r w:rsidR="00E618A5" w:rsidRPr="00610647">
        <w:rPr>
          <w:rFonts w:eastAsia="標楷體"/>
          <w:b/>
          <w:color w:val="auto"/>
          <w:sz w:val="24"/>
          <w:szCs w:val="27"/>
        </w:rPr>
        <w:t>花蓮縣市區客運平均搭乘里程</w:t>
      </w:r>
      <w:bookmarkEnd w:id="21"/>
      <w:bookmarkEnd w:id="22"/>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77417617">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02734C35" w14:textId="4DEABC15" w:rsidR="00AB33EB" w:rsidRPr="00FE0FB7" w:rsidRDefault="00510EE6" w:rsidP="00FE0FB7">
      <w:pPr>
        <w:pStyle w:val="af7"/>
        <w:spacing w:beforeLines="50" w:before="180" w:afterLines="50" w:after="180" w:line="240" w:lineRule="atLeast"/>
        <w:jc w:val="center"/>
        <w:rPr>
          <w:rFonts w:hint="eastAsia"/>
          <w:sz w:val="24"/>
          <w:szCs w:val="32"/>
        </w:rPr>
      </w:pPr>
      <w:bookmarkStart w:id="23" w:name="_Ref238922545"/>
      <w:r w:rsidRPr="00510EE6">
        <w:rPr>
          <w:rFonts w:hint="eastAsia"/>
          <w:sz w:val="24"/>
          <w:szCs w:val="24"/>
        </w:rPr>
        <w:t>圖</w:t>
      </w:r>
      <w:r w:rsidRPr="00510EE6">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23"/>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月花蓮縣市區客運平均搭乘里程折線圖</w:t>
      </w:r>
      <w:r w:rsidR="00AB33EB">
        <w:rPr>
          <w:rStyle w:val="aff1"/>
          <w:sz w:val="24"/>
          <w:szCs w:val="24"/>
        </w:rPr>
        <w:footnoteReference w:id="1"/>
      </w:r>
    </w:p>
    <w:p w14:paraId="284F7BBF" w14:textId="1DE7FD25" w:rsidR="00C94920" w:rsidRDefault="00510EE6" w:rsidP="00745C10">
      <w:pPr>
        <w:pStyle w:val="Default"/>
        <w:autoSpaceDE/>
        <w:autoSpaceDN/>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00515944">
        <w:t>中</w:t>
      </w:r>
      <w:r w:rsidR="00E53E4B" w:rsidRPr="00E53E4B">
        <w:rPr>
          <w:rFonts w:hint="eastAsia"/>
        </w:rPr>
        <w:t xml:space="preserve">113 </w:t>
      </w:r>
      <w:r w:rsidR="00E53E4B" w:rsidRPr="00E53E4B">
        <w:rPr>
          <w:rFonts w:hint="eastAsia"/>
        </w:rPr>
        <w:t>年</w:t>
      </w:r>
      <w:r w:rsidR="00E53E4B" w:rsidRPr="00E53E4B">
        <w:rPr>
          <w:rFonts w:hint="eastAsia"/>
        </w:rPr>
        <w:t xml:space="preserve"> 6 </w:t>
      </w:r>
      <w:r w:rsidR="00E53E4B" w:rsidRPr="00E53E4B">
        <w:rPr>
          <w:rFonts w:hint="eastAsia"/>
        </w:rPr>
        <w:t>月至</w:t>
      </w:r>
      <w:r w:rsidR="00E53E4B" w:rsidRPr="00E53E4B">
        <w:rPr>
          <w:rFonts w:hint="eastAsia"/>
        </w:rPr>
        <w:t xml:space="preserve"> 115 </w:t>
      </w:r>
      <w:r w:rsidR="00E53E4B" w:rsidRPr="00E53E4B">
        <w:rPr>
          <w:rFonts w:hint="eastAsia"/>
        </w:rPr>
        <w:t>年</w:t>
      </w:r>
      <w:r w:rsidR="00E53E4B" w:rsidRPr="00E53E4B">
        <w:rPr>
          <w:rFonts w:hint="eastAsia"/>
        </w:rPr>
        <w:t xml:space="preserve"> 3 </w:t>
      </w:r>
      <w:r w:rsidR="00E53E4B" w:rsidRPr="00E53E4B">
        <w:rPr>
          <w:rFonts w:hint="eastAsia"/>
        </w:rPr>
        <w:t>月，花蓮縣市區客運平均搭乘里程整體呈下降趨勢</w:t>
      </w:r>
      <w:r w:rsidR="00745C10" w:rsidRPr="00745C10">
        <w:rPr>
          <w:rFonts w:hint="eastAsia"/>
        </w:rPr>
        <w:t>。</w:t>
      </w:r>
    </w:p>
    <w:p w14:paraId="7AB27194" w14:textId="4695327C" w:rsidR="00E53E4B" w:rsidRPr="00750C25" w:rsidRDefault="00E53E4B" w:rsidP="00750C25">
      <w:pPr>
        <w:pStyle w:val="Default"/>
        <w:autoSpaceDE/>
        <w:autoSpaceDN/>
        <w:spacing w:beforeLines="50" w:before="180" w:afterLines="50" w:after="180" w:line="400" w:lineRule="exact"/>
        <w:ind w:firstLineChars="200" w:firstLine="480"/>
        <w:jc w:val="both"/>
        <w:rPr>
          <w:rFonts w:hint="eastAsia"/>
        </w:rPr>
      </w:pPr>
      <w:r>
        <w:lastRenderedPageBreak/>
        <w:t xml:space="preserve">113 </w:t>
      </w:r>
      <w:r>
        <w:t>年</w:t>
      </w:r>
      <w:r>
        <w:t xml:space="preserve"> 11 </w:t>
      </w:r>
      <w:r>
        <w:t>月起</w:t>
      </w:r>
      <w:r w:rsidR="006549DB" w:rsidRPr="006549DB">
        <w:rPr>
          <w:rFonts w:hint="eastAsia"/>
        </w:rPr>
        <w:t>，</w:t>
      </w:r>
      <w:r>
        <w:t>原</w:t>
      </w:r>
      <w:r>
        <w:t xml:space="preserve"> 1123 </w:t>
      </w:r>
      <w:proofErr w:type="gramStart"/>
      <w:r>
        <w:t>路線改號為</w:t>
      </w:r>
      <w:proofErr w:type="gramEnd"/>
      <w:r>
        <w:t xml:space="preserve"> 311 </w:t>
      </w:r>
      <w:r>
        <w:t>及</w:t>
      </w:r>
      <w:r>
        <w:t xml:space="preserve"> 311A </w:t>
      </w:r>
      <w:r>
        <w:t>路線，</w:t>
      </w:r>
      <w:proofErr w:type="gramStart"/>
      <w:r>
        <w:t>改號前</w:t>
      </w:r>
      <w:proofErr w:type="gramEnd"/>
      <w:r>
        <w:t xml:space="preserve"> 1123 </w:t>
      </w:r>
      <w:r>
        <w:t>路線因缺乏站間距離資料，相關搭乘紀錄未納入里程計算；</w:t>
      </w:r>
      <w:proofErr w:type="gramStart"/>
      <w:r>
        <w:t>改號後</w:t>
      </w:r>
      <w:proofErr w:type="gramEnd"/>
      <w:r>
        <w:t xml:space="preserve"> 311</w:t>
      </w:r>
      <w:r>
        <w:t>、</w:t>
      </w:r>
      <w:r>
        <w:t xml:space="preserve">311A </w:t>
      </w:r>
      <w:r>
        <w:t>路線開始納入統計，使原本未計入的短程旅次進入平均里程計算，進而對整體平均值產生下修影響。</w:t>
      </w:r>
    </w:p>
    <w:p w14:paraId="2FD84308" w14:textId="16E72FDE" w:rsidR="00C21189" w:rsidRPr="00B8157B" w:rsidRDefault="00E53E4B" w:rsidP="00C21189">
      <w:pPr>
        <w:pStyle w:val="Default"/>
        <w:autoSpaceDE/>
        <w:autoSpaceDN/>
        <w:spacing w:beforeLines="50" w:before="180" w:afterLines="50" w:after="180" w:line="400" w:lineRule="exact"/>
        <w:ind w:firstLineChars="200" w:firstLine="480"/>
        <w:jc w:val="both"/>
        <w:rPr>
          <w:rFonts w:hint="eastAsia"/>
          <w:color w:val="auto"/>
          <w:szCs w:val="27"/>
        </w:rPr>
      </w:pPr>
      <w:r w:rsidRPr="00E53E4B">
        <w:rPr>
          <w:rFonts w:hint="eastAsia"/>
        </w:rPr>
        <w:t>另因</w:t>
      </w:r>
      <w:r w:rsidR="00515944">
        <w:t>115</w:t>
      </w:r>
      <w:r w:rsidR="00515944">
        <w:t>年</w:t>
      </w:r>
      <w:r w:rsidR="00515944">
        <w:t>4</w:t>
      </w:r>
      <w:r w:rsidR="00515944">
        <w:t>月至</w:t>
      </w:r>
      <w:r w:rsidR="00515944">
        <w:t>6</w:t>
      </w:r>
      <w:r w:rsidR="00515944">
        <w:t>月因太魯閣客運未提交票證資料至平</w:t>
      </w:r>
      <w:proofErr w:type="gramStart"/>
      <w:r w:rsidR="00515944">
        <w:t>臺</w:t>
      </w:r>
      <w:proofErr w:type="gramEnd"/>
      <w:r w:rsidR="00515944">
        <w:t>、資料不完整，長程路線</w:t>
      </w:r>
      <w:r w:rsidR="00515944">
        <w:t>301</w:t>
      </w:r>
      <w:r w:rsidR="00515944">
        <w:t>及</w:t>
      </w:r>
      <w:r w:rsidR="00515944">
        <w:t>303</w:t>
      </w:r>
      <w:r w:rsidR="00515944">
        <w:t>缺</w:t>
      </w:r>
      <w:r w:rsidR="007212EF">
        <w:rPr>
          <w:rFonts w:hint="eastAsia"/>
        </w:rPr>
        <w:t>漏</w:t>
      </w:r>
      <w:r w:rsidR="00515944">
        <w:t>，</w:t>
      </w:r>
      <w:r w:rsidR="00C21189" w:rsidRPr="00C21189">
        <w:rPr>
          <w:rFonts w:hint="eastAsia"/>
        </w:rPr>
        <w:t>使該期間平均里程降至</w:t>
      </w:r>
      <w:r w:rsidR="00515944">
        <w:t>8.4</w:t>
      </w:r>
      <w:r w:rsidR="00515944">
        <w:t>至</w:t>
      </w:r>
      <w:r w:rsidR="00515944">
        <w:t>11.4</w:t>
      </w:r>
      <w:r w:rsidR="00515944">
        <w:t>公里</w:t>
      </w:r>
      <w:r w:rsidR="00C21189" w:rsidRPr="00C21189">
        <w:rPr>
          <w:rFonts w:hint="eastAsia"/>
        </w:rPr>
        <w:t>。由於此期間的路線組成與前期不同，相關數值不宜直接作為旅次距離下降的依據。</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4" w:name="_toc_manual_8"/>
      <w:r w:rsidRPr="00610647">
        <w:rPr>
          <w:rFonts w:eastAsia="標楷體" w:hint="eastAsia"/>
          <w:b/>
          <w:color w:val="auto"/>
          <w:sz w:val="24"/>
          <w:szCs w:val="27"/>
        </w:rPr>
        <w:t xml:space="preserve"> </w:t>
      </w:r>
      <w:bookmarkStart w:id="25" w:name="_Toc238609229"/>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東縣市區客運平均搭乘里程</w:t>
      </w:r>
      <w:bookmarkEnd w:id="24"/>
      <w:bookmarkEnd w:id="25"/>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6C0BBF17">
            <wp:extent cx="5274310" cy="1758103"/>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103"/>
                    </a:xfrm>
                    <a:prstGeom prst="rect">
                      <a:avLst/>
                    </a:prstGeom>
                  </pic:spPr>
                </pic:pic>
              </a:graphicData>
            </a:graphic>
          </wp:inline>
        </w:drawing>
      </w:r>
    </w:p>
    <w:p w14:paraId="5CE558B6" w14:textId="504B554D" w:rsidR="00E618A5" w:rsidRPr="00510EE6" w:rsidRDefault="00510EE6" w:rsidP="00BC43A4">
      <w:pPr>
        <w:pStyle w:val="af7"/>
        <w:spacing w:beforeLines="50" w:before="180" w:afterLines="50" w:after="180" w:line="240" w:lineRule="atLeast"/>
        <w:jc w:val="center"/>
        <w:rPr>
          <w:sz w:val="24"/>
          <w:szCs w:val="32"/>
        </w:rPr>
      </w:pPr>
      <w:bookmarkStart w:id="26" w:name="_Ref238922733"/>
      <w:r w:rsidRPr="00510EE6">
        <w:rPr>
          <w:rFonts w:hint="eastAsia"/>
          <w:sz w:val="24"/>
          <w:szCs w:val="24"/>
        </w:rPr>
        <w:t>圖</w:t>
      </w:r>
      <w:r w:rsidRPr="00510EE6">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26"/>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10A57E7F" w14:textId="720CA1A3" w:rsidR="00C21189" w:rsidRDefault="00510EE6" w:rsidP="00C21189">
      <w:pPr>
        <w:pStyle w:val="Default"/>
        <w:spacing w:beforeLines="50" w:before="180" w:afterLines="50" w:after="180" w:line="400" w:lineRule="exact"/>
        <w:ind w:firstLineChars="200" w:firstLine="480"/>
        <w:jc w:val="both"/>
      </w:pP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005D2C57">
        <w:rPr>
          <w:rFonts w:hint="eastAsia"/>
          <w:color w:val="auto"/>
          <w:szCs w:val="27"/>
        </w:rPr>
        <w:t xml:space="preserve"> </w:t>
      </w:r>
      <w:proofErr w:type="gramStart"/>
      <w:r w:rsidR="006549DB" w:rsidRPr="006549DB">
        <w:rPr>
          <w:rFonts w:hint="eastAsia"/>
        </w:rPr>
        <w:t>臺</w:t>
      </w:r>
      <w:proofErr w:type="gramEnd"/>
      <w:r w:rsidR="006549DB" w:rsidRPr="006549DB">
        <w:rPr>
          <w:rFonts w:hint="eastAsia"/>
        </w:rPr>
        <w:t>東縣市區客運平均搭乘里程在研究期間主要介於</w:t>
      </w:r>
      <w:r w:rsidR="006549DB" w:rsidRPr="006549DB">
        <w:rPr>
          <w:rFonts w:hint="eastAsia"/>
        </w:rPr>
        <w:t xml:space="preserve"> 6.5 </w:t>
      </w:r>
      <w:r w:rsidR="006549DB" w:rsidRPr="006549DB">
        <w:rPr>
          <w:rFonts w:hint="eastAsia"/>
        </w:rPr>
        <w:t>至</w:t>
      </w:r>
      <w:r w:rsidR="006549DB" w:rsidRPr="006549DB">
        <w:rPr>
          <w:rFonts w:hint="eastAsia"/>
        </w:rPr>
        <w:t xml:space="preserve"> 8.0 </w:t>
      </w:r>
      <w:r w:rsidR="006549DB" w:rsidRPr="006549DB">
        <w:rPr>
          <w:rFonts w:hint="eastAsia"/>
        </w:rPr>
        <w:t>公里，整體變化幅度有限。每年</w:t>
      </w:r>
      <w:r w:rsidR="006549DB" w:rsidRPr="006549DB">
        <w:rPr>
          <w:rFonts w:hint="eastAsia"/>
        </w:rPr>
        <w:t xml:space="preserve"> 6 </w:t>
      </w:r>
      <w:r w:rsidR="006549DB" w:rsidRPr="006549DB">
        <w:rPr>
          <w:rFonts w:hint="eastAsia"/>
        </w:rPr>
        <w:t>月至</w:t>
      </w:r>
      <w:r w:rsidR="006549DB" w:rsidRPr="006549DB">
        <w:rPr>
          <w:rFonts w:hint="eastAsia"/>
        </w:rPr>
        <w:t xml:space="preserve"> 10 </w:t>
      </w:r>
      <w:r w:rsidR="006549DB" w:rsidRPr="006549DB">
        <w:rPr>
          <w:rFonts w:hint="eastAsia"/>
        </w:rPr>
        <w:t>月多維持在</w:t>
      </w:r>
      <w:r w:rsidR="006549DB" w:rsidRPr="006549DB">
        <w:rPr>
          <w:rFonts w:hint="eastAsia"/>
        </w:rPr>
        <w:t xml:space="preserve"> 7.3 </w:t>
      </w:r>
      <w:r w:rsidR="006549DB" w:rsidRPr="006549DB">
        <w:rPr>
          <w:rFonts w:hint="eastAsia"/>
        </w:rPr>
        <w:t>至</w:t>
      </w:r>
      <w:r w:rsidR="006549DB" w:rsidRPr="006549DB">
        <w:rPr>
          <w:rFonts w:hint="eastAsia"/>
        </w:rPr>
        <w:t xml:space="preserve"> 8.0 </w:t>
      </w:r>
      <w:r w:rsidR="006549DB" w:rsidRPr="006549DB">
        <w:rPr>
          <w:rFonts w:hint="eastAsia"/>
        </w:rPr>
        <w:t>公里，</w:t>
      </w:r>
      <w:r w:rsidR="006549DB" w:rsidRPr="006549DB">
        <w:rPr>
          <w:rFonts w:hint="eastAsia"/>
        </w:rPr>
        <w:t xml:space="preserve">11 </w:t>
      </w:r>
      <w:r w:rsidR="006549DB" w:rsidRPr="006549DB">
        <w:rPr>
          <w:rFonts w:hint="eastAsia"/>
        </w:rPr>
        <w:t>月至翌年</w:t>
      </w:r>
      <w:r w:rsidR="006549DB" w:rsidRPr="006549DB">
        <w:rPr>
          <w:rFonts w:hint="eastAsia"/>
        </w:rPr>
        <w:t xml:space="preserve"> 3 </w:t>
      </w:r>
      <w:r w:rsidR="006549DB" w:rsidRPr="006549DB">
        <w:rPr>
          <w:rFonts w:hint="eastAsia"/>
        </w:rPr>
        <w:t>月則多介於</w:t>
      </w:r>
      <w:r w:rsidR="006549DB" w:rsidRPr="006549DB">
        <w:rPr>
          <w:rFonts w:hint="eastAsia"/>
        </w:rPr>
        <w:t xml:space="preserve"> 6.5 </w:t>
      </w:r>
      <w:r w:rsidR="006549DB" w:rsidRPr="006549DB">
        <w:rPr>
          <w:rFonts w:hint="eastAsia"/>
        </w:rPr>
        <w:t>至</w:t>
      </w:r>
      <w:r w:rsidR="006549DB" w:rsidRPr="006549DB">
        <w:rPr>
          <w:rFonts w:hint="eastAsia"/>
        </w:rPr>
        <w:t xml:space="preserve"> 7.4 </w:t>
      </w:r>
      <w:r w:rsidR="006549DB" w:rsidRPr="006549DB">
        <w:rPr>
          <w:rFonts w:hint="eastAsia"/>
        </w:rPr>
        <w:t>公里，</w:t>
      </w:r>
      <w:r w:rsidR="006549DB" w:rsidRPr="006549DB">
        <w:rPr>
          <w:rFonts w:hint="eastAsia"/>
        </w:rPr>
        <w:t xml:space="preserve">115 </w:t>
      </w:r>
      <w:r w:rsidR="006549DB" w:rsidRPr="006549DB">
        <w:rPr>
          <w:rFonts w:hint="eastAsia"/>
        </w:rPr>
        <w:t>年</w:t>
      </w:r>
      <w:r w:rsidR="006549DB" w:rsidRPr="006549DB">
        <w:rPr>
          <w:rFonts w:hint="eastAsia"/>
        </w:rPr>
        <w:t xml:space="preserve"> 4 </w:t>
      </w:r>
      <w:r w:rsidR="006549DB" w:rsidRPr="006549DB">
        <w:rPr>
          <w:rFonts w:hint="eastAsia"/>
        </w:rPr>
        <w:t>月至</w:t>
      </w:r>
      <w:r w:rsidR="006549DB" w:rsidRPr="006549DB">
        <w:rPr>
          <w:rFonts w:hint="eastAsia"/>
        </w:rPr>
        <w:t xml:space="preserve"> 6 </w:t>
      </w:r>
      <w:r w:rsidR="006549DB" w:rsidRPr="006549DB">
        <w:rPr>
          <w:rFonts w:hint="eastAsia"/>
        </w:rPr>
        <w:t>月回升至約</w:t>
      </w:r>
      <w:r w:rsidR="006549DB" w:rsidRPr="006549DB">
        <w:rPr>
          <w:rFonts w:hint="eastAsia"/>
        </w:rPr>
        <w:t xml:space="preserve"> 7.7 </w:t>
      </w:r>
      <w:r w:rsidR="006549DB" w:rsidRPr="006549DB">
        <w:rPr>
          <w:rFonts w:hint="eastAsia"/>
        </w:rPr>
        <w:t>公里，整體仍維持在相對穩定的里程區間</w:t>
      </w:r>
      <w:r w:rsidR="00C21189">
        <w:rPr>
          <w:rFonts w:hint="eastAsia"/>
        </w:rPr>
        <w:t>。</w:t>
      </w:r>
    </w:p>
    <w:p w14:paraId="37F27F84" w14:textId="4EE64767" w:rsidR="00C21189" w:rsidRDefault="006549DB" w:rsidP="00C21189">
      <w:pPr>
        <w:pStyle w:val="Default"/>
        <w:spacing w:beforeLines="50" w:before="180" w:afterLines="50" w:after="180" w:line="400" w:lineRule="exact"/>
        <w:ind w:firstLineChars="200" w:firstLine="480"/>
        <w:jc w:val="both"/>
        <w:rPr>
          <w:rFonts w:hint="eastAsia"/>
        </w:rPr>
      </w:pPr>
      <w:proofErr w:type="gramStart"/>
      <w:r w:rsidRPr="006549DB">
        <w:rPr>
          <w:rFonts w:hint="eastAsia"/>
        </w:rPr>
        <w:t>從月別變化</w:t>
      </w:r>
      <w:proofErr w:type="gramEnd"/>
      <w:r w:rsidRPr="006549DB">
        <w:rPr>
          <w:rFonts w:hint="eastAsia"/>
        </w:rPr>
        <w:t>來看，平均搭乘里程具有一定的季節性特徵，夏季通常略高，進入冬季後則相對下降。部分月份的短期變化可能與假期、觀光活動及通勤</w:t>
      </w:r>
      <w:proofErr w:type="gramStart"/>
      <w:r w:rsidRPr="006549DB">
        <w:rPr>
          <w:rFonts w:hint="eastAsia"/>
        </w:rPr>
        <w:t>需求等旅運</w:t>
      </w:r>
      <w:proofErr w:type="gramEnd"/>
      <w:r w:rsidRPr="006549DB">
        <w:rPr>
          <w:rFonts w:hint="eastAsia"/>
        </w:rPr>
        <w:t>因素有關，使平均搭乘距離在不同時期產生些微起伏</w:t>
      </w:r>
      <w:r w:rsidR="00C21189">
        <w:rPr>
          <w:rFonts w:hint="eastAsia"/>
        </w:rPr>
        <w:t>。</w:t>
      </w:r>
    </w:p>
    <w:p w14:paraId="79F45978" w14:textId="7B895485" w:rsidR="00510EE6" w:rsidRDefault="006549DB" w:rsidP="00C21189">
      <w:pPr>
        <w:pStyle w:val="Default"/>
        <w:autoSpaceDE/>
        <w:autoSpaceDN/>
        <w:spacing w:beforeLines="50" w:before="180" w:afterLines="50" w:after="180" w:line="400" w:lineRule="exact"/>
        <w:ind w:firstLineChars="200" w:firstLine="480"/>
        <w:jc w:val="both"/>
        <w:rPr>
          <w:color w:val="auto"/>
          <w:szCs w:val="27"/>
        </w:rPr>
      </w:pPr>
      <w:r w:rsidRPr="006549DB">
        <w:rPr>
          <w:rFonts w:hint="eastAsia"/>
        </w:rPr>
        <w:t>各月份的變化大致維持在固定範圍內，並未形成持續性的上升或下降趨勢。整體而言，</w:t>
      </w:r>
      <w:proofErr w:type="gramStart"/>
      <w:r w:rsidRPr="006549DB">
        <w:rPr>
          <w:rFonts w:hint="eastAsia"/>
        </w:rPr>
        <w:t>臺</w:t>
      </w:r>
      <w:proofErr w:type="gramEnd"/>
      <w:r w:rsidRPr="006549DB">
        <w:rPr>
          <w:rFonts w:hint="eastAsia"/>
        </w:rPr>
        <w:t>東縣市區客運的平均旅次距離結構維持穩定，研究期間主要呈現季節性波動，而非明顯的長期變化</w:t>
      </w:r>
      <w:r w:rsidR="00990B83">
        <w:t>。</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7" w:name="_toc_manual_9"/>
      <w:r w:rsidRPr="00610647">
        <w:rPr>
          <w:rFonts w:eastAsia="標楷體" w:hint="eastAsia"/>
          <w:b/>
          <w:color w:val="auto"/>
          <w:sz w:val="24"/>
          <w:szCs w:val="27"/>
        </w:rPr>
        <w:t xml:space="preserve"> </w:t>
      </w:r>
      <w:bookmarkStart w:id="28" w:name="_Toc238609230"/>
      <w:r w:rsidR="00E618A5" w:rsidRPr="00610647">
        <w:rPr>
          <w:rFonts w:eastAsia="標楷體"/>
          <w:b/>
          <w:color w:val="auto"/>
          <w:sz w:val="24"/>
          <w:szCs w:val="27"/>
        </w:rPr>
        <w:t>小結</w:t>
      </w:r>
      <w:bookmarkEnd w:id="27"/>
      <w:bookmarkEnd w:id="28"/>
    </w:p>
    <w:p w14:paraId="310E0E6D" w14:textId="0B465773" w:rsidR="006549DB" w:rsidRPr="006549DB" w:rsidRDefault="006549DB" w:rsidP="006549DB">
      <w:pPr>
        <w:pStyle w:val="Default"/>
        <w:spacing w:beforeLines="50" w:before="180" w:afterLines="50" w:after="180" w:line="400" w:lineRule="exact"/>
        <w:ind w:firstLineChars="200" w:firstLine="480"/>
        <w:jc w:val="both"/>
        <w:rPr>
          <w:rFonts w:cs="標楷體" w:hint="eastAsia"/>
          <w:color w:val="auto"/>
          <w:szCs w:val="27"/>
        </w:rPr>
      </w:pPr>
      <w:r w:rsidRPr="006549DB">
        <w:rPr>
          <w:rFonts w:cs="標楷體" w:hint="eastAsia"/>
          <w:color w:val="auto"/>
          <w:szCs w:val="27"/>
        </w:rPr>
        <w:t>花蓮縣市區客運平均搭乘里程在研究期間呈現較明顯的下降趨勢，</w:t>
      </w:r>
      <w:r w:rsidRPr="006549DB">
        <w:rPr>
          <w:rFonts w:cs="標楷體" w:hint="eastAsia"/>
          <w:color w:val="auto"/>
          <w:szCs w:val="27"/>
        </w:rPr>
        <w:t xml:space="preserve">113 </w:t>
      </w:r>
      <w:r w:rsidRPr="006549DB">
        <w:rPr>
          <w:rFonts w:cs="標楷體" w:hint="eastAsia"/>
          <w:color w:val="auto"/>
          <w:szCs w:val="27"/>
        </w:rPr>
        <w:t>年</w:t>
      </w:r>
      <w:r w:rsidRPr="006549DB">
        <w:rPr>
          <w:rFonts w:cs="標楷體" w:hint="eastAsia"/>
          <w:color w:val="auto"/>
          <w:szCs w:val="27"/>
        </w:rPr>
        <w:t xml:space="preserve"> 11 </w:t>
      </w:r>
      <w:r w:rsidRPr="006549DB">
        <w:rPr>
          <w:rFonts w:cs="標楷體" w:hint="eastAsia"/>
          <w:color w:val="auto"/>
          <w:szCs w:val="27"/>
        </w:rPr>
        <w:t>月的路線</w:t>
      </w:r>
      <w:proofErr w:type="gramStart"/>
      <w:r w:rsidRPr="006549DB">
        <w:rPr>
          <w:rFonts w:cs="標楷體" w:hint="eastAsia"/>
          <w:color w:val="auto"/>
          <w:szCs w:val="27"/>
        </w:rPr>
        <w:t>改號使</w:t>
      </w:r>
      <w:proofErr w:type="gramEnd"/>
      <w:r w:rsidRPr="006549DB">
        <w:rPr>
          <w:rFonts w:cs="標楷體" w:hint="eastAsia"/>
          <w:color w:val="auto"/>
          <w:szCs w:val="27"/>
        </w:rPr>
        <w:t xml:space="preserve"> 311</w:t>
      </w:r>
      <w:r w:rsidRPr="006549DB">
        <w:rPr>
          <w:rFonts w:cs="標楷體" w:hint="eastAsia"/>
          <w:color w:val="auto"/>
          <w:szCs w:val="27"/>
        </w:rPr>
        <w:t>、</w:t>
      </w:r>
      <w:r w:rsidRPr="006549DB">
        <w:rPr>
          <w:rFonts w:cs="標楷體" w:hint="eastAsia"/>
          <w:color w:val="auto"/>
          <w:szCs w:val="27"/>
        </w:rPr>
        <w:t xml:space="preserve">311A </w:t>
      </w:r>
      <w:r w:rsidRPr="006549DB">
        <w:rPr>
          <w:rFonts w:cs="標楷體" w:hint="eastAsia"/>
          <w:color w:val="auto"/>
          <w:szCs w:val="27"/>
        </w:rPr>
        <w:t>路線開始納入統計，其中短程旅次的加入對平均里程產生下修效果。即使考量路線改制造成的資料組成變化，平均里程仍由</w:t>
      </w:r>
      <w:r w:rsidRPr="006549DB">
        <w:rPr>
          <w:rFonts w:cs="標楷體" w:hint="eastAsia"/>
          <w:color w:val="auto"/>
          <w:szCs w:val="27"/>
        </w:rPr>
        <w:t xml:space="preserve"> 113 </w:t>
      </w:r>
      <w:r w:rsidRPr="006549DB">
        <w:rPr>
          <w:rFonts w:cs="標楷體" w:hint="eastAsia"/>
          <w:color w:val="auto"/>
          <w:szCs w:val="27"/>
        </w:rPr>
        <w:lastRenderedPageBreak/>
        <w:t>年</w:t>
      </w:r>
      <w:r w:rsidRPr="006549DB">
        <w:rPr>
          <w:rFonts w:cs="標楷體" w:hint="eastAsia"/>
          <w:color w:val="auto"/>
          <w:szCs w:val="27"/>
        </w:rPr>
        <w:t xml:space="preserve"> 6 </w:t>
      </w:r>
      <w:r w:rsidRPr="006549DB">
        <w:rPr>
          <w:rFonts w:cs="標楷體" w:hint="eastAsia"/>
          <w:color w:val="auto"/>
          <w:szCs w:val="27"/>
        </w:rPr>
        <w:t>月的</w:t>
      </w:r>
      <w:r w:rsidRPr="006549DB">
        <w:rPr>
          <w:rFonts w:cs="標楷體" w:hint="eastAsia"/>
          <w:color w:val="auto"/>
          <w:szCs w:val="27"/>
        </w:rPr>
        <w:t xml:space="preserve"> 17.6 </w:t>
      </w:r>
      <w:r w:rsidRPr="006549DB">
        <w:rPr>
          <w:rFonts w:cs="標楷體" w:hint="eastAsia"/>
          <w:color w:val="auto"/>
          <w:szCs w:val="27"/>
        </w:rPr>
        <w:t>公里下降至</w:t>
      </w:r>
      <w:r w:rsidRPr="006549DB">
        <w:rPr>
          <w:rFonts w:cs="標楷體" w:hint="eastAsia"/>
          <w:color w:val="auto"/>
          <w:szCs w:val="27"/>
        </w:rPr>
        <w:t xml:space="preserve"> 115 </w:t>
      </w:r>
      <w:r w:rsidRPr="006549DB">
        <w:rPr>
          <w:rFonts w:cs="標楷體" w:hint="eastAsia"/>
          <w:color w:val="auto"/>
          <w:szCs w:val="27"/>
        </w:rPr>
        <w:t>年</w:t>
      </w:r>
      <w:r w:rsidRPr="006549DB">
        <w:rPr>
          <w:rFonts w:cs="標楷體" w:hint="eastAsia"/>
          <w:color w:val="auto"/>
          <w:szCs w:val="27"/>
        </w:rPr>
        <w:t xml:space="preserve"> 3 </w:t>
      </w:r>
      <w:r w:rsidRPr="006549DB">
        <w:rPr>
          <w:rFonts w:cs="標楷體" w:hint="eastAsia"/>
          <w:color w:val="auto"/>
          <w:szCs w:val="27"/>
        </w:rPr>
        <w:t>月的</w:t>
      </w:r>
      <w:r w:rsidRPr="006549DB">
        <w:rPr>
          <w:rFonts w:cs="標楷體" w:hint="eastAsia"/>
          <w:color w:val="auto"/>
          <w:szCs w:val="27"/>
        </w:rPr>
        <w:t xml:space="preserve"> 11.6 </w:t>
      </w:r>
      <w:r w:rsidRPr="006549DB">
        <w:rPr>
          <w:rFonts w:cs="標楷體" w:hint="eastAsia"/>
          <w:color w:val="auto"/>
          <w:szCs w:val="27"/>
        </w:rPr>
        <w:t>公里，顯示旅次距離結構確實有所縮短。</w:t>
      </w:r>
    </w:p>
    <w:p w14:paraId="1DE02495" w14:textId="5E777A7A" w:rsidR="006549DB" w:rsidRPr="006549DB" w:rsidRDefault="006549DB" w:rsidP="006549DB">
      <w:pPr>
        <w:pStyle w:val="Default"/>
        <w:spacing w:beforeLines="50" w:before="180" w:afterLines="50" w:after="180" w:line="400" w:lineRule="exact"/>
        <w:ind w:firstLineChars="200" w:firstLine="480"/>
        <w:jc w:val="both"/>
        <w:rPr>
          <w:rFonts w:cs="標楷體" w:hint="eastAsia"/>
          <w:color w:val="auto"/>
          <w:szCs w:val="27"/>
        </w:rPr>
      </w:pPr>
      <w:proofErr w:type="gramStart"/>
      <w:r w:rsidRPr="006549DB">
        <w:rPr>
          <w:rFonts w:cs="標楷體" w:hint="eastAsia"/>
          <w:color w:val="auto"/>
          <w:szCs w:val="27"/>
        </w:rPr>
        <w:t>臺</w:t>
      </w:r>
      <w:proofErr w:type="gramEnd"/>
      <w:r w:rsidRPr="006549DB">
        <w:rPr>
          <w:rFonts w:cs="標楷體" w:hint="eastAsia"/>
          <w:color w:val="auto"/>
          <w:szCs w:val="27"/>
        </w:rPr>
        <w:t>東縣市區客運則維持在</w:t>
      </w:r>
      <w:r w:rsidRPr="006549DB">
        <w:rPr>
          <w:rFonts w:cs="標楷體" w:hint="eastAsia"/>
          <w:color w:val="auto"/>
          <w:szCs w:val="27"/>
        </w:rPr>
        <w:t xml:space="preserve"> 6.5 </w:t>
      </w:r>
      <w:r w:rsidRPr="006549DB">
        <w:rPr>
          <w:rFonts w:cs="標楷體" w:hint="eastAsia"/>
          <w:color w:val="auto"/>
          <w:szCs w:val="27"/>
        </w:rPr>
        <w:t>至</w:t>
      </w:r>
      <w:r w:rsidRPr="006549DB">
        <w:rPr>
          <w:rFonts w:cs="標楷體" w:hint="eastAsia"/>
          <w:color w:val="auto"/>
          <w:szCs w:val="27"/>
        </w:rPr>
        <w:t xml:space="preserve"> 8.0 </w:t>
      </w:r>
      <w:r w:rsidRPr="006549DB">
        <w:rPr>
          <w:rFonts w:cs="標楷體" w:hint="eastAsia"/>
          <w:color w:val="auto"/>
          <w:szCs w:val="27"/>
        </w:rPr>
        <w:t>公里的區間，主要呈現夏季略高、冬季略低的季節性起伏，整體未出現明顯的長期趨勢。</w:t>
      </w:r>
    </w:p>
    <w:p w14:paraId="0A8E681B" w14:textId="75191640" w:rsidR="00CA04E8" w:rsidRPr="00C21189" w:rsidRDefault="006549DB" w:rsidP="006549DB">
      <w:pPr>
        <w:pStyle w:val="Default"/>
        <w:autoSpaceDE/>
        <w:autoSpaceDN/>
        <w:spacing w:beforeLines="50" w:before="180" w:afterLines="50" w:after="180" w:line="400" w:lineRule="exact"/>
        <w:ind w:firstLineChars="200" w:firstLine="480"/>
        <w:jc w:val="both"/>
        <w:rPr>
          <w:rFonts w:cs="標楷體"/>
          <w:color w:val="auto"/>
          <w:szCs w:val="27"/>
        </w:rPr>
      </w:pPr>
      <w:proofErr w:type="gramStart"/>
      <w:r w:rsidRPr="006549DB">
        <w:rPr>
          <w:rFonts w:cs="標楷體" w:hint="eastAsia"/>
          <w:color w:val="auto"/>
          <w:szCs w:val="27"/>
        </w:rPr>
        <w:t>此外，</w:t>
      </w:r>
      <w:proofErr w:type="gramEnd"/>
      <w:r w:rsidRPr="006549DB">
        <w:rPr>
          <w:rFonts w:cs="標楷體" w:hint="eastAsia"/>
          <w:color w:val="auto"/>
          <w:szCs w:val="27"/>
        </w:rPr>
        <w:t>花蓮縣</w:t>
      </w:r>
      <w:r w:rsidRPr="006549DB">
        <w:rPr>
          <w:rFonts w:cs="標楷體" w:hint="eastAsia"/>
          <w:color w:val="auto"/>
          <w:szCs w:val="27"/>
        </w:rPr>
        <w:t xml:space="preserve"> 115 </w:t>
      </w:r>
      <w:r w:rsidRPr="006549DB">
        <w:rPr>
          <w:rFonts w:cs="標楷體" w:hint="eastAsia"/>
          <w:color w:val="auto"/>
          <w:szCs w:val="27"/>
        </w:rPr>
        <w:t>年</w:t>
      </w:r>
      <w:r w:rsidRPr="006549DB">
        <w:rPr>
          <w:rFonts w:cs="標楷體" w:hint="eastAsia"/>
          <w:color w:val="auto"/>
          <w:szCs w:val="27"/>
        </w:rPr>
        <w:t xml:space="preserve"> 4 </w:t>
      </w:r>
      <w:r w:rsidRPr="006549DB">
        <w:rPr>
          <w:rFonts w:cs="標楷體" w:hint="eastAsia"/>
          <w:color w:val="auto"/>
          <w:szCs w:val="27"/>
        </w:rPr>
        <w:t>月至</w:t>
      </w:r>
      <w:r w:rsidRPr="006549DB">
        <w:rPr>
          <w:rFonts w:cs="標楷體" w:hint="eastAsia"/>
          <w:color w:val="auto"/>
          <w:szCs w:val="27"/>
        </w:rPr>
        <w:t xml:space="preserve"> 6 </w:t>
      </w:r>
      <w:r w:rsidRPr="006549DB">
        <w:rPr>
          <w:rFonts w:cs="標楷體" w:hint="eastAsia"/>
          <w:color w:val="auto"/>
          <w:szCs w:val="27"/>
        </w:rPr>
        <w:t>月受到太魯閣客運資料缺漏影響，相關月份的平均里程受到資料涵蓋範圍變化影響，因此不宜直接納入前後期趨勢判讀</w:t>
      </w:r>
      <w:r w:rsidR="00C21189" w:rsidRPr="00C21189">
        <w:rPr>
          <w:rFonts w:cs="標楷體" w:hint="eastAsia"/>
          <w:color w:val="auto"/>
          <w:szCs w:val="27"/>
        </w:rPr>
        <w:t>。</w:t>
      </w:r>
    </w:p>
    <w:p w14:paraId="205F4FC1" w14:textId="518D3CE6"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9" w:name="_toc_manual_10"/>
      <w:r w:rsidRPr="00610647">
        <w:rPr>
          <w:rFonts w:ascii="Times New Roman" w:eastAsia="標楷體" w:hAnsi="Times New Roman" w:hint="eastAsia"/>
          <w:b/>
          <w:color w:val="auto"/>
          <w:sz w:val="24"/>
          <w:szCs w:val="27"/>
        </w:rPr>
        <w:t xml:space="preserve"> </w:t>
      </w:r>
      <w:bookmarkStart w:id="30" w:name="_Toc238609231"/>
      <w:r w:rsidR="00E618A5" w:rsidRPr="00610647">
        <w:rPr>
          <w:rFonts w:ascii="Times New Roman" w:eastAsia="標楷體" w:hAnsi="Times New Roman"/>
          <w:b/>
          <w:color w:val="auto"/>
          <w:sz w:val="24"/>
          <w:szCs w:val="27"/>
        </w:rPr>
        <w:t>公路客運平均搭乘里程</w:t>
      </w:r>
      <w:bookmarkEnd w:id="29"/>
      <w:bookmarkEnd w:id="30"/>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1" w:name="_toc_manual_11"/>
      <w:r w:rsidRPr="00610647">
        <w:rPr>
          <w:rFonts w:eastAsia="標楷體" w:hint="eastAsia"/>
          <w:b/>
          <w:color w:val="auto"/>
          <w:sz w:val="24"/>
          <w:szCs w:val="27"/>
        </w:rPr>
        <w:t xml:space="preserve"> </w:t>
      </w:r>
      <w:bookmarkStart w:id="32" w:name="_Toc238609232"/>
      <w:r w:rsidR="00E618A5" w:rsidRPr="00610647">
        <w:rPr>
          <w:rFonts w:eastAsia="標楷體"/>
          <w:b/>
          <w:color w:val="auto"/>
          <w:sz w:val="24"/>
          <w:szCs w:val="27"/>
        </w:rPr>
        <w:t>花蓮縣公路客運平均搭乘里程</w:t>
      </w:r>
      <w:bookmarkEnd w:id="31"/>
      <w:bookmarkEnd w:id="32"/>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63BF5223">
            <wp:extent cx="5274310" cy="1758103"/>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103"/>
                    </a:xfrm>
                    <a:prstGeom prst="rect">
                      <a:avLst/>
                    </a:prstGeom>
                  </pic:spPr>
                </pic:pic>
              </a:graphicData>
            </a:graphic>
          </wp:inline>
        </w:drawing>
      </w:r>
    </w:p>
    <w:p w14:paraId="64626A38" w14:textId="1541E663" w:rsidR="00E618A5" w:rsidRPr="004C432E" w:rsidRDefault="004C432E" w:rsidP="00BC43A4">
      <w:pPr>
        <w:pStyle w:val="af7"/>
        <w:spacing w:beforeLines="50" w:before="180" w:afterLines="50" w:after="180" w:line="240" w:lineRule="atLeast"/>
        <w:jc w:val="center"/>
        <w:rPr>
          <w:sz w:val="24"/>
          <w:szCs w:val="32"/>
        </w:rPr>
      </w:pPr>
      <w:bookmarkStart w:id="33" w:name="_Ref238923253"/>
      <w:r w:rsidRPr="004C432E">
        <w:rPr>
          <w:rFonts w:hint="eastAsia"/>
          <w:sz w:val="24"/>
          <w:szCs w:val="24"/>
        </w:rPr>
        <w:t>圖</w:t>
      </w:r>
      <w:r w:rsidRPr="004C432E">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33"/>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DE6ED66" w14:textId="5E7C706B" w:rsidR="006549DB" w:rsidRPr="006549DB" w:rsidRDefault="004C432E" w:rsidP="006549DB">
      <w:pPr>
        <w:pStyle w:val="Default"/>
        <w:spacing w:beforeLines="50" w:before="180" w:afterLines="50" w:after="180" w:line="400" w:lineRule="exact"/>
        <w:ind w:firstLineChars="200" w:firstLine="480"/>
        <w:jc w:val="both"/>
        <w:rPr>
          <w:rFonts w:hint="eastAsia"/>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00750C25">
        <w:rPr>
          <w:rFonts w:hint="eastAsia"/>
          <w:color w:val="auto"/>
          <w:szCs w:val="27"/>
        </w:rPr>
        <w:t xml:space="preserve"> </w:t>
      </w:r>
      <w:r w:rsidRPr="004C432E">
        <w:rPr>
          <w:rFonts w:hint="eastAsia"/>
          <w:color w:val="auto"/>
          <w:szCs w:val="27"/>
        </w:rPr>
        <w:t>顯示，</w:t>
      </w:r>
      <w:r w:rsidR="006549DB" w:rsidRPr="006549DB">
        <w:rPr>
          <w:rFonts w:hint="eastAsia"/>
          <w:color w:val="auto"/>
          <w:szCs w:val="27"/>
        </w:rPr>
        <w:t>花蓮縣公路客運平均搭乘里程在</w:t>
      </w:r>
      <w:r w:rsidR="006549DB" w:rsidRPr="006549DB">
        <w:rPr>
          <w:rFonts w:hint="eastAsia"/>
          <w:color w:val="auto"/>
          <w:szCs w:val="27"/>
        </w:rPr>
        <w:t xml:space="preserve"> 113 </w:t>
      </w:r>
      <w:r w:rsidR="006549DB" w:rsidRPr="006549DB">
        <w:rPr>
          <w:rFonts w:hint="eastAsia"/>
          <w:color w:val="auto"/>
          <w:szCs w:val="27"/>
        </w:rPr>
        <w:t>年</w:t>
      </w:r>
      <w:r w:rsidR="006549DB" w:rsidRPr="006549DB">
        <w:rPr>
          <w:rFonts w:hint="eastAsia"/>
          <w:color w:val="auto"/>
          <w:szCs w:val="27"/>
        </w:rPr>
        <w:t xml:space="preserve"> 6 </w:t>
      </w:r>
      <w:r w:rsidR="006549DB" w:rsidRPr="006549DB">
        <w:rPr>
          <w:rFonts w:hint="eastAsia"/>
          <w:color w:val="auto"/>
          <w:szCs w:val="27"/>
        </w:rPr>
        <w:t>月至</w:t>
      </w:r>
      <w:r w:rsidR="006549DB" w:rsidRPr="006549DB">
        <w:rPr>
          <w:rFonts w:hint="eastAsia"/>
          <w:color w:val="auto"/>
          <w:szCs w:val="27"/>
        </w:rPr>
        <w:t xml:space="preserve"> 115 </w:t>
      </w:r>
      <w:r w:rsidR="006549DB" w:rsidRPr="006549DB">
        <w:rPr>
          <w:rFonts w:hint="eastAsia"/>
          <w:color w:val="auto"/>
          <w:szCs w:val="27"/>
        </w:rPr>
        <w:t>年</w:t>
      </w:r>
      <w:r w:rsidR="006549DB" w:rsidRPr="006549DB">
        <w:rPr>
          <w:rFonts w:hint="eastAsia"/>
          <w:color w:val="auto"/>
          <w:szCs w:val="27"/>
        </w:rPr>
        <w:t xml:space="preserve"> 6 </w:t>
      </w:r>
      <w:r w:rsidR="006549DB" w:rsidRPr="006549DB">
        <w:rPr>
          <w:rFonts w:hint="eastAsia"/>
          <w:color w:val="auto"/>
          <w:szCs w:val="27"/>
        </w:rPr>
        <w:t>月期間主要介於</w:t>
      </w:r>
      <w:r w:rsidR="006549DB" w:rsidRPr="006549DB">
        <w:rPr>
          <w:rFonts w:hint="eastAsia"/>
          <w:color w:val="auto"/>
          <w:szCs w:val="27"/>
        </w:rPr>
        <w:t xml:space="preserve"> 20.2 </w:t>
      </w:r>
      <w:r w:rsidR="006549DB" w:rsidRPr="006549DB">
        <w:rPr>
          <w:rFonts w:hint="eastAsia"/>
          <w:color w:val="auto"/>
          <w:szCs w:val="27"/>
        </w:rPr>
        <w:t>至</w:t>
      </w:r>
      <w:r w:rsidR="006549DB" w:rsidRPr="006549DB">
        <w:rPr>
          <w:rFonts w:hint="eastAsia"/>
          <w:color w:val="auto"/>
          <w:szCs w:val="27"/>
        </w:rPr>
        <w:t xml:space="preserve"> 23.6 </w:t>
      </w:r>
      <w:r w:rsidR="006549DB" w:rsidRPr="006549DB">
        <w:rPr>
          <w:rFonts w:hint="eastAsia"/>
          <w:color w:val="auto"/>
          <w:szCs w:val="27"/>
        </w:rPr>
        <w:t>公里，</w:t>
      </w:r>
      <w:proofErr w:type="gramStart"/>
      <w:r w:rsidR="006549DB" w:rsidRPr="006549DB">
        <w:rPr>
          <w:rFonts w:hint="eastAsia"/>
          <w:color w:val="auto"/>
          <w:szCs w:val="27"/>
        </w:rPr>
        <w:t>月別雖</w:t>
      </w:r>
      <w:proofErr w:type="gramEnd"/>
      <w:r w:rsidR="006549DB" w:rsidRPr="006549DB">
        <w:rPr>
          <w:rFonts w:hint="eastAsia"/>
          <w:color w:val="auto"/>
          <w:szCs w:val="27"/>
        </w:rPr>
        <w:t>有一定程度的波動，但整體未呈現明確的長期上升或下降趨勢，平均旅次距離大致維持在穩定區間。</w:t>
      </w:r>
    </w:p>
    <w:p w14:paraId="6741A576" w14:textId="619CAB6D" w:rsidR="006549DB" w:rsidRPr="006549DB" w:rsidRDefault="006549DB" w:rsidP="006549DB">
      <w:pPr>
        <w:pStyle w:val="Default"/>
        <w:spacing w:beforeLines="50" w:before="180" w:afterLines="50" w:after="180" w:line="400" w:lineRule="exact"/>
        <w:ind w:firstLineChars="200" w:firstLine="480"/>
        <w:jc w:val="both"/>
        <w:rPr>
          <w:rFonts w:hint="eastAsia"/>
          <w:color w:val="auto"/>
          <w:szCs w:val="27"/>
        </w:rPr>
      </w:pPr>
      <w:r w:rsidRPr="006549DB">
        <w:rPr>
          <w:rFonts w:hint="eastAsia"/>
          <w:color w:val="auto"/>
          <w:szCs w:val="27"/>
        </w:rPr>
        <w:t>研究期間的較高值主要集中於暑假及部分寒假、春節月份。</w:t>
      </w:r>
      <w:r w:rsidRPr="006549DB">
        <w:rPr>
          <w:rFonts w:hint="eastAsia"/>
          <w:color w:val="auto"/>
          <w:szCs w:val="27"/>
        </w:rPr>
        <w:t xml:space="preserve">113 </w:t>
      </w:r>
      <w:r w:rsidRPr="006549DB">
        <w:rPr>
          <w:rFonts w:hint="eastAsia"/>
          <w:color w:val="auto"/>
          <w:szCs w:val="27"/>
        </w:rPr>
        <w:t>年及</w:t>
      </w:r>
      <w:r w:rsidRPr="006549DB">
        <w:rPr>
          <w:rFonts w:hint="eastAsia"/>
          <w:color w:val="auto"/>
          <w:szCs w:val="27"/>
        </w:rPr>
        <w:t xml:space="preserve"> 114 </w:t>
      </w:r>
      <w:r w:rsidRPr="006549DB">
        <w:rPr>
          <w:rFonts w:hint="eastAsia"/>
          <w:color w:val="auto"/>
          <w:szCs w:val="27"/>
        </w:rPr>
        <w:t>年</w:t>
      </w:r>
      <w:r w:rsidRPr="006549DB">
        <w:rPr>
          <w:rFonts w:hint="eastAsia"/>
          <w:color w:val="auto"/>
          <w:szCs w:val="27"/>
        </w:rPr>
        <w:t xml:space="preserve"> 7</w:t>
      </w:r>
      <w:r w:rsidRPr="006549DB">
        <w:rPr>
          <w:rFonts w:hint="eastAsia"/>
          <w:color w:val="auto"/>
          <w:szCs w:val="27"/>
        </w:rPr>
        <w:t>、</w:t>
      </w:r>
      <w:r w:rsidRPr="006549DB">
        <w:rPr>
          <w:rFonts w:hint="eastAsia"/>
          <w:color w:val="auto"/>
          <w:szCs w:val="27"/>
        </w:rPr>
        <w:t xml:space="preserve">8 </w:t>
      </w:r>
      <w:r w:rsidRPr="006549DB">
        <w:rPr>
          <w:rFonts w:hint="eastAsia"/>
          <w:color w:val="auto"/>
          <w:szCs w:val="27"/>
        </w:rPr>
        <w:t>月的平均里程皆維持在約</w:t>
      </w:r>
      <w:r w:rsidRPr="006549DB">
        <w:rPr>
          <w:rFonts w:hint="eastAsia"/>
          <w:color w:val="auto"/>
          <w:szCs w:val="27"/>
        </w:rPr>
        <w:t xml:space="preserve"> 23 </w:t>
      </w:r>
      <w:r w:rsidRPr="006549DB">
        <w:rPr>
          <w:rFonts w:hint="eastAsia"/>
          <w:color w:val="auto"/>
          <w:szCs w:val="27"/>
        </w:rPr>
        <w:t>公里以上，</w:t>
      </w:r>
      <w:r w:rsidRPr="006549DB">
        <w:rPr>
          <w:rFonts w:hint="eastAsia"/>
          <w:color w:val="auto"/>
          <w:szCs w:val="27"/>
        </w:rPr>
        <w:t xml:space="preserve">114 </w:t>
      </w:r>
      <w:r w:rsidRPr="006549DB">
        <w:rPr>
          <w:rFonts w:hint="eastAsia"/>
          <w:color w:val="auto"/>
          <w:szCs w:val="27"/>
        </w:rPr>
        <w:t>年</w:t>
      </w:r>
      <w:r w:rsidRPr="006549DB">
        <w:rPr>
          <w:rFonts w:hint="eastAsia"/>
          <w:color w:val="auto"/>
          <w:szCs w:val="27"/>
        </w:rPr>
        <w:t xml:space="preserve"> 1 </w:t>
      </w:r>
      <w:r w:rsidRPr="006549DB">
        <w:rPr>
          <w:rFonts w:hint="eastAsia"/>
          <w:color w:val="auto"/>
          <w:szCs w:val="27"/>
        </w:rPr>
        <w:t>月及</w:t>
      </w:r>
      <w:r w:rsidRPr="006549DB">
        <w:rPr>
          <w:rFonts w:hint="eastAsia"/>
          <w:color w:val="auto"/>
          <w:szCs w:val="27"/>
        </w:rPr>
        <w:t xml:space="preserve"> 115 </w:t>
      </w:r>
      <w:r w:rsidRPr="006549DB">
        <w:rPr>
          <w:rFonts w:hint="eastAsia"/>
          <w:color w:val="auto"/>
          <w:szCs w:val="27"/>
        </w:rPr>
        <w:t>年</w:t>
      </w:r>
      <w:r w:rsidRPr="006549DB">
        <w:rPr>
          <w:rFonts w:hint="eastAsia"/>
          <w:color w:val="auto"/>
          <w:szCs w:val="27"/>
        </w:rPr>
        <w:t xml:space="preserve"> 2 </w:t>
      </w:r>
      <w:r w:rsidRPr="006549DB">
        <w:rPr>
          <w:rFonts w:hint="eastAsia"/>
          <w:color w:val="auto"/>
          <w:szCs w:val="27"/>
        </w:rPr>
        <w:t>月亦出現相對較高的數值，顯示特定假期期間可能有較多長距離旅次，使平均搭乘距離有所增加。</w:t>
      </w:r>
    </w:p>
    <w:p w14:paraId="14C850A6" w14:textId="40D6B484" w:rsidR="004C432E" w:rsidRPr="00C21189" w:rsidRDefault="006549DB" w:rsidP="006549DB">
      <w:pPr>
        <w:pStyle w:val="Default"/>
        <w:autoSpaceDE/>
        <w:autoSpaceDN/>
        <w:spacing w:beforeLines="50" w:before="180" w:afterLines="50" w:after="180" w:line="400" w:lineRule="exact"/>
        <w:ind w:firstLineChars="200" w:firstLine="480"/>
        <w:jc w:val="both"/>
        <w:rPr>
          <w:color w:val="auto"/>
          <w:szCs w:val="27"/>
        </w:rPr>
      </w:pPr>
      <w:r w:rsidRPr="006549DB">
        <w:rPr>
          <w:rFonts w:hint="eastAsia"/>
          <w:color w:val="auto"/>
          <w:szCs w:val="27"/>
        </w:rPr>
        <w:t>其餘月份多落在</w:t>
      </w:r>
      <w:r w:rsidRPr="006549DB">
        <w:rPr>
          <w:rFonts w:hint="eastAsia"/>
          <w:color w:val="auto"/>
          <w:szCs w:val="27"/>
        </w:rPr>
        <w:t xml:space="preserve"> 20.2 </w:t>
      </w:r>
      <w:r w:rsidRPr="006549DB">
        <w:rPr>
          <w:rFonts w:hint="eastAsia"/>
          <w:color w:val="auto"/>
          <w:szCs w:val="27"/>
        </w:rPr>
        <w:t>至</w:t>
      </w:r>
      <w:r w:rsidRPr="006549DB">
        <w:rPr>
          <w:rFonts w:hint="eastAsia"/>
          <w:color w:val="auto"/>
          <w:szCs w:val="27"/>
        </w:rPr>
        <w:t xml:space="preserve"> 22.5 </w:t>
      </w:r>
      <w:r w:rsidRPr="006549DB">
        <w:rPr>
          <w:rFonts w:hint="eastAsia"/>
          <w:color w:val="auto"/>
          <w:szCs w:val="27"/>
        </w:rPr>
        <w:t>公里之間，月別變化主要維持於一定範圍內。花蓮縣公路客運的平均旅次距離結構相對穩定，暑假及部分假期的短期波動較為明顯，但尚未形成持續性的長期變化</w:t>
      </w:r>
      <w:r w:rsidR="00490174" w:rsidRPr="00490174">
        <w:rPr>
          <w:rFonts w:hint="eastAsia"/>
          <w:color w:val="auto"/>
          <w:szCs w:val="27"/>
        </w:rPr>
        <w:t>。</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4" w:name="_toc_manual_12"/>
      <w:r w:rsidRPr="00610647">
        <w:rPr>
          <w:rFonts w:eastAsia="標楷體" w:hint="eastAsia"/>
          <w:b/>
          <w:color w:val="auto"/>
          <w:sz w:val="24"/>
          <w:szCs w:val="27"/>
        </w:rPr>
        <w:lastRenderedPageBreak/>
        <w:t xml:space="preserve"> </w:t>
      </w:r>
      <w:bookmarkStart w:id="35" w:name="_Toc238609233"/>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東縣公路客運平均搭乘里程</w:t>
      </w:r>
      <w:bookmarkEnd w:id="34"/>
      <w:bookmarkEnd w:id="35"/>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60D4FE6F">
            <wp:extent cx="5274310" cy="1758103"/>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103"/>
                    </a:xfrm>
                    <a:prstGeom prst="rect">
                      <a:avLst/>
                    </a:prstGeom>
                  </pic:spPr>
                </pic:pic>
              </a:graphicData>
            </a:graphic>
          </wp:inline>
        </w:drawing>
      </w:r>
    </w:p>
    <w:p w14:paraId="29AEAF6D" w14:textId="11C538C6" w:rsidR="00E618A5" w:rsidRPr="004C432E" w:rsidRDefault="004C432E" w:rsidP="00BC43A4">
      <w:pPr>
        <w:pStyle w:val="af7"/>
        <w:spacing w:beforeLines="50" w:before="180" w:afterLines="50" w:after="180" w:line="240" w:lineRule="atLeast"/>
        <w:jc w:val="center"/>
        <w:rPr>
          <w:sz w:val="24"/>
          <w:szCs w:val="32"/>
        </w:rPr>
      </w:pPr>
      <w:bookmarkStart w:id="36" w:name="_Ref238923367"/>
      <w:r w:rsidRPr="004C432E">
        <w:rPr>
          <w:rFonts w:hint="eastAsia"/>
          <w:sz w:val="24"/>
          <w:szCs w:val="24"/>
        </w:rPr>
        <w:t>圖</w:t>
      </w:r>
      <w:r w:rsidRPr="004C432E">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2.2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36"/>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r w:rsidR="00AB33EB">
        <w:rPr>
          <w:rStyle w:val="aff1"/>
          <w:sz w:val="24"/>
          <w:szCs w:val="24"/>
        </w:rPr>
        <w:footnoteReference w:id="2"/>
      </w:r>
    </w:p>
    <w:p w14:paraId="5FFD5577" w14:textId="04017E54" w:rsidR="006549DB" w:rsidRDefault="00152057" w:rsidP="006549DB">
      <w:pPr>
        <w:pStyle w:val="Default"/>
        <w:spacing w:beforeLines="50" w:before="180" w:afterLines="50" w:after="180" w:line="400" w:lineRule="exact"/>
        <w:ind w:firstLineChars="200" w:firstLine="480"/>
        <w:jc w:val="both"/>
        <w:rPr>
          <w:rFonts w:hint="eastAsia"/>
        </w:rPr>
      </w:pP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proofErr w:type="gramStart"/>
      <w:r w:rsidR="006549DB">
        <w:rPr>
          <w:rFonts w:hint="eastAsia"/>
        </w:rPr>
        <w:t>臺</w:t>
      </w:r>
      <w:proofErr w:type="gramEnd"/>
      <w:r w:rsidR="006549DB">
        <w:rPr>
          <w:rFonts w:hint="eastAsia"/>
        </w:rPr>
        <w:t>東縣公路客運平均搭乘里程在研究期間主要介於</w:t>
      </w:r>
      <w:r w:rsidR="006549DB">
        <w:rPr>
          <w:rFonts w:hint="eastAsia"/>
        </w:rPr>
        <w:t xml:space="preserve"> 21.2 </w:t>
      </w:r>
      <w:r w:rsidR="006549DB">
        <w:rPr>
          <w:rFonts w:hint="eastAsia"/>
        </w:rPr>
        <w:t>至</w:t>
      </w:r>
      <w:r w:rsidR="006549DB">
        <w:rPr>
          <w:rFonts w:hint="eastAsia"/>
        </w:rPr>
        <w:t xml:space="preserve"> 27.8 </w:t>
      </w:r>
      <w:r w:rsidR="006549DB">
        <w:rPr>
          <w:rFonts w:hint="eastAsia"/>
        </w:rPr>
        <w:t>公里，</w:t>
      </w:r>
      <w:proofErr w:type="gramStart"/>
      <w:r w:rsidR="006549DB">
        <w:rPr>
          <w:rFonts w:hint="eastAsia"/>
        </w:rPr>
        <w:t>月別變化</w:t>
      </w:r>
      <w:proofErr w:type="gramEnd"/>
      <w:r w:rsidR="006549DB">
        <w:rPr>
          <w:rFonts w:hint="eastAsia"/>
        </w:rPr>
        <w:t>較為明顯，但整體仍維持在一定的里程範圍內。研究期間的高點主要集中於暑假，</w:t>
      </w:r>
      <w:r w:rsidR="006549DB">
        <w:rPr>
          <w:rFonts w:hint="eastAsia"/>
        </w:rPr>
        <w:t xml:space="preserve">113 </w:t>
      </w:r>
      <w:r w:rsidR="006549DB">
        <w:rPr>
          <w:rFonts w:hint="eastAsia"/>
        </w:rPr>
        <w:t>年</w:t>
      </w:r>
      <w:r w:rsidR="006549DB">
        <w:rPr>
          <w:rFonts w:hint="eastAsia"/>
        </w:rPr>
        <w:t xml:space="preserve"> 7</w:t>
      </w:r>
      <w:r w:rsidR="006549DB">
        <w:rPr>
          <w:rFonts w:hint="eastAsia"/>
        </w:rPr>
        <w:t>、</w:t>
      </w:r>
      <w:r w:rsidR="006549DB">
        <w:rPr>
          <w:rFonts w:hint="eastAsia"/>
        </w:rPr>
        <w:t xml:space="preserve">8 </w:t>
      </w:r>
      <w:r w:rsidR="006549DB">
        <w:rPr>
          <w:rFonts w:hint="eastAsia"/>
        </w:rPr>
        <w:t>月分別為</w:t>
      </w:r>
      <w:r w:rsidR="006549DB">
        <w:rPr>
          <w:rFonts w:hint="eastAsia"/>
        </w:rPr>
        <w:t xml:space="preserve"> 26.5 </w:t>
      </w:r>
      <w:r w:rsidR="006549DB">
        <w:rPr>
          <w:rFonts w:hint="eastAsia"/>
        </w:rPr>
        <w:t>及</w:t>
      </w:r>
      <w:r w:rsidR="006549DB">
        <w:rPr>
          <w:rFonts w:hint="eastAsia"/>
        </w:rPr>
        <w:t xml:space="preserve"> 27.8 </w:t>
      </w:r>
      <w:r w:rsidR="006549DB">
        <w:rPr>
          <w:rFonts w:hint="eastAsia"/>
        </w:rPr>
        <w:t>公里，</w:t>
      </w:r>
      <w:r w:rsidR="006549DB">
        <w:rPr>
          <w:rFonts w:hint="eastAsia"/>
        </w:rPr>
        <w:t xml:space="preserve">114 </w:t>
      </w:r>
      <w:r w:rsidR="006549DB">
        <w:rPr>
          <w:rFonts w:hint="eastAsia"/>
        </w:rPr>
        <w:t>年同期則為</w:t>
      </w:r>
      <w:r w:rsidR="006549DB">
        <w:rPr>
          <w:rFonts w:hint="eastAsia"/>
        </w:rPr>
        <w:t xml:space="preserve"> 25.5 </w:t>
      </w:r>
      <w:r w:rsidR="006549DB">
        <w:rPr>
          <w:rFonts w:hint="eastAsia"/>
        </w:rPr>
        <w:t>及</w:t>
      </w:r>
      <w:r w:rsidR="006549DB">
        <w:rPr>
          <w:rFonts w:hint="eastAsia"/>
        </w:rPr>
        <w:t xml:space="preserve"> 26.7 </w:t>
      </w:r>
      <w:r w:rsidR="006549DB">
        <w:rPr>
          <w:rFonts w:hint="eastAsia"/>
        </w:rPr>
        <w:t>公里，連續兩年的暑期皆呈現較高的平均搭乘里程。</w:t>
      </w:r>
    </w:p>
    <w:p w14:paraId="58F6993D" w14:textId="5664006F" w:rsidR="006549DB" w:rsidRDefault="006549DB" w:rsidP="006549DB">
      <w:pPr>
        <w:pStyle w:val="Default"/>
        <w:spacing w:beforeLines="50" w:before="180" w:afterLines="50" w:after="180" w:line="400" w:lineRule="exact"/>
        <w:ind w:firstLineChars="200" w:firstLine="480"/>
        <w:jc w:val="both"/>
        <w:rPr>
          <w:rFonts w:hint="eastAsia"/>
        </w:rPr>
      </w:pPr>
      <w:r>
        <w:rPr>
          <w:rFonts w:hint="eastAsia"/>
        </w:rPr>
        <w:t>除暑期外，多數月份約介於</w:t>
      </w:r>
      <w:r>
        <w:rPr>
          <w:rFonts w:hint="eastAsia"/>
        </w:rPr>
        <w:t xml:space="preserve"> 21.2 </w:t>
      </w:r>
      <w:r>
        <w:rPr>
          <w:rFonts w:hint="eastAsia"/>
        </w:rPr>
        <w:t>至</w:t>
      </w:r>
      <w:r>
        <w:rPr>
          <w:rFonts w:hint="eastAsia"/>
        </w:rPr>
        <w:t xml:space="preserve"> 24.9 </w:t>
      </w:r>
      <w:r>
        <w:rPr>
          <w:rFonts w:hint="eastAsia"/>
        </w:rPr>
        <w:t>公里，顯示一般月份的平均旅次距離大致穩定。</w:t>
      </w:r>
      <w:r>
        <w:rPr>
          <w:rFonts w:hint="eastAsia"/>
        </w:rPr>
        <w:t xml:space="preserve">115 </w:t>
      </w:r>
      <w:r>
        <w:rPr>
          <w:rFonts w:hint="eastAsia"/>
        </w:rPr>
        <w:t>年</w:t>
      </w:r>
      <w:r>
        <w:rPr>
          <w:rFonts w:hint="eastAsia"/>
        </w:rPr>
        <w:t xml:space="preserve"> 6 </w:t>
      </w:r>
      <w:r>
        <w:rPr>
          <w:rFonts w:hint="eastAsia"/>
        </w:rPr>
        <w:t>月為</w:t>
      </w:r>
      <w:r>
        <w:rPr>
          <w:rFonts w:hint="eastAsia"/>
        </w:rPr>
        <w:t xml:space="preserve"> 22.1 </w:t>
      </w:r>
      <w:r>
        <w:rPr>
          <w:rFonts w:hint="eastAsia"/>
        </w:rPr>
        <w:t>公里，雖較研究初期的</w:t>
      </w:r>
      <w:r>
        <w:rPr>
          <w:rFonts w:hint="eastAsia"/>
        </w:rPr>
        <w:t xml:space="preserve"> 113 </w:t>
      </w:r>
      <w:r>
        <w:rPr>
          <w:rFonts w:hint="eastAsia"/>
        </w:rPr>
        <w:t>年</w:t>
      </w:r>
      <w:r>
        <w:rPr>
          <w:rFonts w:hint="eastAsia"/>
        </w:rPr>
        <w:t xml:space="preserve"> 6 </w:t>
      </w:r>
      <w:r>
        <w:rPr>
          <w:rFonts w:hint="eastAsia"/>
        </w:rPr>
        <w:t>月</w:t>
      </w:r>
      <w:r>
        <w:rPr>
          <w:rFonts w:hint="eastAsia"/>
        </w:rPr>
        <w:t xml:space="preserve"> 24.6 </w:t>
      </w:r>
      <w:r>
        <w:rPr>
          <w:rFonts w:hint="eastAsia"/>
        </w:rPr>
        <w:t>公里略低，但目前</w:t>
      </w:r>
      <w:proofErr w:type="gramStart"/>
      <w:r>
        <w:rPr>
          <w:rFonts w:hint="eastAsia"/>
        </w:rPr>
        <w:t>的月別變化</w:t>
      </w:r>
      <w:proofErr w:type="gramEnd"/>
      <w:r>
        <w:rPr>
          <w:rFonts w:hint="eastAsia"/>
        </w:rPr>
        <w:t>仍以區間波動為主，尚未形成明確的長期下降趨勢。</w:t>
      </w:r>
    </w:p>
    <w:p w14:paraId="4556F86A" w14:textId="6585BB01" w:rsidR="006549DB" w:rsidRDefault="006549DB" w:rsidP="006549DB">
      <w:pPr>
        <w:pStyle w:val="Default"/>
        <w:spacing w:beforeLines="50" w:before="180" w:afterLines="50" w:after="180" w:line="400" w:lineRule="exact"/>
        <w:ind w:firstLineChars="200" w:firstLine="480"/>
        <w:jc w:val="both"/>
        <w:rPr>
          <w:rFonts w:hint="eastAsia"/>
        </w:rPr>
      </w:pPr>
      <w:r>
        <w:rPr>
          <w:rFonts w:hint="eastAsia"/>
        </w:rPr>
        <w:t xml:space="preserve">114 </w:t>
      </w:r>
      <w:r>
        <w:rPr>
          <w:rFonts w:hint="eastAsia"/>
        </w:rPr>
        <w:t>年</w:t>
      </w:r>
      <w:r>
        <w:rPr>
          <w:rFonts w:hint="eastAsia"/>
        </w:rPr>
        <w:t xml:space="preserve"> 11 </w:t>
      </w:r>
      <w:r>
        <w:rPr>
          <w:rFonts w:hint="eastAsia"/>
        </w:rPr>
        <w:t>月平均搭乘里程達</w:t>
      </w:r>
      <w:r>
        <w:rPr>
          <w:rFonts w:hint="eastAsia"/>
        </w:rPr>
        <w:t xml:space="preserve"> 30.6 </w:t>
      </w:r>
      <w:r>
        <w:rPr>
          <w:rFonts w:hint="eastAsia"/>
        </w:rPr>
        <w:t>公里，明顯高於其他月份。不過，該月東台灣客運未提交票證資料，統計僅包含統聯客運及興東客運路線，部分短程路線未納入，使平均值受到資料組成影響。因此，該月份應視為資料涵蓋範圍異常所造成的特殊值，不納入一般月份的趨勢判讀。</w:t>
      </w:r>
    </w:p>
    <w:p w14:paraId="3D4EE8F6" w14:textId="76724071" w:rsidR="007E48B6" w:rsidRDefault="006549DB" w:rsidP="006549DB">
      <w:pPr>
        <w:pStyle w:val="Default"/>
        <w:autoSpaceDE/>
        <w:autoSpaceDN/>
        <w:spacing w:beforeLines="50" w:before="180" w:afterLines="50" w:after="180" w:line="400" w:lineRule="exact"/>
        <w:ind w:firstLineChars="200" w:firstLine="480"/>
        <w:jc w:val="both"/>
        <w:rPr>
          <w:color w:val="auto"/>
          <w:szCs w:val="27"/>
        </w:rPr>
      </w:pPr>
      <w:r>
        <w:rPr>
          <w:rFonts w:hint="eastAsia"/>
        </w:rPr>
        <w:t>整體而言，</w:t>
      </w:r>
      <w:proofErr w:type="gramStart"/>
      <w:r>
        <w:rPr>
          <w:rFonts w:hint="eastAsia"/>
        </w:rPr>
        <w:t>臺</w:t>
      </w:r>
      <w:proofErr w:type="gramEnd"/>
      <w:r>
        <w:rPr>
          <w:rFonts w:hint="eastAsia"/>
        </w:rPr>
        <w:t>東縣公路客運平均搭乘里程以中長程旅次為主要特性，</w:t>
      </w:r>
      <w:proofErr w:type="gramStart"/>
      <w:r>
        <w:rPr>
          <w:rFonts w:hint="eastAsia"/>
        </w:rPr>
        <w:t>月別變化</w:t>
      </w:r>
      <w:proofErr w:type="gramEnd"/>
      <w:r>
        <w:rPr>
          <w:rFonts w:hint="eastAsia"/>
        </w:rPr>
        <w:t>主要受到暑期高點及個別月份波動影響，整體旅次距離結構仍維持一定程度的穩定性</w:t>
      </w:r>
      <w:r w:rsidR="0006404D">
        <w:rPr>
          <w:rFonts w:hint="eastAsia"/>
          <w:color w:val="auto"/>
          <w:szCs w:val="27"/>
        </w:rPr>
        <w:t>。</w:t>
      </w:r>
    </w:p>
    <w:p w14:paraId="699E3C0A" w14:textId="006A36AC" w:rsidR="004C432E" w:rsidRPr="007E48B6" w:rsidRDefault="007E48B6" w:rsidP="007E48B6">
      <w:pPr>
        <w:widowControl/>
        <w:rPr>
          <w:rFonts w:cs="Times New Roman" w:hint="eastAsia"/>
          <w:kern w:val="0"/>
        </w:rPr>
      </w:pPr>
      <w:r>
        <w:br w:type="page"/>
      </w:r>
      <w:bookmarkStart w:id="37" w:name="_GoBack"/>
      <w:bookmarkEnd w:id="37"/>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8" w:name="_toc_manual_13"/>
      <w:r w:rsidRPr="00610647">
        <w:rPr>
          <w:rFonts w:eastAsia="標楷體" w:hint="eastAsia"/>
          <w:b/>
          <w:color w:val="auto"/>
          <w:sz w:val="24"/>
          <w:szCs w:val="27"/>
        </w:rPr>
        <w:lastRenderedPageBreak/>
        <w:t xml:space="preserve"> </w:t>
      </w:r>
      <w:bookmarkStart w:id="39" w:name="_Toc238609234"/>
      <w:r w:rsidR="00E618A5" w:rsidRPr="00610647">
        <w:rPr>
          <w:rFonts w:eastAsia="標楷體"/>
          <w:b/>
          <w:color w:val="auto"/>
          <w:sz w:val="24"/>
          <w:szCs w:val="27"/>
        </w:rPr>
        <w:t>小結</w:t>
      </w:r>
      <w:bookmarkEnd w:id="38"/>
      <w:bookmarkEnd w:id="39"/>
    </w:p>
    <w:p w14:paraId="2DD96B70" w14:textId="0DA9B146" w:rsidR="006549DB" w:rsidRDefault="006549DB" w:rsidP="006549DB">
      <w:pPr>
        <w:widowControl/>
        <w:spacing w:beforeLines="50" w:before="180" w:afterLines="50" w:after="180" w:line="400" w:lineRule="exact"/>
        <w:ind w:firstLineChars="200" w:firstLine="480"/>
        <w:jc w:val="both"/>
        <w:rPr>
          <w:rFonts w:hint="eastAsia"/>
        </w:rPr>
      </w:pPr>
      <w:r>
        <w:rPr>
          <w:rFonts w:hint="eastAsia"/>
        </w:rPr>
        <w:t>花蓮縣公路客運平均搭乘里程在研究期間主要介於</w:t>
      </w:r>
      <w:r>
        <w:rPr>
          <w:rFonts w:hint="eastAsia"/>
        </w:rPr>
        <w:t xml:space="preserve"> 20.2 </w:t>
      </w:r>
      <w:r>
        <w:rPr>
          <w:rFonts w:hint="eastAsia"/>
        </w:rPr>
        <w:t>至</w:t>
      </w:r>
      <w:r>
        <w:rPr>
          <w:rFonts w:hint="eastAsia"/>
        </w:rPr>
        <w:t xml:space="preserve"> 23.6 </w:t>
      </w:r>
      <w:r>
        <w:rPr>
          <w:rFonts w:hint="eastAsia"/>
        </w:rPr>
        <w:t>公里，整體維持穩定區間，較高的平均里程主要出現在暑假及部分寒假、春節月份，顯示特定期間的長距離旅次增加可能使平均搭乘距離有所提高。</w:t>
      </w:r>
    </w:p>
    <w:p w14:paraId="3431C361" w14:textId="07EF9812" w:rsidR="006549DB" w:rsidRDefault="006549DB" w:rsidP="006549DB">
      <w:pPr>
        <w:widowControl/>
        <w:spacing w:beforeLines="50" w:before="180" w:afterLines="50" w:after="180" w:line="400" w:lineRule="exact"/>
        <w:ind w:firstLineChars="200" w:firstLine="480"/>
        <w:jc w:val="both"/>
        <w:rPr>
          <w:rFonts w:hint="eastAsia"/>
        </w:rPr>
      </w:pPr>
      <w:proofErr w:type="gramStart"/>
      <w:r>
        <w:rPr>
          <w:rFonts w:hint="eastAsia"/>
        </w:rPr>
        <w:t>臺</w:t>
      </w:r>
      <w:proofErr w:type="gramEnd"/>
      <w:r>
        <w:rPr>
          <w:rFonts w:hint="eastAsia"/>
        </w:rPr>
        <w:t>東縣公路客運平均搭乘里程主要介於</w:t>
      </w:r>
      <w:r>
        <w:rPr>
          <w:rFonts w:hint="eastAsia"/>
        </w:rPr>
        <w:t xml:space="preserve"> 21.2 </w:t>
      </w:r>
      <w:r>
        <w:rPr>
          <w:rFonts w:hint="eastAsia"/>
        </w:rPr>
        <w:t>至</w:t>
      </w:r>
      <w:r>
        <w:rPr>
          <w:rFonts w:hint="eastAsia"/>
        </w:rPr>
        <w:t xml:space="preserve"> 27.8 </w:t>
      </w:r>
      <w:r>
        <w:rPr>
          <w:rFonts w:hint="eastAsia"/>
        </w:rPr>
        <w:t>公里，</w:t>
      </w:r>
      <w:proofErr w:type="gramStart"/>
      <w:r>
        <w:rPr>
          <w:rFonts w:hint="eastAsia"/>
        </w:rPr>
        <w:t>月別波動</w:t>
      </w:r>
      <w:proofErr w:type="gramEnd"/>
      <w:r>
        <w:rPr>
          <w:rFonts w:hint="eastAsia"/>
        </w:rPr>
        <w:t>較為明顯，尤其暑假期間連續出現較高值；除暑期外，多數月份仍維持在</w:t>
      </w:r>
      <w:r>
        <w:rPr>
          <w:rFonts w:hint="eastAsia"/>
        </w:rPr>
        <w:t xml:space="preserve"> 21.2 </w:t>
      </w:r>
      <w:r>
        <w:rPr>
          <w:rFonts w:hint="eastAsia"/>
        </w:rPr>
        <w:t>至</w:t>
      </w:r>
      <w:r>
        <w:rPr>
          <w:rFonts w:hint="eastAsia"/>
        </w:rPr>
        <w:t xml:space="preserve"> 24.9 </w:t>
      </w:r>
      <w:r>
        <w:rPr>
          <w:rFonts w:hint="eastAsia"/>
        </w:rPr>
        <w:t>公里的區間，整體未呈現明確的長期上升或下降趨勢。</w:t>
      </w:r>
    </w:p>
    <w:p w14:paraId="06B0DEC0" w14:textId="3828952C" w:rsidR="009247BA" w:rsidRDefault="006549DB" w:rsidP="006549DB">
      <w:pPr>
        <w:widowControl/>
        <w:spacing w:beforeLines="50" w:before="180" w:afterLines="50" w:after="180" w:line="400" w:lineRule="exact"/>
        <w:ind w:firstLineChars="200" w:firstLine="480"/>
        <w:jc w:val="both"/>
      </w:pPr>
      <w:r>
        <w:rPr>
          <w:rFonts w:hint="eastAsia"/>
        </w:rPr>
        <w:t>此外，</w:t>
      </w:r>
      <w:proofErr w:type="gramStart"/>
      <w:r>
        <w:rPr>
          <w:rFonts w:hint="eastAsia"/>
        </w:rPr>
        <w:t>臺</w:t>
      </w:r>
      <w:proofErr w:type="gramEnd"/>
      <w:r>
        <w:rPr>
          <w:rFonts w:hint="eastAsia"/>
        </w:rPr>
        <w:t>東縣</w:t>
      </w:r>
      <w:r>
        <w:rPr>
          <w:rFonts w:hint="eastAsia"/>
        </w:rPr>
        <w:t xml:space="preserve"> 114 </w:t>
      </w:r>
      <w:r>
        <w:rPr>
          <w:rFonts w:hint="eastAsia"/>
        </w:rPr>
        <w:t>年</w:t>
      </w:r>
      <w:r>
        <w:rPr>
          <w:rFonts w:hint="eastAsia"/>
        </w:rPr>
        <w:t xml:space="preserve"> 11 </w:t>
      </w:r>
      <w:r>
        <w:rPr>
          <w:rFonts w:hint="eastAsia"/>
        </w:rPr>
        <w:t>月因東台灣客運未提交票證資料，造成當月平均里程明顯偏高，該月份不宜與其他月份直接比較。綜合研究期間的資料，公路客運平均搭乘里程主要呈現季節性</w:t>
      </w:r>
      <w:proofErr w:type="gramStart"/>
      <w:r>
        <w:rPr>
          <w:rFonts w:hint="eastAsia"/>
        </w:rPr>
        <w:t>及月別波動</w:t>
      </w:r>
      <w:proofErr w:type="gramEnd"/>
      <w:r>
        <w:rPr>
          <w:rFonts w:hint="eastAsia"/>
        </w:rPr>
        <w:t>，整體旅次距離結構並未出現明顯的長期變化</w:t>
      </w:r>
      <w:r w:rsidR="009247BA" w:rsidRPr="009247BA">
        <w:rPr>
          <w:rFonts w:cs="Times New Roman" w:hint="eastAsia"/>
          <w:color w:val="000000"/>
          <w:kern w:val="0"/>
          <w:szCs w:val="24"/>
        </w:rPr>
        <w:t>。</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40" w:name="_toc_manual_14"/>
      <w:r w:rsidRPr="009247BA">
        <w:rPr>
          <w:rFonts w:ascii="Times New Roman" w:eastAsia="標楷體" w:hAnsi="Times New Roman" w:hint="eastAsia"/>
          <w:b/>
          <w:color w:val="auto"/>
          <w:sz w:val="28"/>
          <w:szCs w:val="28"/>
        </w:rPr>
        <w:lastRenderedPageBreak/>
        <w:t xml:space="preserve"> </w:t>
      </w:r>
      <w:bookmarkStart w:id="41" w:name="_Toc238609235"/>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40"/>
      <w:bookmarkEnd w:id="41"/>
    </w:p>
    <w:p w14:paraId="6F71F1AD" w14:textId="7AAEB3A7"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其中，每人每月平均使用次數的操作型定義為：</w:t>
      </w:r>
    </w:p>
    <w:p w14:paraId="6657753A" w14:textId="21C40AA9" w:rsidR="00F44525" w:rsidRP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2" w:name="_toc_manual_15"/>
      <w:r w:rsidRPr="00610647">
        <w:rPr>
          <w:rFonts w:ascii="Times New Roman" w:eastAsia="標楷體" w:hAnsi="Times New Roman" w:hint="eastAsia"/>
          <w:b/>
          <w:color w:val="auto"/>
          <w:sz w:val="24"/>
          <w:szCs w:val="27"/>
        </w:rPr>
        <w:t xml:space="preserve"> </w:t>
      </w:r>
      <w:bookmarkStart w:id="43" w:name="_Toc238609236"/>
      <w:r w:rsidR="00E618A5" w:rsidRPr="00610647">
        <w:rPr>
          <w:rFonts w:ascii="Times New Roman" w:eastAsia="標楷體" w:hAnsi="Times New Roman"/>
          <w:b/>
          <w:color w:val="auto"/>
          <w:sz w:val="24"/>
          <w:szCs w:val="27"/>
        </w:rPr>
        <w:t>市區客運平均每日使用次數及其族群分布</w:t>
      </w:r>
      <w:bookmarkEnd w:id="42"/>
      <w:bookmarkEnd w:id="43"/>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4" w:name="_toc_manual_16"/>
      <w:r w:rsidRPr="00610647">
        <w:rPr>
          <w:rFonts w:eastAsia="標楷體" w:hint="eastAsia"/>
          <w:b/>
          <w:color w:val="auto"/>
          <w:sz w:val="24"/>
          <w:szCs w:val="27"/>
        </w:rPr>
        <w:t xml:space="preserve"> </w:t>
      </w:r>
      <w:bookmarkStart w:id="45" w:name="_Toc238609237"/>
      <w:r w:rsidR="00E618A5" w:rsidRPr="00610647">
        <w:rPr>
          <w:rFonts w:eastAsia="標楷體"/>
          <w:b/>
          <w:color w:val="auto"/>
          <w:sz w:val="24"/>
          <w:szCs w:val="27"/>
        </w:rPr>
        <w:t>花蓮縣市區客運平均每日使用次數及其族群分布</w:t>
      </w:r>
      <w:bookmarkEnd w:id="44"/>
      <w:bookmarkEnd w:id="45"/>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20B593D9">
            <wp:extent cx="5274310" cy="1758315"/>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315"/>
                    </a:xfrm>
                    <a:prstGeom prst="rect">
                      <a:avLst/>
                    </a:prstGeom>
                  </pic:spPr>
                </pic:pic>
              </a:graphicData>
            </a:graphic>
          </wp:inline>
        </w:drawing>
      </w:r>
    </w:p>
    <w:p w14:paraId="778A31E0" w14:textId="418DABBC" w:rsidR="00F44525" w:rsidRPr="009F4731" w:rsidRDefault="00B85D15" w:rsidP="009F4731">
      <w:pPr>
        <w:pStyle w:val="af7"/>
        <w:spacing w:beforeLines="50" w:before="180" w:afterLines="50" w:after="180" w:line="240" w:lineRule="atLeast"/>
        <w:jc w:val="center"/>
        <w:rPr>
          <w:rFonts w:cs="標楷體"/>
          <w:sz w:val="24"/>
          <w:szCs w:val="32"/>
        </w:rPr>
      </w:pPr>
      <w:bookmarkStart w:id="46" w:name="_Ref239693757"/>
      <w:r w:rsidRPr="00B85D15">
        <w:rPr>
          <w:rFonts w:hint="eastAsia"/>
          <w:sz w:val="24"/>
          <w:szCs w:val="24"/>
        </w:rPr>
        <w:t>圖</w:t>
      </w:r>
      <w:r w:rsidRPr="00B85D1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46"/>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月花蓮縣市區客運平均每日使用次數折線圖</w:t>
      </w:r>
    </w:p>
    <w:p w14:paraId="514CB9EF" w14:textId="7FE59E47" w:rsidR="009F4731" w:rsidRPr="009F4731" w:rsidRDefault="009F4731" w:rsidP="009F4731">
      <w:pPr>
        <w:pStyle w:val="af7"/>
        <w:keepNext/>
        <w:jc w:val="center"/>
        <w:rPr>
          <w:sz w:val="24"/>
          <w:szCs w:val="24"/>
        </w:rPr>
      </w:pPr>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月花蓮縣市區客運平均每日使用次數變化表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每人每月使用次數</w:t>
            </w:r>
          </w:p>
        </w:tc>
        <w:tc>
          <w:tcPr>
            <w:tcW w:w="2645" w:type="dxa"/>
            <w:noWrap/>
            <w:vAlign w:val="center"/>
            <w:hideMark/>
          </w:tcPr>
          <w:p w14:paraId="46CFB57C"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平均每日使用次數</w:t>
            </w:r>
          </w:p>
        </w:tc>
      </w:tr>
      <w:tr w:rsidR="009F4731" w:rsidRPr="009F4731" w14:paraId="28729B5F" w14:textId="77777777" w:rsidTr="00DA7C4A">
        <w:trPr>
          <w:trHeight w:val="378"/>
          <w:jc w:val="center"/>
        </w:trPr>
        <w:tc>
          <w:tcPr>
            <w:tcW w:w="2644" w:type="dxa"/>
            <w:noWrap/>
            <w:vAlign w:val="center"/>
            <w:hideMark/>
          </w:tcPr>
          <w:p w14:paraId="1C398DED" w14:textId="1CA115F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7066F2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2.02</w:t>
            </w:r>
          </w:p>
        </w:tc>
        <w:tc>
          <w:tcPr>
            <w:tcW w:w="2645" w:type="dxa"/>
            <w:noWrap/>
            <w:vAlign w:val="bottom"/>
            <w:hideMark/>
          </w:tcPr>
          <w:p w14:paraId="7CE2EB8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7B58D425" w14:textId="77777777" w:rsidTr="00DA7C4A">
        <w:trPr>
          <w:trHeight w:val="378"/>
          <w:jc w:val="center"/>
        </w:trPr>
        <w:tc>
          <w:tcPr>
            <w:tcW w:w="2644" w:type="dxa"/>
            <w:noWrap/>
            <w:vAlign w:val="center"/>
            <w:hideMark/>
          </w:tcPr>
          <w:p w14:paraId="4FBF52C5" w14:textId="6B534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79D71F7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2.07</w:t>
            </w:r>
          </w:p>
        </w:tc>
        <w:tc>
          <w:tcPr>
            <w:tcW w:w="2645" w:type="dxa"/>
            <w:noWrap/>
            <w:vAlign w:val="bottom"/>
            <w:hideMark/>
          </w:tcPr>
          <w:p w14:paraId="4CDDFDA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5B5B963A" w14:textId="77777777" w:rsidTr="00DA7C4A">
        <w:trPr>
          <w:trHeight w:val="378"/>
          <w:jc w:val="center"/>
        </w:trPr>
        <w:tc>
          <w:tcPr>
            <w:tcW w:w="2644" w:type="dxa"/>
            <w:noWrap/>
            <w:vAlign w:val="center"/>
            <w:hideMark/>
          </w:tcPr>
          <w:p w14:paraId="19CF7F89" w14:textId="78DA91D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485C7A6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2.19</w:t>
            </w:r>
          </w:p>
        </w:tc>
        <w:tc>
          <w:tcPr>
            <w:tcW w:w="2645" w:type="dxa"/>
            <w:noWrap/>
            <w:vAlign w:val="bottom"/>
            <w:hideMark/>
          </w:tcPr>
          <w:p w14:paraId="1ED137E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0.071</w:t>
            </w:r>
          </w:p>
        </w:tc>
      </w:tr>
      <w:tr w:rsidR="009F4731" w:rsidRPr="009F4731" w14:paraId="3AA0A679" w14:textId="77777777" w:rsidTr="00DA7C4A">
        <w:trPr>
          <w:trHeight w:val="378"/>
          <w:jc w:val="center"/>
        </w:trPr>
        <w:tc>
          <w:tcPr>
            <w:tcW w:w="2644" w:type="dxa"/>
            <w:noWrap/>
            <w:vAlign w:val="center"/>
            <w:hideMark/>
          </w:tcPr>
          <w:p w14:paraId="639F1712" w14:textId="084A2DF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6944EBD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2.04</w:t>
            </w:r>
          </w:p>
        </w:tc>
        <w:tc>
          <w:tcPr>
            <w:tcW w:w="2645" w:type="dxa"/>
            <w:noWrap/>
            <w:vAlign w:val="bottom"/>
            <w:hideMark/>
          </w:tcPr>
          <w:p w14:paraId="1419BE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0.068</w:t>
            </w:r>
          </w:p>
        </w:tc>
      </w:tr>
      <w:tr w:rsidR="009F4731" w:rsidRPr="009F4731" w14:paraId="49CE79FC" w14:textId="77777777" w:rsidTr="00DA7C4A">
        <w:trPr>
          <w:trHeight w:val="378"/>
          <w:jc w:val="center"/>
        </w:trPr>
        <w:tc>
          <w:tcPr>
            <w:tcW w:w="2644" w:type="dxa"/>
            <w:noWrap/>
            <w:vAlign w:val="center"/>
            <w:hideMark/>
          </w:tcPr>
          <w:p w14:paraId="401F54A9" w14:textId="452DD6E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0CFFB60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2.01</w:t>
            </w:r>
          </w:p>
        </w:tc>
        <w:tc>
          <w:tcPr>
            <w:tcW w:w="2645" w:type="dxa"/>
            <w:noWrap/>
            <w:vAlign w:val="bottom"/>
            <w:hideMark/>
          </w:tcPr>
          <w:p w14:paraId="48F71431"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5A2820FD" w14:textId="77777777" w:rsidTr="00DA7C4A">
        <w:trPr>
          <w:trHeight w:val="378"/>
          <w:jc w:val="center"/>
        </w:trPr>
        <w:tc>
          <w:tcPr>
            <w:tcW w:w="2644" w:type="dxa"/>
            <w:noWrap/>
            <w:vAlign w:val="center"/>
            <w:hideMark/>
          </w:tcPr>
          <w:p w14:paraId="112A9EC1" w14:textId="10830D0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2B18FC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893D3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5681810A" w14:textId="77777777" w:rsidTr="00DA7C4A">
        <w:trPr>
          <w:trHeight w:val="378"/>
          <w:jc w:val="center"/>
        </w:trPr>
        <w:tc>
          <w:tcPr>
            <w:tcW w:w="2644" w:type="dxa"/>
            <w:noWrap/>
            <w:vAlign w:val="center"/>
            <w:hideMark/>
          </w:tcPr>
          <w:p w14:paraId="5086767B" w14:textId="43224D1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517C2E1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1.97</w:t>
            </w:r>
          </w:p>
        </w:tc>
        <w:tc>
          <w:tcPr>
            <w:tcW w:w="2645" w:type="dxa"/>
            <w:noWrap/>
            <w:vAlign w:val="bottom"/>
            <w:hideMark/>
          </w:tcPr>
          <w:p w14:paraId="2401074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5B0D7AEE" w14:textId="77777777" w:rsidTr="00DA7C4A">
        <w:trPr>
          <w:trHeight w:val="378"/>
          <w:jc w:val="center"/>
        </w:trPr>
        <w:tc>
          <w:tcPr>
            <w:tcW w:w="2644" w:type="dxa"/>
            <w:noWrap/>
            <w:vAlign w:val="bottom"/>
            <w:hideMark/>
          </w:tcPr>
          <w:p w14:paraId="414050B2" w14:textId="716BED4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B64A45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1.72</w:t>
            </w:r>
          </w:p>
        </w:tc>
        <w:tc>
          <w:tcPr>
            <w:tcW w:w="2645" w:type="dxa"/>
            <w:noWrap/>
            <w:vAlign w:val="bottom"/>
            <w:hideMark/>
          </w:tcPr>
          <w:p w14:paraId="3F026C9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0.055</w:t>
            </w:r>
          </w:p>
        </w:tc>
      </w:tr>
      <w:tr w:rsidR="009F4731" w:rsidRPr="009F4731" w14:paraId="41F2676B" w14:textId="77777777" w:rsidTr="00DA7C4A">
        <w:trPr>
          <w:trHeight w:val="378"/>
          <w:jc w:val="center"/>
        </w:trPr>
        <w:tc>
          <w:tcPr>
            <w:tcW w:w="2644" w:type="dxa"/>
            <w:noWrap/>
            <w:vAlign w:val="bottom"/>
            <w:hideMark/>
          </w:tcPr>
          <w:p w14:paraId="2F31E9A2" w14:textId="4F2AD4F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114</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28DCB84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3696601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0.062</w:t>
            </w:r>
          </w:p>
        </w:tc>
      </w:tr>
      <w:tr w:rsidR="009F4731" w:rsidRPr="009F4731" w14:paraId="3B74CAE2" w14:textId="77777777" w:rsidTr="00DA7C4A">
        <w:trPr>
          <w:trHeight w:val="378"/>
          <w:jc w:val="center"/>
        </w:trPr>
        <w:tc>
          <w:tcPr>
            <w:tcW w:w="2644" w:type="dxa"/>
            <w:noWrap/>
            <w:vAlign w:val="bottom"/>
            <w:hideMark/>
          </w:tcPr>
          <w:p w14:paraId="0B764BC4" w14:textId="22A846B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544554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02BA2D9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0.056</w:t>
            </w:r>
          </w:p>
        </w:tc>
      </w:tr>
      <w:tr w:rsidR="009F4731" w:rsidRPr="009F4731" w14:paraId="6C7923C4" w14:textId="77777777" w:rsidTr="00DA7C4A">
        <w:trPr>
          <w:trHeight w:val="378"/>
          <w:jc w:val="center"/>
        </w:trPr>
        <w:tc>
          <w:tcPr>
            <w:tcW w:w="2644" w:type="dxa"/>
            <w:noWrap/>
            <w:vAlign w:val="bottom"/>
            <w:hideMark/>
          </w:tcPr>
          <w:p w14:paraId="0A981AB2" w14:textId="3F1431FF"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0844D9F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546973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0.058</w:t>
            </w:r>
          </w:p>
        </w:tc>
      </w:tr>
      <w:tr w:rsidR="009F4731" w:rsidRPr="009F4731" w14:paraId="426DBDC5" w14:textId="77777777" w:rsidTr="00DA7C4A">
        <w:trPr>
          <w:trHeight w:val="378"/>
          <w:jc w:val="center"/>
        </w:trPr>
        <w:tc>
          <w:tcPr>
            <w:tcW w:w="2644" w:type="dxa"/>
            <w:noWrap/>
            <w:vAlign w:val="bottom"/>
            <w:hideMark/>
          </w:tcPr>
          <w:p w14:paraId="7E5E0B63" w14:textId="5BC90A9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78E7D87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1.65</w:t>
            </w:r>
          </w:p>
        </w:tc>
        <w:tc>
          <w:tcPr>
            <w:tcW w:w="2645" w:type="dxa"/>
            <w:noWrap/>
            <w:vAlign w:val="bottom"/>
            <w:hideMark/>
          </w:tcPr>
          <w:p w14:paraId="71681EA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0.053</w:t>
            </w:r>
          </w:p>
        </w:tc>
      </w:tr>
      <w:tr w:rsidR="009F4731" w:rsidRPr="009F4731" w14:paraId="54E53ACB" w14:textId="77777777" w:rsidTr="00DA7C4A">
        <w:trPr>
          <w:trHeight w:val="378"/>
          <w:jc w:val="center"/>
        </w:trPr>
        <w:tc>
          <w:tcPr>
            <w:tcW w:w="2644" w:type="dxa"/>
            <w:noWrap/>
            <w:vAlign w:val="bottom"/>
            <w:hideMark/>
          </w:tcPr>
          <w:p w14:paraId="07161034" w14:textId="1327BA2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7478420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1.76</w:t>
            </w:r>
          </w:p>
        </w:tc>
        <w:tc>
          <w:tcPr>
            <w:tcW w:w="2645" w:type="dxa"/>
            <w:noWrap/>
            <w:vAlign w:val="bottom"/>
            <w:hideMark/>
          </w:tcPr>
          <w:p w14:paraId="4488F32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0.059</w:t>
            </w:r>
          </w:p>
        </w:tc>
      </w:tr>
      <w:tr w:rsidR="009F4731" w:rsidRPr="009F4731" w14:paraId="1C58ED2F" w14:textId="77777777" w:rsidTr="00DA7C4A">
        <w:trPr>
          <w:trHeight w:val="378"/>
          <w:jc w:val="center"/>
        </w:trPr>
        <w:tc>
          <w:tcPr>
            <w:tcW w:w="2644" w:type="dxa"/>
            <w:noWrap/>
            <w:vAlign w:val="bottom"/>
            <w:hideMark/>
          </w:tcPr>
          <w:p w14:paraId="790D61D9" w14:textId="28492BE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116FB573"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1.75</w:t>
            </w:r>
          </w:p>
        </w:tc>
        <w:tc>
          <w:tcPr>
            <w:tcW w:w="2645" w:type="dxa"/>
            <w:noWrap/>
            <w:vAlign w:val="bottom"/>
            <w:hideMark/>
          </w:tcPr>
          <w:p w14:paraId="0590BAB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0.057</w:t>
            </w:r>
          </w:p>
        </w:tc>
      </w:tr>
      <w:tr w:rsidR="009F4731" w:rsidRPr="009F4731" w14:paraId="2AD97415" w14:textId="77777777" w:rsidTr="00DA7C4A">
        <w:trPr>
          <w:trHeight w:val="378"/>
          <w:jc w:val="center"/>
        </w:trPr>
        <w:tc>
          <w:tcPr>
            <w:tcW w:w="2644" w:type="dxa"/>
            <w:noWrap/>
            <w:vAlign w:val="bottom"/>
            <w:hideMark/>
          </w:tcPr>
          <w:p w14:paraId="1A8FD59B" w14:textId="67701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1B025142"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1.96</w:t>
            </w:r>
          </w:p>
        </w:tc>
        <w:tc>
          <w:tcPr>
            <w:tcW w:w="2645" w:type="dxa"/>
            <w:noWrap/>
            <w:vAlign w:val="bottom"/>
            <w:hideMark/>
          </w:tcPr>
          <w:p w14:paraId="42F4226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2729CEF9" w14:textId="77777777" w:rsidTr="00DA7C4A">
        <w:trPr>
          <w:trHeight w:val="378"/>
          <w:jc w:val="center"/>
        </w:trPr>
        <w:tc>
          <w:tcPr>
            <w:tcW w:w="2644" w:type="dxa"/>
            <w:noWrap/>
            <w:vAlign w:val="bottom"/>
            <w:hideMark/>
          </w:tcPr>
          <w:p w14:paraId="73472437" w14:textId="222DB63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0B4542F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B2720F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2BED7FE3" w14:textId="77777777" w:rsidTr="00DA7C4A">
        <w:trPr>
          <w:trHeight w:val="378"/>
          <w:jc w:val="center"/>
        </w:trPr>
        <w:tc>
          <w:tcPr>
            <w:tcW w:w="2644" w:type="dxa"/>
            <w:noWrap/>
            <w:vAlign w:val="bottom"/>
            <w:hideMark/>
          </w:tcPr>
          <w:p w14:paraId="09F5F583" w14:textId="27B0D55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3BD847E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1.90</w:t>
            </w:r>
          </w:p>
        </w:tc>
        <w:tc>
          <w:tcPr>
            <w:tcW w:w="2645" w:type="dxa"/>
            <w:noWrap/>
            <w:vAlign w:val="bottom"/>
            <w:hideMark/>
          </w:tcPr>
          <w:p w14:paraId="734B544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0.061</w:t>
            </w:r>
          </w:p>
        </w:tc>
      </w:tr>
      <w:tr w:rsidR="009F4731" w:rsidRPr="009F4731" w14:paraId="2E6462B7" w14:textId="77777777" w:rsidTr="00DA7C4A">
        <w:trPr>
          <w:trHeight w:val="378"/>
          <w:jc w:val="center"/>
        </w:trPr>
        <w:tc>
          <w:tcPr>
            <w:tcW w:w="2644" w:type="dxa"/>
            <w:noWrap/>
            <w:vAlign w:val="bottom"/>
            <w:hideMark/>
          </w:tcPr>
          <w:p w14:paraId="514FFB9C" w14:textId="4A5A79C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047468D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1.57</w:t>
            </w:r>
          </w:p>
        </w:tc>
        <w:tc>
          <w:tcPr>
            <w:tcW w:w="2645" w:type="dxa"/>
            <w:noWrap/>
            <w:vAlign w:val="bottom"/>
            <w:hideMark/>
          </w:tcPr>
          <w:p w14:paraId="00E6B96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0.052</w:t>
            </w:r>
          </w:p>
        </w:tc>
      </w:tr>
      <w:tr w:rsidR="009F4731" w:rsidRPr="009F4731" w14:paraId="317712EE" w14:textId="77777777" w:rsidTr="00DA7C4A">
        <w:trPr>
          <w:trHeight w:val="378"/>
          <w:jc w:val="center"/>
        </w:trPr>
        <w:tc>
          <w:tcPr>
            <w:tcW w:w="2644" w:type="dxa"/>
            <w:noWrap/>
            <w:vAlign w:val="bottom"/>
            <w:hideMark/>
          </w:tcPr>
          <w:p w14:paraId="5C2BD155" w14:textId="17BB066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180AA0D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1.56</w:t>
            </w:r>
          </w:p>
        </w:tc>
        <w:tc>
          <w:tcPr>
            <w:tcW w:w="2645" w:type="dxa"/>
            <w:noWrap/>
            <w:vAlign w:val="bottom"/>
            <w:hideMark/>
          </w:tcPr>
          <w:p w14:paraId="6AC8B93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0.050</w:t>
            </w:r>
          </w:p>
        </w:tc>
      </w:tr>
      <w:tr w:rsidR="009F4731" w:rsidRPr="009F4731" w14:paraId="468E2FF8" w14:textId="77777777" w:rsidTr="00DA7C4A">
        <w:trPr>
          <w:trHeight w:val="378"/>
          <w:jc w:val="center"/>
        </w:trPr>
        <w:tc>
          <w:tcPr>
            <w:tcW w:w="2644" w:type="dxa"/>
            <w:noWrap/>
            <w:vAlign w:val="bottom"/>
            <w:hideMark/>
          </w:tcPr>
          <w:p w14:paraId="401E1019" w14:textId="7EFB1BB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C5C6E8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1098DB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67C952E0" w14:textId="77777777" w:rsidTr="00DA7C4A">
        <w:trPr>
          <w:trHeight w:val="378"/>
          <w:jc w:val="center"/>
        </w:trPr>
        <w:tc>
          <w:tcPr>
            <w:tcW w:w="2644" w:type="dxa"/>
            <w:noWrap/>
            <w:vAlign w:val="bottom"/>
            <w:hideMark/>
          </w:tcPr>
          <w:p w14:paraId="57D3276A" w14:textId="49206B8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5A9C04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1.51</w:t>
            </w:r>
          </w:p>
        </w:tc>
        <w:tc>
          <w:tcPr>
            <w:tcW w:w="2645" w:type="dxa"/>
            <w:noWrap/>
            <w:vAlign w:val="bottom"/>
            <w:hideMark/>
          </w:tcPr>
          <w:p w14:paraId="2E54017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0.054</w:t>
            </w:r>
          </w:p>
        </w:tc>
      </w:tr>
      <w:tr w:rsidR="009F4731" w:rsidRPr="009F4731" w14:paraId="724D6B17" w14:textId="77777777" w:rsidTr="00DA7C4A">
        <w:trPr>
          <w:trHeight w:val="378"/>
          <w:jc w:val="center"/>
        </w:trPr>
        <w:tc>
          <w:tcPr>
            <w:tcW w:w="2644" w:type="dxa"/>
            <w:noWrap/>
            <w:vAlign w:val="bottom"/>
            <w:hideMark/>
          </w:tcPr>
          <w:p w14:paraId="317D4600" w14:textId="044EBEA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2DF333A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61297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131F3C96" w14:textId="77777777" w:rsidTr="00DA7C4A">
        <w:trPr>
          <w:trHeight w:val="378"/>
          <w:jc w:val="center"/>
        </w:trPr>
        <w:tc>
          <w:tcPr>
            <w:tcW w:w="2644" w:type="dxa"/>
            <w:noWrap/>
            <w:vAlign w:val="bottom"/>
            <w:hideMark/>
          </w:tcPr>
          <w:p w14:paraId="1F125442" w14:textId="58A5646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1D3728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1.95</w:t>
            </w:r>
          </w:p>
        </w:tc>
        <w:tc>
          <w:tcPr>
            <w:tcW w:w="2645" w:type="dxa"/>
            <w:noWrap/>
            <w:vAlign w:val="bottom"/>
            <w:hideMark/>
          </w:tcPr>
          <w:p w14:paraId="6807ED1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45651086" w14:textId="77777777" w:rsidTr="00DA7C4A">
        <w:trPr>
          <w:trHeight w:val="378"/>
          <w:jc w:val="center"/>
        </w:trPr>
        <w:tc>
          <w:tcPr>
            <w:tcW w:w="2644" w:type="dxa"/>
            <w:noWrap/>
            <w:vAlign w:val="bottom"/>
            <w:hideMark/>
          </w:tcPr>
          <w:p w14:paraId="306406EF" w14:textId="529003A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086ABA6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1.29</w:t>
            </w:r>
          </w:p>
        </w:tc>
        <w:tc>
          <w:tcPr>
            <w:tcW w:w="2645" w:type="dxa"/>
            <w:noWrap/>
            <w:vAlign w:val="bottom"/>
            <w:hideMark/>
          </w:tcPr>
          <w:p w14:paraId="017D77A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r w:rsidR="009F4731" w:rsidRPr="009F4731" w14:paraId="01F45BB9" w14:textId="77777777" w:rsidTr="00DA7C4A">
        <w:trPr>
          <w:trHeight w:val="378"/>
          <w:jc w:val="center"/>
        </w:trPr>
        <w:tc>
          <w:tcPr>
            <w:tcW w:w="2644" w:type="dxa"/>
            <w:noWrap/>
            <w:vAlign w:val="bottom"/>
            <w:hideMark/>
          </w:tcPr>
          <w:p w14:paraId="5137B501" w14:textId="2CA3F8B9"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127C1E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1.27</w:t>
            </w:r>
          </w:p>
        </w:tc>
        <w:tc>
          <w:tcPr>
            <w:tcW w:w="2645" w:type="dxa"/>
            <w:noWrap/>
            <w:vAlign w:val="bottom"/>
            <w:hideMark/>
          </w:tcPr>
          <w:p w14:paraId="4D45986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bl>
    <w:p w14:paraId="008C6A7D" w14:textId="18722FCD"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9247BA">
        <w:rPr>
          <w:rFonts w:hint="eastAsia"/>
        </w:rPr>
        <w:t>6</w:t>
      </w:r>
      <w:r w:rsidR="009247BA">
        <w:rPr>
          <w:rFonts w:hint="eastAsia"/>
        </w:rPr>
        <w:t>月</w:t>
      </w:r>
      <w:proofErr w:type="gramStart"/>
      <w:r w:rsidR="009247BA">
        <w:rPr>
          <w:rFonts w:hint="eastAsia"/>
        </w:rPr>
        <w:t>期間，</w:t>
      </w:r>
      <w:proofErr w:type="gramEnd"/>
      <w:r w:rsidR="009247BA">
        <w:rPr>
          <w:rFonts w:hint="eastAsia"/>
        </w:rPr>
        <w:t>花蓮縣市區客運平均每日使用次數整體呈下降趨勢，惟各</w:t>
      </w:r>
      <w:proofErr w:type="gramStart"/>
      <w:r w:rsidR="009247BA">
        <w:rPr>
          <w:rFonts w:hint="eastAsia"/>
        </w:rPr>
        <w:t>月份間仍</w:t>
      </w:r>
      <w:proofErr w:type="gramEnd"/>
      <w:r w:rsidR="009247BA">
        <w:rPr>
          <w:rFonts w:hint="eastAsia"/>
        </w:rPr>
        <w:t>有一定程度之波動。最高值出現在</w:t>
      </w:r>
      <w:r w:rsidR="009247BA">
        <w:rPr>
          <w:rFonts w:hint="eastAsia"/>
        </w:rPr>
        <w:t>113</w:t>
      </w:r>
      <w:r w:rsidR="009247BA">
        <w:rPr>
          <w:rFonts w:hint="eastAsia"/>
        </w:rPr>
        <w:t>年</w:t>
      </w:r>
      <w:r w:rsidR="009247BA">
        <w:rPr>
          <w:rFonts w:hint="eastAsia"/>
        </w:rPr>
        <w:t>8</w:t>
      </w:r>
      <w:r w:rsidR="009247BA">
        <w:rPr>
          <w:rFonts w:hint="eastAsia"/>
        </w:rPr>
        <w:t>月，為</w:t>
      </w:r>
      <w:r w:rsidR="009247BA">
        <w:rPr>
          <w:rFonts w:hint="eastAsia"/>
        </w:rPr>
        <w:t>0.071</w:t>
      </w:r>
      <w:r w:rsidR="009247BA">
        <w:rPr>
          <w:rFonts w:hint="eastAsia"/>
        </w:rPr>
        <w:t>次；最低值則出現在</w:t>
      </w:r>
      <w:r w:rsidR="009247BA">
        <w:rPr>
          <w:rFonts w:hint="eastAsia"/>
        </w:rPr>
        <w:t>115</w:t>
      </w:r>
      <w:r w:rsidR="009247BA">
        <w:rPr>
          <w:rFonts w:hint="eastAsia"/>
        </w:rPr>
        <w:t>年</w:t>
      </w:r>
      <w:r w:rsidR="009247BA">
        <w:rPr>
          <w:rFonts w:hint="eastAsia"/>
        </w:rPr>
        <w:t>5</w:t>
      </w:r>
      <w:r w:rsidR="009247BA">
        <w:rPr>
          <w:rFonts w:hint="eastAsia"/>
        </w:rPr>
        <w:t>月及</w:t>
      </w:r>
      <w:r w:rsidR="009247BA">
        <w:rPr>
          <w:rFonts w:hint="eastAsia"/>
        </w:rPr>
        <w:t>6</w:t>
      </w:r>
      <w:r w:rsidR="009247BA">
        <w:rPr>
          <w:rFonts w:hint="eastAsia"/>
        </w:rPr>
        <w:t>月，皆為</w:t>
      </w:r>
      <w:r w:rsidR="009247BA">
        <w:rPr>
          <w:rFonts w:hint="eastAsia"/>
        </w:rPr>
        <w:t>0.042</w:t>
      </w:r>
      <w:r w:rsidR="009247BA">
        <w:rPr>
          <w:rFonts w:hint="eastAsia"/>
        </w:rPr>
        <w:t>次，最高值與最低</w:t>
      </w:r>
      <w:proofErr w:type="gramStart"/>
      <w:r w:rsidR="009247BA">
        <w:rPr>
          <w:rFonts w:hint="eastAsia"/>
        </w:rPr>
        <w:t>值相較降</w:t>
      </w:r>
      <w:proofErr w:type="gramEnd"/>
      <w:r w:rsidR="009247BA">
        <w:rPr>
          <w:rFonts w:hint="eastAsia"/>
        </w:rPr>
        <w:t>幅約為</w:t>
      </w:r>
      <w:r w:rsidR="009247BA">
        <w:rPr>
          <w:rFonts w:hint="eastAsia"/>
        </w:rPr>
        <w:t>40.8%</w:t>
      </w:r>
      <w:r w:rsidR="009247BA">
        <w:rPr>
          <w:rFonts w:hint="eastAsia"/>
        </w:rPr>
        <w:t>。分析期間雖曾於部分月份出現短暫回升，例如</w:t>
      </w:r>
      <w:r w:rsidR="009247BA">
        <w:rPr>
          <w:rFonts w:hint="eastAsia"/>
        </w:rPr>
        <w:t>114</w:t>
      </w:r>
      <w:r w:rsidR="009247BA">
        <w:rPr>
          <w:rFonts w:hint="eastAsia"/>
        </w:rPr>
        <w:t>年</w:t>
      </w:r>
      <w:r w:rsidR="009247BA">
        <w:rPr>
          <w:rFonts w:hint="eastAsia"/>
        </w:rPr>
        <w:t>8</w:t>
      </w:r>
      <w:r w:rsidR="009247BA">
        <w:rPr>
          <w:rFonts w:hint="eastAsia"/>
        </w:rPr>
        <w:t>月至</w:t>
      </w:r>
      <w:r w:rsidR="009247BA">
        <w:rPr>
          <w:rFonts w:hint="eastAsia"/>
        </w:rPr>
        <w:t>10</w:t>
      </w:r>
      <w:r w:rsidR="009247BA">
        <w:rPr>
          <w:rFonts w:hint="eastAsia"/>
        </w:rPr>
        <w:t>月及</w:t>
      </w:r>
      <w:r w:rsidR="009247BA">
        <w:rPr>
          <w:rFonts w:hint="eastAsia"/>
        </w:rPr>
        <w:t>115</w:t>
      </w:r>
      <w:r w:rsidR="009247BA">
        <w:rPr>
          <w:rFonts w:hint="eastAsia"/>
        </w:rPr>
        <w:t>年</w:t>
      </w:r>
      <w:r w:rsidR="009247BA">
        <w:rPr>
          <w:rFonts w:hint="eastAsia"/>
        </w:rPr>
        <w:t>4</w:t>
      </w:r>
      <w:r w:rsidR="009247BA">
        <w:rPr>
          <w:rFonts w:hint="eastAsia"/>
        </w:rPr>
        <w:t>月，但整體仍呈逐步下降之變化。</w:t>
      </w:r>
    </w:p>
    <w:p w14:paraId="539278CB" w14:textId="7D67B48E" w:rsidR="009247BA" w:rsidRDefault="009247BA" w:rsidP="009247BA">
      <w:pPr>
        <w:spacing w:beforeLines="50" w:before="180" w:afterLines="50" w:after="180" w:line="400" w:lineRule="exact"/>
        <w:ind w:firstLineChars="200" w:firstLine="480"/>
        <w:jc w:val="both"/>
      </w:pPr>
      <w:r>
        <w:rPr>
          <w:rFonts w:hint="eastAsia"/>
        </w:rPr>
        <w:t>整體而言，花蓮縣市區客運平均每日使用次數於分析後期明顯低於前期，顯示乘客日均使用頻率有所降低，推測此一變化可能與旅運需求、乘客組成、路線服務情形及其他運具使用狀況等因素有關。</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4AD620DA">
            <wp:extent cx="5274310" cy="1758315"/>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315"/>
                    </a:xfrm>
                    <a:prstGeom prst="rect">
                      <a:avLst/>
                    </a:prstGeom>
                  </pic:spPr>
                </pic:pic>
              </a:graphicData>
            </a:graphic>
          </wp:inline>
        </w:drawing>
      </w:r>
    </w:p>
    <w:p w14:paraId="6FA7749B" w14:textId="2518C5C5" w:rsidR="009F4731" w:rsidRDefault="009F4731" w:rsidP="009F4731">
      <w:pPr>
        <w:pStyle w:val="af7"/>
        <w:spacing w:beforeLines="50" w:before="180" w:afterLines="50" w:after="180" w:line="240" w:lineRule="atLeast"/>
        <w:jc w:val="center"/>
        <w:rPr>
          <w:sz w:val="24"/>
          <w:szCs w:val="24"/>
        </w:rPr>
      </w:pPr>
      <w:bookmarkStart w:id="47" w:name="_Ref239693776"/>
      <w:r w:rsidRPr="009F4731">
        <w:rPr>
          <w:rFonts w:hint="eastAsia"/>
          <w:sz w:val="24"/>
          <w:szCs w:val="24"/>
        </w:rPr>
        <w:t>圖</w:t>
      </w:r>
      <w:r w:rsidRPr="009F4731">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448E0526" w:rsidR="009F4731" w:rsidRDefault="009F4731" w:rsidP="009F4731">
      <w:pPr>
        <w:pStyle w:val="af7"/>
        <w:keepNext/>
        <w:spacing w:beforeLines="50" w:before="180" w:afterLines="50" w:after="180" w:line="240" w:lineRule="atLeast"/>
        <w:jc w:val="center"/>
        <w:rPr>
          <w:sz w:val="24"/>
          <w:szCs w:val="24"/>
        </w:rPr>
      </w:pPr>
      <w:bookmarkStart w:id="48" w:name="_Ref239693797"/>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29D9B57" w14:textId="29BF46D4" w:rsidR="00A802A0" w:rsidRPr="00A802A0"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A802A0" w:rsidRPr="00A802A0">
        <w:rPr>
          <w:rFonts w:hint="eastAsia"/>
          <w:szCs w:val="27"/>
        </w:rPr>
        <w:t>6</w:t>
      </w:r>
      <w:r w:rsidR="00A802A0" w:rsidRPr="00A802A0">
        <w:rPr>
          <w:rFonts w:hint="eastAsia"/>
          <w:szCs w:val="27"/>
        </w:rPr>
        <w:t>月</w:t>
      </w:r>
      <w:proofErr w:type="gramStart"/>
      <w:r w:rsidR="00A802A0" w:rsidRPr="00A802A0">
        <w:rPr>
          <w:rFonts w:hint="eastAsia"/>
          <w:szCs w:val="27"/>
        </w:rPr>
        <w:t>期間，</w:t>
      </w:r>
      <w:proofErr w:type="gramEnd"/>
      <w:r w:rsidR="00A802A0" w:rsidRPr="00A802A0">
        <w:rPr>
          <w:rFonts w:hint="eastAsia"/>
          <w:szCs w:val="27"/>
        </w:rPr>
        <w:t>花蓮縣市區客運乘客各搭乘次數區間之月人數呈現明顯波動，其中「僅一次」與「二至四次」兩類乘客為主要使用族群，合計占各月使用人數之大多數。兩類人數走勢大致相近，顯示花蓮縣市區客運乘客以低至中度使用頻率者為主；其中「僅一次」乘客</w:t>
      </w:r>
      <w:proofErr w:type="gramStart"/>
      <w:r w:rsidR="00A802A0" w:rsidRPr="00A802A0">
        <w:rPr>
          <w:rFonts w:hint="eastAsia"/>
          <w:szCs w:val="27"/>
        </w:rPr>
        <w:t>占比於多數</w:t>
      </w:r>
      <w:proofErr w:type="gramEnd"/>
      <w:r w:rsidR="00A802A0" w:rsidRPr="00A802A0">
        <w:rPr>
          <w:rFonts w:hint="eastAsia"/>
          <w:szCs w:val="27"/>
        </w:rPr>
        <w:t>月份高於「二至四次」，並於分析後期進一步提高。</w:t>
      </w:r>
    </w:p>
    <w:p w14:paraId="43974AF2" w14:textId="6B4004BD" w:rsidR="009F4731" w:rsidRPr="009F4731" w:rsidRDefault="00A802A0" w:rsidP="00A802A0">
      <w:pPr>
        <w:pStyle w:val="Default"/>
        <w:autoSpaceDE/>
        <w:autoSpaceDN/>
        <w:spacing w:beforeLines="50" w:before="180" w:afterLines="50" w:after="180" w:line="400" w:lineRule="exact"/>
        <w:ind w:firstLineChars="200" w:firstLine="480"/>
        <w:jc w:val="both"/>
        <w:rPr>
          <w:rFonts w:cs="標楷體"/>
          <w:color w:val="auto"/>
          <w:szCs w:val="27"/>
        </w:rPr>
      </w:pPr>
      <w:r w:rsidRPr="00A802A0">
        <w:rPr>
          <w:rFonts w:hint="eastAsia"/>
          <w:szCs w:val="27"/>
        </w:rPr>
        <w:t>「五次以上」乘客人數及占比則明顯低於其他兩類，且整體呈下降趨勢，尤其</w:t>
      </w:r>
      <w:r w:rsidRPr="00A802A0">
        <w:rPr>
          <w:rFonts w:hint="eastAsia"/>
          <w:szCs w:val="27"/>
        </w:rPr>
        <w:t>114</w:t>
      </w:r>
      <w:r w:rsidRPr="00A802A0">
        <w:rPr>
          <w:rFonts w:hint="eastAsia"/>
          <w:szCs w:val="27"/>
        </w:rPr>
        <w:t>年</w:t>
      </w:r>
      <w:r w:rsidRPr="00A802A0">
        <w:rPr>
          <w:rFonts w:hint="eastAsia"/>
          <w:szCs w:val="27"/>
        </w:rPr>
        <w:t>11</w:t>
      </w:r>
      <w:r w:rsidRPr="00A802A0">
        <w:rPr>
          <w:rFonts w:hint="eastAsia"/>
          <w:szCs w:val="27"/>
        </w:rPr>
        <w:t>月以後占比快速降至</w:t>
      </w:r>
      <w:r w:rsidRPr="00A802A0">
        <w:rPr>
          <w:rFonts w:hint="eastAsia"/>
          <w:szCs w:val="27"/>
        </w:rPr>
        <w:t>1%</w:t>
      </w:r>
      <w:r w:rsidRPr="00A802A0">
        <w:rPr>
          <w:rFonts w:hint="eastAsia"/>
          <w:szCs w:val="27"/>
        </w:rPr>
        <w:t>以下，顯示高頻使用乘客於後期明顯減少。整體而言，花蓮縣市區客運之使用結構逐漸由較高頻率搭乘，轉向以偶發性或低頻率搭乘為主；各月份人數變化可能受到通勤、就學、假期及其他旅運需求變化影響，惟相關原因仍需配合乘客身分及旅次目的等資料進一步確認。</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0E3D180F">
            <wp:extent cx="5274310" cy="1758315"/>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315"/>
                    </a:xfrm>
                    <a:prstGeom prst="rect">
                      <a:avLst/>
                    </a:prstGeom>
                  </pic:spPr>
                </pic:pic>
              </a:graphicData>
            </a:graphic>
          </wp:inline>
        </w:drawing>
      </w:r>
    </w:p>
    <w:p w14:paraId="4235A434" w14:textId="221715F0" w:rsidR="009F4731" w:rsidRPr="009F4731" w:rsidRDefault="009F4731" w:rsidP="009F4731">
      <w:pPr>
        <w:pStyle w:val="af7"/>
        <w:spacing w:beforeLines="50" w:before="180" w:afterLines="50" w:after="180" w:line="240" w:lineRule="atLeast"/>
        <w:jc w:val="center"/>
        <w:rPr>
          <w:rFonts w:cs="標楷體"/>
          <w:sz w:val="24"/>
          <w:szCs w:val="32"/>
        </w:rPr>
      </w:pPr>
      <w:bookmarkStart w:id="49" w:name="_Ref239693820"/>
      <w:r w:rsidRPr="009F4731">
        <w:rPr>
          <w:rFonts w:hint="eastAsia"/>
          <w:sz w:val="24"/>
          <w:szCs w:val="24"/>
        </w:rPr>
        <w:t>圖</w:t>
      </w:r>
      <w:r w:rsidRPr="009F4731">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3</w:t>
      </w:r>
      <w:r w:rsidR="00990B83">
        <w:rPr>
          <w:sz w:val="24"/>
          <w:szCs w:val="24"/>
        </w:rPr>
        <w:fldChar w:fldCharType="end"/>
      </w:r>
      <w:bookmarkEnd w:id="49"/>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乘客各搭乘次數區間月人數變化折線圖</w:t>
      </w:r>
    </w:p>
    <w:p w14:paraId="74F103EF" w14:textId="2832EA19" w:rsidR="009F4731" w:rsidRPr="009F4731" w:rsidRDefault="009F4731" w:rsidP="009F4731">
      <w:pPr>
        <w:pStyle w:val="af7"/>
        <w:keepNext/>
        <w:spacing w:beforeLines="50" w:before="180" w:afterLines="50" w:after="180" w:line="240" w:lineRule="atLeast"/>
        <w:jc w:val="center"/>
        <w:rPr>
          <w:sz w:val="24"/>
          <w:szCs w:val="24"/>
        </w:rPr>
      </w:pPr>
      <w:bookmarkStart w:id="50" w:name="_Ref239693830"/>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50"/>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BEEDA96" w14:textId="784E1674"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乘客以「二至四次」及「僅一次」搭乘者為主要族群，兩者合計占各月使用人數之絕大多數。其中，</w:t>
      </w:r>
      <w:r w:rsidR="00A802A0">
        <w:rPr>
          <w:rFonts w:hint="eastAsia"/>
        </w:rPr>
        <w:t>113</w:t>
      </w:r>
      <w:r w:rsidR="00A802A0">
        <w:rPr>
          <w:rFonts w:hint="eastAsia"/>
        </w:rPr>
        <w:t>年至</w:t>
      </w:r>
      <w:r w:rsidR="00A802A0">
        <w:rPr>
          <w:rFonts w:hint="eastAsia"/>
        </w:rPr>
        <w:t>114</w:t>
      </w:r>
      <w:r w:rsidR="00A802A0">
        <w:rPr>
          <w:rFonts w:hint="eastAsia"/>
        </w:rPr>
        <w:t>年間多數月份以「二至四次」乘客占比較高，顯示</w:t>
      </w:r>
      <w:r w:rsidR="00A802A0">
        <w:rPr>
          <w:rFonts w:hint="eastAsia"/>
        </w:rPr>
        <w:t>TPASS</w:t>
      </w:r>
      <w:r w:rsidR="00A802A0">
        <w:rPr>
          <w:rFonts w:hint="eastAsia"/>
        </w:rPr>
        <w:t>乘客之月使用頻率以低至中頻為主；「五次以上」乘客占比則長期維持於較低水準，僅於部分月份出現短暫上升。</w:t>
      </w:r>
    </w:p>
    <w:p w14:paraId="5477AE62" w14:textId="35446A46" w:rsidR="00F44525" w:rsidRPr="00CC68AE" w:rsidRDefault="00A802A0" w:rsidP="00C03689">
      <w:pPr>
        <w:adjustRightInd w:val="0"/>
        <w:spacing w:beforeLines="50" w:before="180" w:afterLines="50" w:after="180" w:line="400" w:lineRule="exact"/>
        <w:ind w:firstLineChars="200" w:firstLine="480"/>
        <w:jc w:val="both"/>
        <w:rPr>
          <w:rFonts w:cs="標楷體"/>
        </w:rPr>
      </w:pPr>
      <w:proofErr w:type="gramStart"/>
      <w:r>
        <w:rPr>
          <w:rFonts w:hint="eastAsia"/>
        </w:rPr>
        <w:t>從月別變化</w:t>
      </w:r>
      <w:proofErr w:type="gramEnd"/>
      <w:r>
        <w:rPr>
          <w:rFonts w:hint="eastAsia"/>
        </w:rPr>
        <w:t>觀察，</w:t>
      </w:r>
      <w:r>
        <w:rPr>
          <w:rFonts w:hint="eastAsia"/>
        </w:rPr>
        <w:t>TPASS</w:t>
      </w:r>
      <w:r>
        <w:rPr>
          <w:rFonts w:hint="eastAsia"/>
        </w:rPr>
        <w:t>乘客人數於分析期間呈現明顯波動，部分月份人數增加，部分月份則快速下降，顯示其使用情形可能受到就學、通勤、假期及其他旅運需求變化影響。值得注意的是，</w:t>
      </w:r>
      <w:r>
        <w:rPr>
          <w:rFonts w:hint="eastAsia"/>
        </w:rPr>
        <w:t>115</w:t>
      </w:r>
      <w:r>
        <w:rPr>
          <w:rFonts w:hint="eastAsia"/>
        </w:rPr>
        <w:t>年</w:t>
      </w:r>
      <w:r>
        <w:rPr>
          <w:rFonts w:hint="eastAsia"/>
        </w:rPr>
        <w:t>5</w:t>
      </w:r>
      <w:r>
        <w:rPr>
          <w:rFonts w:hint="eastAsia"/>
        </w:rPr>
        <w:t>月至</w:t>
      </w:r>
      <w:r>
        <w:rPr>
          <w:rFonts w:hint="eastAsia"/>
        </w:rPr>
        <w:t>6</w:t>
      </w:r>
      <w:r>
        <w:rPr>
          <w:rFonts w:hint="eastAsia"/>
        </w:rPr>
        <w:t>月「僅一次」乘客占比明顯提高至約八成，而「二至四次」乘客占比則降至約兩成，顯示分析後期</w:t>
      </w:r>
      <w:r>
        <w:rPr>
          <w:rFonts w:hint="eastAsia"/>
        </w:rPr>
        <w:t>TPASS</w:t>
      </w:r>
      <w:r>
        <w:rPr>
          <w:rFonts w:hint="eastAsia"/>
        </w:rPr>
        <w:t>乘客的使用型態逐漸偏向低頻搭乘；相關變化原因仍需配合乘客身分、旅次目的及其他運具使用情形進一步分析。</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1" w:name="_toc_manual_17"/>
      <w:r w:rsidRPr="00610647">
        <w:rPr>
          <w:rFonts w:eastAsia="標楷體" w:hint="eastAsia"/>
          <w:b/>
          <w:color w:val="auto"/>
          <w:sz w:val="24"/>
          <w:szCs w:val="27"/>
        </w:rPr>
        <w:lastRenderedPageBreak/>
        <w:t xml:space="preserve"> </w:t>
      </w:r>
      <w:bookmarkStart w:id="52" w:name="_Toc238609238"/>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東縣市區客運平均每日使用次數及其族群分布</w:t>
      </w:r>
      <w:bookmarkEnd w:id="51"/>
      <w:bookmarkEnd w:id="52"/>
    </w:p>
    <w:p w14:paraId="6A8F9149" w14:textId="77777777" w:rsidR="001B60FA" w:rsidRDefault="009F4731" w:rsidP="001B60FA">
      <w:pPr>
        <w:pStyle w:val="Default"/>
        <w:keepNext/>
        <w:spacing w:line="0" w:lineRule="atLeast"/>
        <w:jc w:val="center"/>
      </w:pPr>
      <w:r>
        <w:rPr>
          <w:rFonts w:cs="標楷體"/>
          <w:noProof/>
          <w:color w:val="auto"/>
          <w:szCs w:val="27"/>
        </w:rPr>
        <w:drawing>
          <wp:inline distT="0" distB="0" distL="0" distR="0" wp14:anchorId="527B10D9" wp14:editId="58287E78">
            <wp:extent cx="5274310" cy="1758315"/>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315"/>
                    </a:xfrm>
                    <a:prstGeom prst="rect">
                      <a:avLst/>
                    </a:prstGeom>
                  </pic:spPr>
                </pic:pic>
              </a:graphicData>
            </a:graphic>
          </wp:inline>
        </w:drawing>
      </w:r>
    </w:p>
    <w:p w14:paraId="75F734DF" w14:textId="46444167" w:rsidR="001B60FA" w:rsidRPr="002D2313" w:rsidRDefault="001B60FA" w:rsidP="001B60FA">
      <w:pPr>
        <w:pStyle w:val="af7"/>
        <w:jc w:val="center"/>
        <w:rPr>
          <w:sz w:val="24"/>
          <w:szCs w:val="24"/>
        </w:rPr>
      </w:pPr>
      <w:bookmarkStart w:id="53" w:name="_Ref239694302"/>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4</w:t>
      </w:r>
      <w:r w:rsidR="00990B83">
        <w:rPr>
          <w:sz w:val="24"/>
          <w:szCs w:val="24"/>
        </w:rPr>
        <w:fldChar w:fldCharType="end"/>
      </w:r>
      <w:bookmarkEnd w:id="53"/>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月臺東縣市區客運平均每日使用次數折線圖</w:t>
      </w:r>
    </w:p>
    <w:p w14:paraId="43EBBC47" w14:textId="12698908" w:rsidR="001B60FA" w:rsidRPr="001B60FA" w:rsidRDefault="001B60FA" w:rsidP="001B60FA">
      <w:pPr>
        <w:pStyle w:val="af7"/>
        <w:keepNext/>
        <w:spacing w:beforeLines="50" w:before="180" w:afterLines="50" w:after="180" w:line="240" w:lineRule="atLeast"/>
        <w:jc w:val="center"/>
        <w:rPr>
          <w:sz w:val="24"/>
          <w:szCs w:val="24"/>
        </w:rPr>
      </w:pPr>
      <w:bookmarkStart w:id="54" w:name="_Ref239694312"/>
      <w:r w:rsidRPr="001B60FA">
        <w:rPr>
          <w:rFonts w:hint="eastAsia"/>
          <w:sz w:val="24"/>
          <w:szCs w:val="24"/>
        </w:rPr>
        <w:t>表</w:t>
      </w:r>
      <w:r w:rsidRPr="001B60FA">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54"/>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1B60FA" w:rsidRPr="001B60FA" w14:paraId="51AC474B" w14:textId="77777777" w:rsidTr="00DA7C4A">
        <w:trPr>
          <w:trHeight w:val="315"/>
          <w:jc w:val="center"/>
        </w:trPr>
        <w:tc>
          <w:tcPr>
            <w:tcW w:w="2644" w:type="dxa"/>
            <w:noWrap/>
            <w:hideMark/>
          </w:tcPr>
          <w:p w14:paraId="15A53F35" w14:textId="11CE35CA"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F76896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1.86</w:t>
            </w:r>
          </w:p>
        </w:tc>
        <w:tc>
          <w:tcPr>
            <w:tcW w:w="2645" w:type="dxa"/>
            <w:noWrap/>
            <w:hideMark/>
          </w:tcPr>
          <w:p w14:paraId="01811FC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0.062</w:t>
            </w:r>
          </w:p>
        </w:tc>
      </w:tr>
      <w:tr w:rsidR="001B60FA" w:rsidRPr="001B60FA" w14:paraId="70B3062D" w14:textId="77777777" w:rsidTr="00DA7C4A">
        <w:trPr>
          <w:trHeight w:val="315"/>
          <w:jc w:val="center"/>
        </w:trPr>
        <w:tc>
          <w:tcPr>
            <w:tcW w:w="2644" w:type="dxa"/>
            <w:noWrap/>
            <w:hideMark/>
          </w:tcPr>
          <w:p w14:paraId="5937DEB7" w14:textId="38FA853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4F67E8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3.57</w:t>
            </w:r>
          </w:p>
        </w:tc>
        <w:tc>
          <w:tcPr>
            <w:tcW w:w="2645" w:type="dxa"/>
            <w:noWrap/>
            <w:hideMark/>
          </w:tcPr>
          <w:p w14:paraId="60607D4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0.115</w:t>
            </w:r>
          </w:p>
        </w:tc>
      </w:tr>
      <w:tr w:rsidR="001B60FA" w:rsidRPr="001B60FA" w14:paraId="47365F58" w14:textId="77777777" w:rsidTr="00DA7C4A">
        <w:trPr>
          <w:trHeight w:val="315"/>
          <w:jc w:val="center"/>
        </w:trPr>
        <w:tc>
          <w:tcPr>
            <w:tcW w:w="2644" w:type="dxa"/>
            <w:noWrap/>
            <w:hideMark/>
          </w:tcPr>
          <w:p w14:paraId="1F00D014" w14:textId="1CC0FAB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7D3B601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1.76</w:t>
            </w:r>
          </w:p>
        </w:tc>
        <w:tc>
          <w:tcPr>
            <w:tcW w:w="2645" w:type="dxa"/>
            <w:noWrap/>
            <w:hideMark/>
          </w:tcPr>
          <w:p w14:paraId="69E311F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2694D816" w14:textId="77777777" w:rsidTr="00DA7C4A">
        <w:trPr>
          <w:trHeight w:val="315"/>
          <w:jc w:val="center"/>
        </w:trPr>
        <w:tc>
          <w:tcPr>
            <w:tcW w:w="2644" w:type="dxa"/>
            <w:noWrap/>
            <w:hideMark/>
          </w:tcPr>
          <w:p w14:paraId="0BF4888A" w14:textId="4085FDD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3F26DA3E" w14:textId="6E79A3A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508F5AA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24761AC5" w14:textId="77777777" w:rsidTr="00DA7C4A">
        <w:trPr>
          <w:trHeight w:val="315"/>
          <w:jc w:val="center"/>
        </w:trPr>
        <w:tc>
          <w:tcPr>
            <w:tcW w:w="2644" w:type="dxa"/>
            <w:noWrap/>
            <w:hideMark/>
          </w:tcPr>
          <w:p w14:paraId="373298A9" w14:textId="1884574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2B176EFA"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3D092FA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4C123F2F" w14:textId="77777777" w:rsidTr="00DA7C4A">
        <w:trPr>
          <w:trHeight w:val="315"/>
          <w:jc w:val="center"/>
        </w:trPr>
        <w:tc>
          <w:tcPr>
            <w:tcW w:w="2644" w:type="dxa"/>
            <w:noWrap/>
            <w:hideMark/>
          </w:tcPr>
          <w:p w14:paraId="61EDD021" w14:textId="2D8166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7B5676A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2.07</w:t>
            </w:r>
          </w:p>
        </w:tc>
        <w:tc>
          <w:tcPr>
            <w:tcW w:w="2645" w:type="dxa"/>
            <w:noWrap/>
            <w:hideMark/>
          </w:tcPr>
          <w:p w14:paraId="3F12B76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0.069</w:t>
            </w:r>
          </w:p>
        </w:tc>
      </w:tr>
      <w:tr w:rsidR="001B60FA" w:rsidRPr="001B60FA" w14:paraId="2609D71E" w14:textId="77777777" w:rsidTr="00DA7C4A">
        <w:trPr>
          <w:trHeight w:val="315"/>
          <w:jc w:val="center"/>
        </w:trPr>
        <w:tc>
          <w:tcPr>
            <w:tcW w:w="2644" w:type="dxa"/>
            <w:noWrap/>
            <w:hideMark/>
          </w:tcPr>
          <w:p w14:paraId="730ECF54" w14:textId="79FFFE3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1A34C0E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2.27</w:t>
            </w:r>
          </w:p>
        </w:tc>
        <w:tc>
          <w:tcPr>
            <w:tcW w:w="2645" w:type="dxa"/>
            <w:noWrap/>
            <w:hideMark/>
          </w:tcPr>
          <w:p w14:paraId="74D838D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0.073</w:t>
            </w:r>
          </w:p>
        </w:tc>
      </w:tr>
      <w:tr w:rsidR="001B60FA" w:rsidRPr="001B60FA" w14:paraId="184DEBE6" w14:textId="77777777" w:rsidTr="00DA7C4A">
        <w:trPr>
          <w:trHeight w:val="315"/>
          <w:jc w:val="center"/>
        </w:trPr>
        <w:tc>
          <w:tcPr>
            <w:tcW w:w="2644" w:type="dxa"/>
            <w:noWrap/>
            <w:hideMark/>
          </w:tcPr>
          <w:p w14:paraId="628E5E28" w14:textId="7CEAA9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ABF109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5EEBD4C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17348385" w14:textId="77777777" w:rsidTr="00DA7C4A">
        <w:trPr>
          <w:trHeight w:val="315"/>
          <w:jc w:val="center"/>
        </w:trPr>
        <w:tc>
          <w:tcPr>
            <w:tcW w:w="2644" w:type="dxa"/>
            <w:noWrap/>
            <w:hideMark/>
          </w:tcPr>
          <w:p w14:paraId="005F8CBB" w14:textId="6FDDF1C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6CA6A1E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4.19</w:t>
            </w:r>
          </w:p>
        </w:tc>
        <w:tc>
          <w:tcPr>
            <w:tcW w:w="2645" w:type="dxa"/>
            <w:noWrap/>
            <w:hideMark/>
          </w:tcPr>
          <w:p w14:paraId="4F9EB938" w14:textId="7021ED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0.15</w:t>
            </w:r>
            <w:r w:rsidR="002D2313">
              <w:rPr>
                <w:rFonts w:cs="Times New Roman" w:hint="eastAsia"/>
                <w:color w:val="000000"/>
                <w:kern w:val="0"/>
                <w14:ligatures w14:val="none"/>
              </w:rPr>
              <w:t>0</w:t>
            </w:r>
          </w:p>
        </w:tc>
      </w:tr>
      <w:tr w:rsidR="001B60FA" w:rsidRPr="001B60FA" w14:paraId="36D5A783" w14:textId="77777777" w:rsidTr="00DA7C4A">
        <w:trPr>
          <w:trHeight w:val="315"/>
          <w:jc w:val="center"/>
        </w:trPr>
        <w:tc>
          <w:tcPr>
            <w:tcW w:w="2644" w:type="dxa"/>
            <w:noWrap/>
            <w:hideMark/>
          </w:tcPr>
          <w:p w14:paraId="54A6478D" w14:textId="7F90B6B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0A13DB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2.16</w:t>
            </w:r>
          </w:p>
        </w:tc>
        <w:tc>
          <w:tcPr>
            <w:tcW w:w="2645" w:type="dxa"/>
            <w:noWrap/>
            <w:hideMark/>
          </w:tcPr>
          <w:p w14:paraId="36E97FB9" w14:textId="3F27ACE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w:t>
            </w:r>
            <w:r w:rsidR="002D2313">
              <w:rPr>
                <w:rFonts w:cs="Times New Roman" w:hint="eastAsia"/>
                <w:color w:val="000000"/>
                <w:kern w:val="0"/>
                <w14:ligatures w14:val="none"/>
              </w:rPr>
              <w:t>0</w:t>
            </w:r>
          </w:p>
        </w:tc>
      </w:tr>
      <w:tr w:rsidR="001B60FA" w:rsidRPr="001B60FA" w14:paraId="42A98CE9" w14:textId="77777777" w:rsidTr="00DA7C4A">
        <w:trPr>
          <w:trHeight w:val="315"/>
          <w:jc w:val="center"/>
        </w:trPr>
        <w:tc>
          <w:tcPr>
            <w:tcW w:w="2644" w:type="dxa"/>
            <w:noWrap/>
            <w:hideMark/>
          </w:tcPr>
          <w:p w14:paraId="3D88151F" w14:textId="551BC68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89F198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2.03</w:t>
            </w:r>
          </w:p>
        </w:tc>
        <w:tc>
          <w:tcPr>
            <w:tcW w:w="2645" w:type="dxa"/>
            <w:noWrap/>
            <w:hideMark/>
          </w:tcPr>
          <w:p w14:paraId="7AA2627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071E8D66" w14:textId="77777777" w:rsidTr="00DA7C4A">
        <w:trPr>
          <w:trHeight w:val="315"/>
          <w:jc w:val="center"/>
        </w:trPr>
        <w:tc>
          <w:tcPr>
            <w:tcW w:w="2644" w:type="dxa"/>
            <w:noWrap/>
            <w:hideMark/>
          </w:tcPr>
          <w:p w14:paraId="7D8F9A56" w14:textId="1C3B848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0920D154" w14:textId="1C9095E5"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4B0B2F3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083937F6" w14:textId="77777777" w:rsidTr="00DA7C4A">
        <w:trPr>
          <w:trHeight w:val="315"/>
          <w:jc w:val="center"/>
        </w:trPr>
        <w:tc>
          <w:tcPr>
            <w:tcW w:w="2644" w:type="dxa"/>
            <w:noWrap/>
            <w:hideMark/>
          </w:tcPr>
          <w:p w14:paraId="3A233BAD" w14:textId="66337F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4B52978" w14:textId="065FCC6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6504E7B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19FEC4A1" w14:textId="77777777" w:rsidTr="00DA7C4A">
        <w:trPr>
          <w:trHeight w:val="315"/>
          <w:jc w:val="center"/>
        </w:trPr>
        <w:tc>
          <w:tcPr>
            <w:tcW w:w="2644" w:type="dxa"/>
            <w:noWrap/>
            <w:hideMark/>
          </w:tcPr>
          <w:p w14:paraId="162496DC" w14:textId="0BD242F6"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14BC3C22" w14:textId="243277B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w:t>
            </w:r>
            <w:r w:rsidR="002D2313">
              <w:rPr>
                <w:rFonts w:cs="Times New Roman" w:hint="eastAsia"/>
                <w:color w:val="000000"/>
                <w:kern w:val="0"/>
                <w14:ligatures w14:val="none"/>
              </w:rPr>
              <w:t>0</w:t>
            </w:r>
          </w:p>
        </w:tc>
        <w:tc>
          <w:tcPr>
            <w:tcW w:w="2645" w:type="dxa"/>
            <w:noWrap/>
            <w:hideMark/>
          </w:tcPr>
          <w:p w14:paraId="145B9F6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0.058</w:t>
            </w:r>
          </w:p>
        </w:tc>
      </w:tr>
      <w:tr w:rsidR="001B60FA" w:rsidRPr="001B60FA" w14:paraId="101799D3" w14:textId="77777777" w:rsidTr="00DA7C4A">
        <w:trPr>
          <w:trHeight w:val="315"/>
          <w:jc w:val="center"/>
        </w:trPr>
        <w:tc>
          <w:tcPr>
            <w:tcW w:w="2644" w:type="dxa"/>
            <w:noWrap/>
            <w:hideMark/>
          </w:tcPr>
          <w:p w14:paraId="5DCA0D48" w14:textId="40CA532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2B6C773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1.77</w:t>
            </w:r>
          </w:p>
        </w:tc>
        <w:tc>
          <w:tcPr>
            <w:tcW w:w="2645" w:type="dxa"/>
            <w:noWrap/>
            <w:hideMark/>
          </w:tcPr>
          <w:p w14:paraId="7B2687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43231327" w14:textId="77777777" w:rsidTr="00DA7C4A">
        <w:trPr>
          <w:trHeight w:val="315"/>
          <w:jc w:val="center"/>
        </w:trPr>
        <w:tc>
          <w:tcPr>
            <w:tcW w:w="2644" w:type="dxa"/>
            <w:noWrap/>
            <w:hideMark/>
          </w:tcPr>
          <w:p w14:paraId="7474EB9F" w14:textId="52A0FE8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448026E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1.96</w:t>
            </w:r>
          </w:p>
        </w:tc>
        <w:tc>
          <w:tcPr>
            <w:tcW w:w="2645" w:type="dxa"/>
            <w:noWrap/>
            <w:hideMark/>
          </w:tcPr>
          <w:p w14:paraId="0361346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35F62" w14:textId="77777777" w:rsidTr="00DA7C4A">
        <w:trPr>
          <w:trHeight w:val="315"/>
          <w:jc w:val="center"/>
        </w:trPr>
        <w:tc>
          <w:tcPr>
            <w:tcW w:w="2644" w:type="dxa"/>
            <w:noWrap/>
            <w:hideMark/>
          </w:tcPr>
          <w:p w14:paraId="33A29590" w14:textId="28AC20C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7F50795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4D4C227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AF141" w14:textId="77777777" w:rsidTr="00DA7C4A">
        <w:trPr>
          <w:trHeight w:val="315"/>
          <w:jc w:val="center"/>
        </w:trPr>
        <w:tc>
          <w:tcPr>
            <w:tcW w:w="2644" w:type="dxa"/>
            <w:noWrap/>
            <w:hideMark/>
          </w:tcPr>
          <w:p w14:paraId="53FF343A" w14:textId="4CF804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0083783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2.04</w:t>
            </w:r>
          </w:p>
        </w:tc>
        <w:tc>
          <w:tcPr>
            <w:tcW w:w="2645" w:type="dxa"/>
            <w:noWrap/>
            <w:hideMark/>
          </w:tcPr>
          <w:p w14:paraId="4EA7224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52C578F0" w14:textId="77777777" w:rsidTr="00DA7C4A">
        <w:trPr>
          <w:trHeight w:val="315"/>
          <w:jc w:val="center"/>
        </w:trPr>
        <w:tc>
          <w:tcPr>
            <w:tcW w:w="2644" w:type="dxa"/>
            <w:noWrap/>
            <w:hideMark/>
          </w:tcPr>
          <w:p w14:paraId="766652C1" w14:textId="4CC44F5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4E81B7F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617B505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5AE92C33" w14:textId="77777777" w:rsidTr="00DA7C4A">
        <w:trPr>
          <w:trHeight w:val="315"/>
          <w:jc w:val="center"/>
        </w:trPr>
        <w:tc>
          <w:tcPr>
            <w:tcW w:w="2644" w:type="dxa"/>
            <w:noWrap/>
            <w:hideMark/>
          </w:tcPr>
          <w:p w14:paraId="7CBD6188" w14:textId="07AFD3B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853902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08CDD17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6A0FED7B" w14:textId="77777777" w:rsidTr="00DA7C4A">
        <w:trPr>
          <w:trHeight w:val="315"/>
          <w:jc w:val="center"/>
        </w:trPr>
        <w:tc>
          <w:tcPr>
            <w:tcW w:w="2644" w:type="dxa"/>
            <w:noWrap/>
            <w:hideMark/>
          </w:tcPr>
          <w:p w14:paraId="3E51914B" w14:textId="59F2C6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5A3FD23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1.78</w:t>
            </w:r>
          </w:p>
        </w:tc>
        <w:tc>
          <w:tcPr>
            <w:tcW w:w="2645" w:type="dxa"/>
            <w:noWrap/>
            <w:hideMark/>
          </w:tcPr>
          <w:p w14:paraId="5D71993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r w:rsidR="001B60FA" w:rsidRPr="001B60FA" w14:paraId="111EF94D" w14:textId="77777777" w:rsidTr="00DA7C4A">
        <w:trPr>
          <w:trHeight w:val="315"/>
          <w:jc w:val="center"/>
        </w:trPr>
        <w:tc>
          <w:tcPr>
            <w:tcW w:w="2644" w:type="dxa"/>
            <w:noWrap/>
            <w:hideMark/>
          </w:tcPr>
          <w:p w14:paraId="0016765B" w14:textId="627F420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78C73F6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0ED80AB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3CE1246B" w14:textId="77777777" w:rsidTr="00DA7C4A">
        <w:trPr>
          <w:trHeight w:val="315"/>
          <w:jc w:val="center"/>
        </w:trPr>
        <w:tc>
          <w:tcPr>
            <w:tcW w:w="2644" w:type="dxa"/>
            <w:noWrap/>
            <w:hideMark/>
          </w:tcPr>
          <w:p w14:paraId="6C4EC002" w14:textId="26BA719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42900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1.84</w:t>
            </w:r>
          </w:p>
        </w:tc>
        <w:tc>
          <w:tcPr>
            <w:tcW w:w="2645" w:type="dxa"/>
            <w:noWrap/>
            <w:hideMark/>
          </w:tcPr>
          <w:p w14:paraId="53F36E7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0.061</w:t>
            </w:r>
          </w:p>
        </w:tc>
      </w:tr>
      <w:tr w:rsidR="001B60FA" w:rsidRPr="001B60FA" w14:paraId="0471D3D5" w14:textId="77777777" w:rsidTr="00DA7C4A">
        <w:trPr>
          <w:trHeight w:val="315"/>
          <w:jc w:val="center"/>
        </w:trPr>
        <w:tc>
          <w:tcPr>
            <w:tcW w:w="2644" w:type="dxa"/>
            <w:noWrap/>
            <w:hideMark/>
          </w:tcPr>
          <w:p w14:paraId="243EF344" w14:textId="5E1235E8"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1E073BB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1.94</w:t>
            </w:r>
          </w:p>
        </w:tc>
        <w:tc>
          <w:tcPr>
            <w:tcW w:w="2645" w:type="dxa"/>
            <w:noWrap/>
            <w:hideMark/>
          </w:tcPr>
          <w:p w14:paraId="168B98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0.063</w:t>
            </w:r>
          </w:p>
        </w:tc>
      </w:tr>
      <w:tr w:rsidR="001B60FA" w:rsidRPr="001B60FA" w14:paraId="456B81DF" w14:textId="77777777" w:rsidTr="00DA7C4A">
        <w:trPr>
          <w:trHeight w:val="315"/>
          <w:jc w:val="center"/>
        </w:trPr>
        <w:tc>
          <w:tcPr>
            <w:tcW w:w="2644" w:type="dxa"/>
            <w:noWrap/>
            <w:hideMark/>
          </w:tcPr>
          <w:p w14:paraId="1DD84050" w14:textId="6D72003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0C27FD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1.93</w:t>
            </w:r>
          </w:p>
        </w:tc>
        <w:tc>
          <w:tcPr>
            <w:tcW w:w="2645" w:type="dxa"/>
            <w:noWrap/>
            <w:hideMark/>
          </w:tcPr>
          <w:p w14:paraId="754078E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bl>
    <w:p w14:paraId="1A8BF40C" w14:textId="36C87EB6" w:rsidR="00F44525" w:rsidRPr="009F4731" w:rsidRDefault="001B60FA"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1B60FA">
        <w:rPr>
          <w:rFonts w:cs="標楷體" w:hint="eastAsia"/>
          <w:color w:val="auto"/>
          <w:szCs w:val="27"/>
        </w:rPr>
        <w:lastRenderedPageBreak/>
        <w:t>由</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_Ref239694302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及</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_Ref239694312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1B60FA">
        <w:rPr>
          <w:rFonts w:hint="eastAsia"/>
        </w:rPr>
        <w:t>表</w:t>
      </w:r>
      <w:r w:rsidR="00EC1F40" w:rsidRPr="001B60FA">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顯示，</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月至</w:t>
      </w:r>
      <w:r w:rsidRPr="001B60FA">
        <w:rPr>
          <w:rFonts w:cs="標楷體" w:hint="eastAsia"/>
          <w:color w:val="auto"/>
          <w:szCs w:val="27"/>
        </w:rPr>
        <w:t>115</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月臺東縣市區客運平均每日使用次數介於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0.150</w:t>
      </w:r>
      <w:r w:rsidRPr="001B60FA">
        <w:rPr>
          <w:rFonts w:cs="標楷體" w:hint="eastAsia"/>
          <w:color w:val="auto"/>
          <w:szCs w:val="27"/>
        </w:rPr>
        <w:t>次之間。最高點出現在</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2</w:t>
      </w:r>
      <w:r w:rsidRPr="001B60FA">
        <w:rPr>
          <w:rFonts w:cs="標楷體" w:hint="eastAsia"/>
          <w:color w:val="auto"/>
          <w:szCs w:val="27"/>
        </w:rPr>
        <w:t>月，為</w:t>
      </w:r>
      <w:r w:rsidRPr="001B60FA">
        <w:rPr>
          <w:rFonts w:cs="標楷體" w:hint="eastAsia"/>
          <w:color w:val="auto"/>
          <w:szCs w:val="27"/>
        </w:rPr>
        <w:t>0.150</w:t>
      </w:r>
      <w:r w:rsidRPr="001B60FA">
        <w:rPr>
          <w:rFonts w:cs="標楷體" w:hint="eastAsia"/>
          <w:color w:val="auto"/>
          <w:szCs w:val="27"/>
        </w:rPr>
        <w:t>次；</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7</w:t>
      </w:r>
      <w:r w:rsidRPr="001B60FA">
        <w:rPr>
          <w:rFonts w:cs="標楷體" w:hint="eastAsia"/>
          <w:color w:val="auto"/>
          <w:szCs w:val="27"/>
        </w:rPr>
        <w:t>月亦達</w:t>
      </w:r>
      <w:r w:rsidRPr="001B60FA">
        <w:rPr>
          <w:rFonts w:cs="標楷體" w:hint="eastAsia"/>
          <w:color w:val="auto"/>
          <w:szCs w:val="27"/>
        </w:rPr>
        <w:t>0.115</w:t>
      </w:r>
      <w:r w:rsidRPr="001B60FA">
        <w:rPr>
          <w:rFonts w:cs="標楷體" w:hint="eastAsia"/>
          <w:color w:val="auto"/>
          <w:szCs w:val="27"/>
        </w:rPr>
        <w:t>次，形成兩個明顯高點</w:t>
      </w:r>
      <w:r w:rsidR="00901F81">
        <w:rPr>
          <w:rFonts w:cs="標楷體" w:hint="eastAsia"/>
          <w:color w:val="auto"/>
          <w:szCs w:val="27"/>
        </w:rPr>
        <w:t>；</w:t>
      </w:r>
      <w:r w:rsidRPr="001B60FA">
        <w:rPr>
          <w:rFonts w:cs="標楷體" w:hint="eastAsia"/>
          <w:color w:val="auto"/>
          <w:szCs w:val="27"/>
        </w:rPr>
        <w:t>最低點則出現在</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月及</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w:t>
      </w:r>
      <w:proofErr w:type="gramStart"/>
      <w:r w:rsidRPr="001B60FA">
        <w:rPr>
          <w:rFonts w:cs="標楷體" w:hint="eastAsia"/>
          <w:color w:val="auto"/>
          <w:szCs w:val="27"/>
        </w:rPr>
        <w:t>均為</w:t>
      </w:r>
      <w:r w:rsidRPr="001B60FA">
        <w:rPr>
          <w:rFonts w:cs="標楷體" w:hint="eastAsia"/>
          <w:color w:val="auto"/>
          <w:szCs w:val="27"/>
        </w:rPr>
        <w:t>0.057</w:t>
      </w:r>
      <w:r w:rsidRPr="001B60FA">
        <w:rPr>
          <w:rFonts w:cs="標楷體" w:hint="eastAsia"/>
          <w:color w:val="auto"/>
          <w:szCs w:val="27"/>
        </w:rPr>
        <w:t>次</w:t>
      </w:r>
      <w:proofErr w:type="gramEnd"/>
      <w:r w:rsidRPr="001B60FA">
        <w:rPr>
          <w:rFonts w:cs="標楷體" w:hint="eastAsia"/>
          <w:color w:val="auto"/>
          <w:szCs w:val="27"/>
        </w:rPr>
        <w:t>。若排除上述兩個高點，其餘月份大致介於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0.073</w:t>
      </w:r>
      <w:r w:rsidRPr="001B60FA">
        <w:rPr>
          <w:rFonts w:cs="標楷體" w:hint="eastAsia"/>
          <w:color w:val="auto"/>
          <w:szCs w:val="27"/>
        </w:rPr>
        <w:t>次之間；</w:t>
      </w:r>
      <w:r w:rsidRPr="001B60FA">
        <w:rPr>
          <w:rFonts w:cs="標楷體" w:hint="eastAsia"/>
          <w:color w:val="auto"/>
          <w:szCs w:val="27"/>
        </w:rPr>
        <w:t>115</w:t>
      </w:r>
      <w:r w:rsidRPr="001B60FA">
        <w:rPr>
          <w:rFonts w:cs="標楷體" w:hint="eastAsia"/>
          <w:color w:val="auto"/>
          <w:szCs w:val="27"/>
        </w:rPr>
        <w:t>年上半年則維持於</w:t>
      </w:r>
      <w:r w:rsidRPr="001B60FA">
        <w:rPr>
          <w:rFonts w:cs="標楷體" w:hint="eastAsia"/>
          <w:color w:val="auto"/>
          <w:szCs w:val="27"/>
        </w:rPr>
        <w:t>0.061</w:t>
      </w:r>
      <w:r w:rsidRPr="001B60FA">
        <w:rPr>
          <w:rFonts w:cs="標楷體" w:hint="eastAsia"/>
          <w:color w:val="auto"/>
          <w:szCs w:val="27"/>
        </w:rPr>
        <w:t>次至</w:t>
      </w:r>
      <w:r w:rsidRPr="001B60FA">
        <w:rPr>
          <w:rFonts w:cs="標楷體" w:hint="eastAsia"/>
          <w:color w:val="auto"/>
          <w:szCs w:val="27"/>
        </w:rPr>
        <w:t>0.066</w:t>
      </w:r>
      <w:r w:rsidRPr="001B60FA">
        <w:rPr>
          <w:rFonts w:cs="標楷體" w:hint="eastAsia"/>
          <w:color w:val="auto"/>
          <w:szCs w:val="27"/>
        </w:rPr>
        <w:t>次，顯示近期使用頻率相對穩定。</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6B828922">
            <wp:extent cx="5274310" cy="1758315"/>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315"/>
                    </a:xfrm>
                    <a:prstGeom prst="rect">
                      <a:avLst/>
                    </a:prstGeom>
                  </pic:spPr>
                </pic:pic>
              </a:graphicData>
            </a:graphic>
          </wp:inline>
        </w:drawing>
      </w:r>
    </w:p>
    <w:p w14:paraId="7C31A4EC" w14:textId="667E75C2" w:rsidR="002D2313" w:rsidRDefault="002D2313" w:rsidP="002D2313">
      <w:pPr>
        <w:pStyle w:val="af7"/>
        <w:spacing w:beforeLines="50" w:before="180" w:afterLines="50" w:after="180" w:line="240" w:lineRule="atLeast"/>
        <w:jc w:val="center"/>
        <w:rPr>
          <w:sz w:val="24"/>
          <w:szCs w:val="24"/>
        </w:rPr>
      </w:pPr>
      <w:bookmarkStart w:id="55" w:name="_Ref239694525"/>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5</w:t>
      </w:r>
      <w:r w:rsidR="00990B83">
        <w:rPr>
          <w:sz w:val="24"/>
          <w:szCs w:val="24"/>
        </w:rPr>
        <w:fldChar w:fldCharType="end"/>
      </w:r>
      <w:bookmarkEnd w:id="55"/>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6A0F056E" w:rsidR="002D2313" w:rsidRDefault="002D2313" w:rsidP="002D2313">
      <w:pPr>
        <w:pStyle w:val="af7"/>
        <w:keepNext/>
        <w:spacing w:beforeLines="50" w:before="180" w:afterLines="50" w:after="180" w:line="240" w:lineRule="atLeast"/>
        <w:jc w:val="center"/>
        <w:rPr>
          <w:sz w:val="24"/>
          <w:szCs w:val="24"/>
        </w:rPr>
      </w:pPr>
      <w:bookmarkStart w:id="56" w:name="_Ref239694540"/>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5</w:t>
      </w:r>
      <w:r w:rsidR="00ED7EB8">
        <w:rPr>
          <w:sz w:val="24"/>
          <w:szCs w:val="24"/>
        </w:rPr>
        <w:fldChar w:fldCharType="end"/>
      </w:r>
      <w:bookmarkEnd w:id="56"/>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3E44DDA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F97A5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D6605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3B17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2,263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04C5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4D562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EF315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1491344A"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F0AC7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14A81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8185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E29F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88.2%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FF80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750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2256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11.8%</w:t>
            </w:r>
          </w:p>
        </w:tc>
      </w:tr>
      <w:tr w:rsidR="002D2313" w:rsidRPr="002D2313" w14:paraId="3405465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37D01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35AE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6A050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4F66C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26076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7D07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w:t>
            </w:r>
          </w:p>
        </w:tc>
      </w:tr>
      <w:tr w:rsidR="002D2313" w:rsidRPr="002D2313" w14:paraId="6903B12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9F7B6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4DEAA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2EA5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83EA9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CB9FF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C56D6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w:t>
            </w:r>
          </w:p>
        </w:tc>
      </w:tr>
      <w:tr w:rsidR="002D2313" w:rsidRPr="002D2313" w14:paraId="509F27B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CCF8D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7236B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AA5E6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2,535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F37CC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72B2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0F1B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5.3%</w:t>
            </w:r>
          </w:p>
        </w:tc>
      </w:tr>
      <w:tr w:rsidR="002D2313" w:rsidRPr="002D2313" w14:paraId="31E09E94"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91AF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491D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CD0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5083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BF8F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EBCB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00D17FB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26024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31BA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C40BE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2,319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8D21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6F9E6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1CD98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6.4%</w:t>
            </w:r>
          </w:p>
        </w:tc>
      </w:tr>
      <w:tr w:rsidR="002D2313" w:rsidRPr="002D2313" w14:paraId="49F869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2EEA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3,025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DD793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7F3C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1,922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3BCDD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53CBE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295</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C1417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w:t>
            </w:r>
          </w:p>
        </w:tc>
      </w:tr>
      <w:tr w:rsidR="002D2313" w:rsidRPr="002D2313" w14:paraId="3B4734E9"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C25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28B2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6772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B0878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83.4%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B03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791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C1FE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16.6%</w:t>
            </w:r>
          </w:p>
        </w:tc>
      </w:tr>
      <w:tr w:rsidR="002D2313" w:rsidRPr="002D2313" w14:paraId="0D8C338F"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708AA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409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7ABA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49E8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59F5E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3B6B3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229650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9F72B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FAD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7EA8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DD975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290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5F56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1AB5311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910E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4,290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E9B6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FBB84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DA105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B237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E2A9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24921DB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027E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C885F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C87E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9C1F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F0F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AC359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04EE621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78C30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DE44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E93B8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9D55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E96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E26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w:t>
            </w:r>
          </w:p>
        </w:tc>
      </w:tr>
      <w:tr w:rsidR="002D2313" w:rsidRPr="002D2313" w14:paraId="23B6052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9406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D82A2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D6A46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6D520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F12EE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A276D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w:t>
            </w:r>
          </w:p>
        </w:tc>
      </w:tr>
      <w:tr w:rsidR="002D2313" w:rsidRPr="002D2313" w14:paraId="1224A82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E6A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F787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E47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CA754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308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913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70FE131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D140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96F1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A9AA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EEA9D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F773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03C0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4D33CFD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7BD8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6E461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8307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6162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4C8C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C20B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31A3AC6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566E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3988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430F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C3C1B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EB40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319</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23CE0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204250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FFB5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3BE5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3957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FA8A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62C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78DEB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w:t>
            </w:r>
          </w:p>
        </w:tc>
      </w:tr>
      <w:tr w:rsidR="002D2313" w:rsidRPr="002D2313" w14:paraId="1BC6D5C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5E1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8A8D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706A1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A3C1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4E216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6416A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w:t>
            </w:r>
          </w:p>
        </w:tc>
      </w:tr>
      <w:tr w:rsidR="002D2313" w:rsidRPr="002D2313" w14:paraId="4B030DAE"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241A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3,421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066B2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49D2B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2,172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5B9F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5CA38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B629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98CDAA1"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8CB94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ADC4D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66693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DE4F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ABEEE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86D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7E21144B"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D7F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2380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07F1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B1A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AE0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74E27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4.5%</w:t>
            </w:r>
          </w:p>
        </w:tc>
      </w:tr>
      <w:tr w:rsidR="002D2313" w:rsidRPr="002D2313" w14:paraId="5F50A173"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E02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10E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9E15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2,637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A00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B4D42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3B0C3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bl>
    <w:p w14:paraId="6FC4C953" w14:textId="5FA5D7B7"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東縣市區客運乘客整體以「僅一次」及「二至四次」搭乘者為主要族群，平均占比分別約為</w:t>
      </w:r>
      <w:r w:rsidR="00901F81" w:rsidRPr="00901F81">
        <w:rPr>
          <w:rFonts w:cs="標楷體" w:hint="eastAsia"/>
          <w:color w:val="auto"/>
          <w:szCs w:val="27"/>
        </w:rPr>
        <w:t>53.1%</w:t>
      </w:r>
      <w:r w:rsidR="00901F81" w:rsidRPr="00901F81">
        <w:rPr>
          <w:rFonts w:cs="標楷體" w:hint="eastAsia"/>
          <w:color w:val="auto"/>
          <w:szCs w:val="27"/>
        </w:rPr>
        <w:t>及</w:t>
      </w:r>
      <w:r w:rsidR="00901F81" w:rsidRPr="00901F81">
        <w:rPr>
          <w:rFonts w:cs="標楷體" w:hint="eastAsia"/>
          <w:color w:val="auto"/>
          <w:szCs w:val="27"/>
        </w:rPr>
        <w:t>41.5%</w:t>
      </w:r>
      <w:r w:rsidR="00901F81" w:rsidRPr="00901F81">
        <w:rPr>
          <w:rFonts w:cs="標楷體" w:hint="eastAsia"/>
          <w:color w:val="auto"/>
          <w:szCs w:val="27"/>
        </w:rPr>
        <w:t>，兩者合計約占</w:t>
      </w:r>
      <w:r w:rsidR="00901F81" w:rsidRPr="00901F81">
        <w:rPr>
          <w:rFonts w:cs="標楷體" w:hint="eastAsia"/>
          <w:color w:val="auto"/>
          <w:szCs w:val="27"/>
        </w:rPr>
        <w:t>94.6%</w:t>
      </w:r>
      <w:r w:rsidR="00901F81" w:rsidRPr="00901F81">
        <w:rPr>
          <w:rFonts w:cs="標楷體" w:hint="eastAsia"/>
          <w:color w:val="auto"/>
          <w:szCs w:val="27"/>
        </w:rPr>
        <w:t>；「五次以上」乘客平均占比則約為</w:t>
      </w:r>
      <w:r w:rsidR="00901F81" w:rsidRPr="00901F81">
        <w:rPr>
          <w:rFonts w:cs="標楷體" w:hint="eastAsia"/>
          <w:color w:val="auto"/>
          <w:szCs w:val="27"/>
        </w:rPr>
        <w:t>5.4%</w:t>
      </w:r>
      <w:r w:rsidR="00901F81" w:rsidRPr="00901F81">
        <w:rPr>
          <w:rFonts w:cs="標楷體" w:hint="eastAsia"/>
          <w:color w:val="auto"/>
          <w:szCs w:val="27"/>
        </w:rPr>
        <w:t>。除部分特殊月份外，「僅一次」與「二至四次」乘客人數變化大致呈現相近走勢，顯示</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東縣市區客運之使用型態以低頻及中頻搭乘為主。</w:t>
      </w:r>
    </w:p>
    <w:p w14:paraId="737C99C4" w14:textId="6B6C597B" w:rsidR="002D2313" w:rsidRDefault="00901F81" w:rsidP="00901F81">
      <w:pPr>
        <w:pStyle w:val="Default"/>
        <w:autoSpaceDE/>
        <w:autoSpaceDN/>
        <w:spacing w:beforeLines="50" w:before="180" w:afterLines="50" w:after="180" w:line="400" w:lineRule="exact"/>
        <w:ind w:firstLineChars="200" w:firstLine="480"/>
        <w:jc w:val="both"/>
        <w:rPr>
          <w:rFonts w:cs="標楷體"/>
          <w:color w:val="auto"/>
          <w:szCs w:val="27"/>
        </w:rPr>
      </w:pPr>
      <w:r w:rsidRPr="00901F81">
        <w:rPr>
          <w:rFonts w:cs="標楷體" w:hint="eastAsia"/>
          <w:color w:val="auto"/>
          <w:szCs w:val="27"/>
        </w:rPr>
        <w:t>就分析期間首尾比較，「僅一次」乘客由</w:t>
      </w:r>
      <w:r w:rsidRPr="00901F81">
        <w:rPr>
          <w:rFonts w:cs="標楷體" w:hint="eastAsia"/>
          <w:color w:val="auto"/>
          <w:szCs w:val="27"/>
        </w:rPr>
        <w:t>3,695</w:t>
      </w:r>
      <w:r w:rsidRPr="00901F81">
        <w:rPr>
          <w:rFonts w:cs="標楷體" w:hint="eastAsia"/>
          <w:color w:val="auto"/>
          <w:szCs w:val="27"/>
        </w:rPr>
        <w:t>人增加至</w:t>
      </w:r>
      <w:r w:rsidRPr="00901F81">
        <w:rPr>
          <w:rFonts w:cs="標楷體" w:hint="eastAsia"/>
          <w:color w:val="auto"/>
          <w:szCs w:val="27"/>
        </w:rPr>
        <w:t>4,054</w:t>
      </w:r>
      <w:r w:rsidRPr="00901F81">
        <w:rPr>
          <w:rFonts w:cs="標楷體" w:hint="eastAsia"/>
          <w:color w:val="auto"/>
          <w:szCs w:val="27"/>
        </w:rPr>
        <w:t>人，增幅約</w:t>
      </w:r>
      <w:r w:rsidRPr="00901F81">
        <w:rPr>
          <w:rFonts w:cs="標楷體" w:hint="eastAsia"/>
          <w:color w:val="auto"/>
          <w:szCs w:val="27"/>
        </w:rPr>
        <w:t>9.7%</w:t>
      </w:r>
      <w:r w:rsidRPr="00901F81">
        <w:rPr>
          <w:rFonts w:cs="標楷體" w:hint="eastAsia"/>
          <w:color w:val="auto"/>
          <w:szCs w:val="27"/>
        </w:rPr>
        <w:t>；「二至四次」由</w:t>
      </w:r>
      <w:r w:rsidRPr="00901F81">
        <w:rPr>
          <w:rFonts w:cs="標楷體" w:hint="eastAsia"/>
          <w:color w:val="auto"/>
          <w:szCs w:val="27"/>
        </w:rPr>
        <w:t>2,263</w:t>
      </w:r>
      <w:r w:rsidRPr="00901F81">
        <w:rPr>
          <w:rFonts w:cs="標楷體" w:hint="eastAsia"/>
          <w:color w:val="auto"/>
          <w:szCs w:val="27"/>
        </w:rPr>
        <w:t>人增加至</w:t>
      </w:r>
      <w:r w:rsidRPr="00901F81">
        <w:rPr>
          <w:rFonts w:cs="標楷體" w:hint="eastAsia"/>
          <w:color w:val="auto"/>
          <w:szCs w:val="27"/>
        </w:rPr>
        <w:t>2,637</w:t>
      </w:r>
      <w:r w:rsidRPr="00901F81">
        <w:rPr>
          <w:rFonts w:cs="標楷體" w:hint="eastAsia"/>
          <w:color w:val="auto"/>
          <w:szCs w:val="27"/>
        </w:rPr>
        <w:t>人，增幅約</w:t>
      </w:r>
      <w:r w:rsidRPr="00901F81">
        <w:rPr>
          <w:rFonts w:cs="標楷體" w:hint="eastAsia"/>
          <w:color w:val="auto"/>
          <w:szCs w:val="27"/>
        </w:rPr>
        <w:t>16.5%</w:t>
      </w:r>
      <w:r w:rsidRPr="00901F81">
        <w:rPr>
          <w:rFonts w:cs="標楷體" w:hint="eastAsia"/>
          <w:color w:val="auto"/>
          <w:szCs w:val="27"/>
        </w:rPr>
        <w:t>；「五次以上」則由</w:t>
      </w:r>
      <w:r w:rsidRPr="00901F81">
        <w:rPr>
          <w:rFonts w:cs="標楷體" w:hint="eastAsia"/>
          <w:color w:val="auto"/>
          <w:szCs w:val="27"/>
        </w:rPr>
        <w:t>241</w:t>
      </w:r>
      <w:r w:rsidRPr="00901F81">
        <w:rPr>
          <w:rFonts w:cs="標楷體" w:hint="eastAsia"/>
          <w:color w:val="auto"/>
          <w:szCs w:val="27"/>
        </w:rPr>
        <w:t>人增加至</w:t>
      </w:r>
      <w:r w:rsidRPr="00901F81">
        <w:rPr>
          <w:rFonts w:cs="標楷體" w:hint="eastAsia"/>
          <w:color w:val="auto"/>
          <w:szCs w:val="27"/>
        </w:rPr>
        <w:t>320</w:t>
      </w:r>
      <w:r w:rsidRPr="00901F81">
        <w:rPr>
          <w:rFonts w:cs="標楷體" w:hint="eastAsia"/>
          <w:color w:val="auto"/>
          <w:szCs w:val="27"/>
        </w:rPr>
        <w:t>人，相對增幅約</w:t>
      </w:r>
      <w:r w:rsidRPr="00901F81">
        <w:rPr>
          <w:rFonts w:cs="標楷體" w:hint="eastAsia"/>
          <w:color w:val="auto"/>
          <w:szCs w:val="27"/>
        </w:rPr>
        <w:t>32.8%</w:t>
      </w:r>
      <w:r w:rsidRPr="00901F81">
        <w:rPr>
          <w:rFonts w:cs="標楷體" w:hint="eastAsia"/>
          <w:color w:val="auto"/>
          <w:szCs w:val="27"/>
        </w:rPr>
        <w:t>。</w:t>
      </w:r>
      <w:proofErr w:type="gramStart"/>
      <w:r w:rsidRPr="00901F81">
        <w:rPr>
          <w:rFonts w:cs="標楷體" w:hint="eastAsia"/>
          <w:color w:val="auto"/>
          <w:szCs w:val="27"/>
        </w:rPr>
        <w:t>惟</w:t>
      </w:r>
      <w:proofErr w:type="gramEnd"/>
      <w:r w:rsidRPr="00901F81">
        <w:rPr>
          <w:rFonts w:cs="標楷體" w:hint="eastAsia"/>
          <w:color w:val="auto"/>
          <w:szCs w:val="27"/>
        </w:rPr>
        <w:t>高頻乘客之基期人數較低，其人數規模仍明顯小於其他兩類。另</w:t>
      </w:r>
      <w:r w:rsidRPr="00901F81">
        <w:rPr>
          <w:rFonts w:cs="標楷體" w:hint="eastAsia"/>
          <w:color w:val="auto"/>
          <w:szCs w:val="27"/>
        </w:rPr>
        <w:t>115</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月三類乘客</w:t>
      </w:r>
      <w:proofErr w:type="gramStart"/>
      <w:r w:rsidRPr="00901F81">
        <w:rPr>
          <w:rFonts w:cs="標楷體" w:hint="eastAsia"/>
          <w:color w:val="auto"/>
          <w:szCs w:val="27"/>
        </w:rPr>
        <w:t>人數均較</w:t>
      </w:r>
      <w:r w:rsidRPr="00901F81">
        <w:rPr>
          <w:rFonts w:cs="標楷體" w:hint="eastAsia"/>
          <w:color w:val="auto"/>
          <w:szCs w:val="27"/>
        </w:rPr>
        <w:t>114</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w:t>
      </w:r>
      <w:proofErr w:type="gramEnd"/>
      <w:r w:rsidRPr="00901F81">
        <w:rPr>
          <w:rFonts w:cs="標楷體" w:hint="eastAsia"/>
          <w:color w:val="auto"/>
          <w:szCs w:val="27"/>
        </w:rPr>
        <w:t>減少，顯示近期整體搭乘人數較前一年同期有所下降。整體而言，</w:t>
      </w:r>
      <w:proofErr w:type="gramStart"/>
      <w:r w:rsidRPr="00901F81">
        <w:rPr>
          <w:rFonts w:cs="標楷體" w:hint="eastAsia"/>
          <w:color w:val="auto"/>
          <w:szCs w:val="27"/>
        </w:rPr>
        <w:t>臺</w:t>
      </w:r>
      <w:proofErr w:type="gramEnd"/>
      <w:r w:rsidRPr="00901F81">
        <w:rPr>
          <w:rFonts w:cs="標楷體" w:hint="eastAsia"/>
          <w:color w:val="auto"/>
          <w:szCs w:val="27"/>
        </w:rPr>
        <w:t>東縣市區客運仍以低頻及中頻乘客為主要使用族群，高頻乘客占比較低，後續可持續觀察其人數及使用結構變化。</w:t>
      </w:r>
    </w:p>
    <w:p w14:paraId="54F614CD" w14:textId="7F88CE5E" w:rsid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113</w:t>
      </w:r>
      <w:r w:rsidRPr="00C03689">
        <w:rPr>
          <w:rFonts w:cs="標楷體" w:hint="eastAsia"/>
          <w:color w:val="auto"/>
          <w:szCs w:val="27"/>
        </w:rPr>
        <w:t>年</w:t>
      </w:r>
      <w:r w:rsidRPr="00C03689">
        <w:rPr>
          <w:rFonts w:cs="標楷體" w:hint="eastAsia"/>
          <w:color w:val="auto"/>
          <w:szCs w:val="27"/>
        </w:rPr>
        <w:t>7</w:t>
      </w:r>
      <w:r w:rsidRPr="00C03689">
        <w:rPr>
          <w:rFonts w:cs="標楷體" w:hint="eastAsia"/>
          <w:color w:val="auto"/>
          <w:szCs w:val="27"/>
        </w:rPr>
        <w:t>月及</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2</w:t>
      </w:r>
      <w:r w:rsidRPr="00C03689">
        <w:rPr>
          <w:rFonts w:cs="標楷體" w:hint="eastAsia"/>
          <w:color w:val="auto"/>
          <w:szCs w:val="27"/>
        </w:rPr>
        <w:t>月等特殊月份，「僅一次」乘客人數明顯偏低，而「二至四次」及「五次以上」乘客占比相對提高。推測此類變化可能與學期開始、結束及寒暑假期間之就學與返鄉移動有關，部分學生於開學或學期轉換期間可能增加固定往返或集中搭乘情形，使單次搭乘者比例下降，而中頻及較高頻乘客占比相對提高。</w:t>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1015E986">
            <wp:extent cx="5274310" cy="1758315"/>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315"/>
                    </a:xfrm>
                    <a:prstGeom prst="rect">
                      <a:avLst/>
                    </a:prstGeom>
                  </pic:spPr>
                </pic:pic>
              </a:graphicData>
            </a:graphic>
          </wp:inline>
        </w:drawing>
      </w:r>
    </w:p>
    <w:p w14:paraId="101CDCE1" w14:textId="6C883EF0"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7" w:name="_Ref239695048"/>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6</w:t>
      </w:r>
      <w:r w:rsidR="00990B83">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341CA635" w:rsidR="002D2313" w:rsidRPr="002D2313" w:rsidRDefault="002D2313" w:rsidP="002D2313">
      <w:pPr>
        <w:pStyle w:val="af7"/>
        <w:keepNext/>
        <w:spacing w:beforeLines="50" w:before="180" w:afterLines="50" w:after="180" w:line="240" w:lineRule="atLeast"/>
        <w:jc w:val="center"/>
        <w:rPr>
          <w:sz w:val="24"/>
          <w:szCs w:val="24"/>
        </w:rPr>
      </w:pPr>
      <w:bookmarkStart w:id="58" w:name="_Ref239695057"/>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6</w:t>
      </w:r>
      <w:r w:rsidR="00ED7EB8">
        <w:rPr>
          <w:sz w:val="24"/>
          <w:szCs w:val="24"/>
        </w:rPr>
        <w:fldChar w:fldCharType="end"/>
      </w:r>
      <w:bookmarkEnd w:id="58"/>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DA7C4A">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2CE9F94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B5E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880EE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197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11D2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DA84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ED1FC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37.4%</w:t>
            </w:r>
          </w:p>
        </w:tc>
      </w:tr>
      <w:tr w:rsidR="002D2313" w:rsidRPr="002D2313" w14:paraId="00144A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FA43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6B477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A2762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AA3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52.5%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7227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56980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47.5%</w:t>
            </w:r>
          </w:p>
        </w:tc>
      </w:tr>
      <w:tr w:rsidR="002D2313" w:rsidRPr="002D2313" w14:paraId="70E6E6E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CD9B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D71D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0921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11D6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6C0F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65A6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21.6%</w:t>
            </w:r>
          </w:p>
        </w:tc>
      </w:tr>
      <w:tr w:rsidR="002D2313" w:rsidRPr="002D2313" w14:paraId="3EB5D03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1D0B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523C7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E6FCF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8492F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6B6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0F2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41.9%</w:t>
            </w:r>
          </w:p>
        </w:tc>
      </w:tr>
      <w:tr w:rsidR="002D2313" w:rsidRPr="002D2313" w14:paraId="7563C7B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3B38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001C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53E02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CC1CD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25.5%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7ABB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861F1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39.9%</w:t>
            </w:r>
          </w:p>
        </w:tc>
      </w:tr>
      <w:tr w:rsidR="002D2313" w:rsidRPr="002D2313" w14:paraId="5DC526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69C6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850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3A8B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DD4DD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FF78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BD14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38.9%</w:t>
            </w:r>
          </w:p>
        </w:tc>
      </w:tr>
      <w:tr w:rsidR="002D2313" w:rsidRPr="002D2313" w14:paraId="269AC71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7E5E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FADCF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FB4BE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9C309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0EFD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FED7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44.6%</w:t>
            </w:r>
          </w:p>
        </w:tc>
      </w:tr>
      <w:tr w:rsidR="002D2313" w:rsidRPr="002D2313" w14:paraId="5FEA21A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B94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BFC5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C5E4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A9F7D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963E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DB8E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40.8%</w:t>
            </w:r>
          </w:p>
        </w:tc>
      </w:tr>
      <w:tr w:rsidR="002D2313" w:rsidRPr="002D2313" w14:paraId="58041F9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AD2CD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9D50A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2CD5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131E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E59B0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7949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55.5%</w:t>
            </w:r>
          </w:p>
        </w:tc>
      </w:tr>
      <w:tr w:rsidR="002D2313" w:rsidRPr="002D2313" w14:paraId="21CFA4F1"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E9CC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4C8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7063A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AC083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C3D3D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A298E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45.0%</w:t>
            </w:r>
          </w:p>
        </w:tc>
      </w:tr>
      <w:tr w:rsidR="002D2313" w:rsidRPr="002D2313" w14:paraId="016F4EB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7D1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EE98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709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0755A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6D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8B635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r>
      <w:tr w:rsidR="002D2313" w:rsidRPr="002D2313" w14:paraId="7ADCC29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430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9CD60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CB6C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1205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6D74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0DF77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38.1%</w:t>
            </w:r>
          </w:p>
        </w:tc>
      </w:tr>
      <w:tr w:rsidR="002D2313" w:rsidRPr="002D2313" w14:paraId="6FD429C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8A044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E24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3F771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C96BA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33B08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07C9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38.4%</w:t>
            </w:r>
          </w:p>
        </w:tc>
      </w:tr>
      <w:tr w:rsidR="002D2313" w:rsidRPr="002D2313" w14:paraId="4A28B05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38B40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5F731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E3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08E87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A749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E8C0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26.6%</w:t>
            </w:r>
          </w:p>
        </w:tc>
      </w:tr>
      <w:tr w:rsidR="002D2313" w:rsidRPr="002D2313" w14:paraId="38853EE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D794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7AE48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9EFC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B3CDCA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E8F29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68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B060F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19.5%</w:t>
            </w:r>
          </w:p>
        </w:tc>
      </w:tr>
      <w:tr w:rsidR="002D2313" w:rsidRPr="002D2313" w14:paraId="2341089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B0FDA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00275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F1301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D7CE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3E62E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64BA0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r>
      <w:tr w:rsidR="002D2313" w:rsidRPr="002D2313" w14:paraId="1270DF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D946F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83B6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0FD2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E6F5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183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197A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33.3%</w:t>
            </w:r>
          </w:p>
        </w:tc>
      </w:tr>
      <w:tr w:rsidR="002D2313" w:rsidRPr="002D2313" w14:paraId="3488E0E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FF3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B722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C7083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936C8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7D14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E5A21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32.9%</w:t>
            </w:r>
          </w:p>
        </w:tc>
      </w:tr>
      <w:tr w:rsidR="002D2313" w:rsidRPr="002D2313" w14:paraId="3A3E815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AD1B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62D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67E4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647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2EB2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75AB6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35.8%</w:t>
            </w:r>
          </w:p>
        </w:tc>
      </w:tr>
      <w:tr w:rsidR="002D2313" w:rsidRPr="002D2313" w14:paraId="14BE19A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BAE9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4FD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CA3A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0048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DD5A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D4D36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32.0%</w:t>
            </w:r>
          </w:p>
        </w:tc>
      </w:tr>
      <w:tr w:rsidR="002D2313" w:rsidRPr="002D2313" w14:paraId="0A7EB0F4"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9D43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4038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B791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60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D2645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5FA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20.0%</w:t>
            </w:r>
          </w:p>
        </w:tc>
      </w:tr>
      <w:tr w:rsidR="002D2313" w:rsidRPr="002D2313" w14:paraId="24AA822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C19A3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45002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22998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698C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E8DB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CE9EB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r>
      <w:tr w:rsidR="002D2313" w:rsidRPr="002D2313" w14:paraId="042921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95885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9B126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82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20C8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ACD5A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100</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8DEF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29.5%</w:t>
            </w:r>
          </w:p>
        </w:tc>
      </w:tr>
      <w:tr w:rsidR="002D2313" w:rsidRPr="002D2313" w14:paraId="78DECF9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D61CF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229C9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DDB9F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467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86294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EA76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r>
      <w:tr w:rsidR="002D2313" w:rsidRPr="002D2313" w14:paraId="7B7FF63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4F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44087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05379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343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C37B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5E1CB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28.6%</w:t>
            </w:r>
          </w:p>
        </w:tc>
      </w:tr>
    </w:tbl>
    <w:p w14:paraId="535BE8D2" w14:textId="4B2840E2" w:rsidR="00C03689" w:rsidRPr="00C03689" w:rsidRDefault="002D2313" w:rsidP="00C03689">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proofErr w:type="gramStart"/>
      <w:r w:rsidR="00C03689" w:rsidRPr="00C03689">
        <w:rPr>
          <w:rFonts w:cs="標楷體" w:hint="eastAsia"/>
          <w:color w:val="auto"/>
          <w:szCs w:val="27"/>
        </w:rPr>
        <w:t>臺</w:t>
      </w:r>
      <w:proofErr w:type="gramEnd"/>
      <w:r w:rsidR="00C03689" w:rsidRPr="00C03689">
        <w:rPr>
          <w:rFonts w:cs="標楷體" w:hint="eastAsia"/>
          <w:color w:val="auto"/>
          <w:szCs w:val="27"/>
        </w:rPr>
        <w:t>東縣市區客運</w:t>
      </w:r>
      <w:r w:rsidR="00C03689" w:rsidRPr="00C03689">
        <w:rPr>
          <w:rFonts w:cs="標楷體" w:hint="eastAsia"/>
          <w:color w:val="auto"/>
          <w:szCs w:val="27"/>
        </w:rPr>
        <w:t>TPASS</w:t>
      </w:r>
      <w:r w:rsidR="00C03689" w:rsidRPr="00C03689">
        <w:rPr>
          <w:rFonts w:cs="標楷體" w:hint="eastAsia"/>
          <w:color w:val="auto"/>
          <w:szCs w:val="27"/>
        </w:rPr>
        <w:t>乘客之搭乘次數結構相對平均，整體</w:t>
      </w:r>
      <w:r w:rsidR="00C03689" w:rsidRPr="00C03689">
        <w:rPr>
          <w:rFonts w:cs="標楷體" w:hint="eastAsia"/>
          <w:color w:val="auto"/>
          <w:szCs w:val="27"/>
        </w:rPr>
        <w:t>TPASS</w:t>
      </w:r>
      <w:r w:rsidR="00C03689" w:rsidRPr="00C03689">
        <w:rPr>
          <w:rFonts w:cs="標楷體" w:hint="eastAsia"/>
          <w:color w:val="auto"/>
          <w:szCs w:val="27"/>
        </w:rPr>
        <w:t>乘客人數由</w:t>
      </w:r>
      <w:r w:rsidR="00C03689" w:rsidRPr="00C03689">
        <w:rPr>
          <w:rFonts w:cs="標楷體" w:hint="eastAsia"/>
          <w:color w:val="auto"/>
          <w:szCs w:val="27"/>
        </w:rPr>
        <w:t>113</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211</w:t>
      </w:r>
      <w:r w:rsidR="00C03689" w:rsidRPr="00C03689">
        <w:rPr>
          <w:rFonts w:cs="標楷體" w:hint="eastAsia"/>
          <w:color w:val="auto"/>
          <w:szCs w:val="27"/>
        </w:rPr>
        <w:t>人增加至</w:t>
      </w:r>
      <w:r w:rsidR="00C03689" w:rsidRPr="00C03689">
        <w:rPr>
          <w:rFonts w:cs="標楷體" w:hint="eastAsia"/>
          <w:color w:val="auto"/>
          <w:szCs w:val="27"/>
        </w:rPr>
        <w:t>115</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430</w:t>
      </w:r>
      <w:r w:rsidR="00C03689" w:rsidRPr="00C03689">
        <w:rPr>
          <w:rFonts w:cs="標楷體" w:hint="eastAsia"/>
          <w:color w:val="auto"/>
          <w:szCs w:val="27"/>
        </w:rPr>
        <w:t>人，增幅約</w:t>
      </w:r>
      <w:r w:rsidR="00C03689" w:rsidRPr="00C03689">
        <w:rPr>
          <w:rFonts w:cs="標楷體" w:hint="eastAsia"/>
          <w:color w:val="auto"/>
          <w:szCs w:val="27"/>
        </w:rPr>
        <w:t>103.8%</w:t>
      </w:r>
      <w:r w:rsidR="00C03689" w:rsidRPr="00C03689">
        <w:rPr>
          <w:rFonts w:cs="標楷體" w:hint="eastAsia"/>
          <w:color w:val="auto"/>
          <w:szCs w:val="27"/>
        </w:rPr>
        <w:t>，顯示分析期間</w:t>
      </w:r>
      <w:r w:rsidR="00C03689" w:rsidRPr="00C03689">
        <w:rPr>
          <w:rFonts w:cs="標楷體" w:hint="eastAsia"/>
          <w:color w:val="auto"/>
          <w:szCs w:val="27"/>
        </w:rPr>
        <w:t>TPASS</w:t>
      </w:r>
      <w:r w:rsidR="00C03689" w:rsidRPr="00C03689">
        <w:rPr>
          <w:rFonts w:cs="標楷體" w:hint="eastAsia"/>
          <w:color w:val="auto"/>
          <w:szCs w:val="27"/>
        </w:rPr>
        <w:t>乘客規模整體呈現成長趨勢，惟各月份仍存在一定程度之波動，尚未呈現明確固定週期。</w:t>
      </w:r>
    </w:p>
    <w:p w14:paraId="760D5B89" w14:textId="744A863F" w:rsidR="00C03689" w:rsidRP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就各搭乘次數區間觀察，「僅一次」乘客人數介於</w:t>
      </w:r>
      <w:r w:rsidRPr="00C03689">
        <w:rPr>
          <w:rFonts w:cs="標楷體" w:hint="eastAsia"/>
          <w:color w:val="auto"/>
          <w:szCs w:val="27"/>
        </w:rPr>
        <w:t>0</w:t>
      </w:r>
      <w:r w:rsidRPr="00C03689">
        <w:rPr>
          <w:rFonts w:cs="標楷體" w:hint="eastAsia"/>
          <w:color w:val="auto"/>
          <w:szCs w:val="27"/>
        </w:rPr>
        <w:t>人至</w:t>
      </w:r>
      <w:r w:rsidRPr="00C03689">
        <w:rPr>
          <w:rFonts w:cs="標楷體" w:hint="eastAsia"/>
          <w:color w:val="auto"/>
          <w:szCs w:val="27"/>
        </w:rPr>
        <w:t>150</w:t>
      </w:r>
      <w:r w:rsidRPr="00C03689">
        <w:rPr>
          <w:rFonts w:cs="標楷體" w:hint="eastAsia"/>
          <w:color w:val="auto"/>
          <w:szCs w:val="27"/>
        </w:rPr>
        <w:t>人，占比介於</w:t>
      </w:r>
      <w:r w:rsidRPr="00C03689">
        <w:rPr>
          <w:rFonts w:cs="標楷體" w:hint="eastAsia"/>
          <w:color w:val="auto"/>
          <w:szCs w:val="27"/>
        </w:rPr>
        <w:t>0.0%</w:t>
      </w:r>
      <w:r w:rsidRPr="00C03689">
        <w:rPr>
          <w:rFonts w:cs="標楷體" w:hint="eastAsia"/>
          <w:color w:val="auto"/>
          <w:szCs w:val="27"/>
        </w:rPr>
        <w:t>至</w:t>
      </w:r>
      <w:r w:rsidRPr="00C03689">
        <w:rPr>
          <w:rFonts w:cs="標楷體" w:hint="eastAsia"/>
          <w:color w:val="auto"/>
          <w:szCs w:val="27"/>
        </w:rPr>
        <w:t>43.6%</w:t>
      </w:r>
      <w:r w:rsidRPr="00C03689">
        <w:rPr>
          <w:rFonts w:cs="標楷體" w:hint="eastAsia"/>
          <w:color w:val="auto"/>
          <w:szCs w:val="27"/>
        </w:rPr>
        <w:t>，由</w:t>
      </w:r>
      <w:r w:rsidRPr="00C03689">
        <w:rPr>
          <w:rFonts w:cs="標楷體" w:hint="eastAsia"/>
          <w:color w:val="auto"/>
          <w:szCs w:val="27"/>
        </w:rPr>
        <w:t>76</w:t>
      </w:r>
      <w:r w:rsidRPr="00C03689">
        <w:rPr>
          <w:rFonts w:cs="標楷體" w:hint="eastAsia"/>
          <w:color w:val="auto"/>
          <w:szCs w:val="27"/>
        </w:rPr>
        <w:t>人增至</w:t>
      </w:r>
      <w:r w:rsidRPr="00C03689">
        <w:rPr>
          <w:rFonts w:cs="標楷體" w:hint="eastAsia"/>
          <w:color w:val="auto"/>
          <w:szCs w:val="27"/>
        </w:rPr>
        <w:t>140</w:t>
      </w:r>
      <w:r w:rsidRPr="00C03689">
        <w:rPr>
          <w:rFonts w:cs="標楷體" w:hint="eastAsia"/>
          <w:color w:val="auto"/>
          <w:szCs w:val="27"/>
        </w:rPr>
        <w:t>人，增幅約</w:t>
      </w:r>
      <w:r w:rsidRPr="00C03689">
        <w:rPr>
          <w:rFonts w:cs="標楷體" w:hint="eastAsia"/>
          <w:color w:val="auto"/>
          <w:szCs w:val="27"/>
        </w:rPr>
        <w:t>84.2%</w:t>
      </w:r>
      <w:r w:rsidRPr="00C03689">
        <w:rPr>
          <w:rFonts w:cs="標楷體" w:hint="eastAsia"/>
          <w:color w:val="auto"/>
          <w:szCs w:val="27"/>
        </w:rPr>
        <w:t>；「二至四次」乘客人數介於</w:t>
      </w:r>
      <w:r w:rsidRPr="00C03689">
        <w:rPr>
          <w:rFonts w:cs="標楷體" w:hint="eastAsia"/>
          <w:color w:val="auto"/>
          <w:szCs w:val="27"/>
        </w:rPr>
        <w:t>56</w:t>
      </w:r>
      <w:r w:rsidRPr="00C03689">
        <w:rPr>
          <w:rFonts w:cs="標楷體" w:hint="eastAsia"/>
          <w:color w:val="auto"/>
          <w:szCs w:val="27"/>
        </w:rPr>
        <w:t>人至</w:t>
      </w:r>
      <w:r w:rsidRPr="00C03689">
        <w:rPr>
          <w:rFonts w:cs="標楷體" w:hint="eastAsia"/>
          <w:color w:val="auto"/>
          <w:szCs w:val="27"/>
        </w:rPr>
        <w:t>167</w:t>
      </w:r>
      <w:r w:rsidRPr="00C03689">
        <w:rPr>
          <w:rFonts w:cs="標楷體" w:hint="eastAsia"/>
          <w:color w:val="auto"/>
          <w:szCs w:val="27"/>
        </w:rPr>
        <w:t>人，占比介於</w:t>
      </w:r>
      <w:r w:rsidRPr="00C03689">
        <w:rPr>
          <w:rFonts w:cs="標楷體" w:hint="eastAsia"/>
          <w:color w:val="auto"/>
          <w:szCs w:val="27"/>
        </w:rPr>
        <w:t>25.5%</w:t>
      </w:r>
      <w:r w:rsidRPr="00C03689">
        <w:rPr>
          <w:rFonts w:cs="標楷體" w:hint="eastAsia"/>
          <w:color w:val="auto"/>
          <w:szCs w:val="27"/>
        </w:rPr>
        <w:t>至</w:t>
      </w:r>
      <w:r w:rsidRPr="00C03689">
        <w:rPr>
          <w:rFonts w:cs="標楷體" w:hint="eastAsia"/>
          <w:color w:val="auto"/>
          <w:szCs w:val="27"/>
        </w:rPr>
        <w:t>52.5%</w:t>
      </w:r>
      <w:r w:rsidRPr="00C03689">
        <w:rPr>
          <w:rFonts w:cs="標楷體" w:hint="eastAsia"/>
          <w:color w:val="auto"/>
          <w:szCs w:val="27"/>
        </w:rPr>
        <w:t>，由</w:t>
      </w:r>
      <w:r w:rsidRPr="00C03689">
        <w:rPr>
          <w:rFonts w:cs="標楷體" w:hint="eastAsia"/>
          <w:color w:val="auto"/>
          <w:szCs w:val="27"/>
        </w:rPr>
        <w:t>56</w:t>
      </w:r>
      <w:r w:rsidRPr="00C03689">
        <w:rPr>
          <w:rFonts w:cs="標楷體" w:hint="eastAsia"/>
          <w:color w:val="auto"/>
          <w:szCs w:val="27"/>
        </w:rPr>
        <w:t>人增至</w:t>
      </w:r>
      <w:r w:rsidRPr="00C03689">
        <w:rPr>
          <w:rFonts w:cs="標楷體" w:hint="eastAsia"/>
          <w:color w:val="auto"/>
          <w:szCs w:val="27"/>
        </w:rPr>
        <w:t>167</w:t>
      </w:r>
      <w:r w:rsidRPr="00C03689">
        <w:rPr>
          <w:rFonts w:cs="標楷體" w:hint="eastAsia"/>
          <w:color w:val="auto"/>
          <w:szCs w:val="27"/>
        </w:rPr>
        <w:t>人，增幅約</w:t>
      </w:r>
      <w:r w:rsidRPr="00C03689">
        <w:rPr>
          <w:rFonts w:cs="標楷體" w:hint="eastAsia"/>
          <w:color w:val="auto"/>
          <w:szCs w:val="27"/>
        </w:rPr>
        <w:t>198.2%</w:t>
      </w:r>
      <w:r w:rsidRPr="00C03689">
        <w:rPr>
          <w:rFonts w:cs="標楷體" w:hint="eastAsia"/>
          <w:color w:val="auto"/>
          <w:szCs w:val="27"/>
        </w:rPr>
        <w:t>，為三類族群中相對增幅最高者。「五次以上」乘客人數則介於</w:t>
      </w:r>
      <w:r w:rsidRPr="00C03689">
        <w:rPr>
          <w:rFonts w:cs="標楷體" w:hint="eastAsia"/>
          <w:color w:val="auto"/>
          <w:szCs w:val="27"/>
        </w:rPr>
        <w:t>49</w:t>
      </w:r>
      <w:r w:rsidRPr="00C03689">
        <w:rPr>
          <w:rFonts w:cs="標楷體" w:hint="eastAsia"/>
          <w:color w:val="auto"/>
          <w:szCs w:val="27"/>
        </w:rPr>
        <w:t>人至</w:t>
      </w:r>
      <w:r w:rsidRPr="00C03689">
        <w:rPr>
          <w:rFonts w:cs="標楷體" w:hint="eastAsia"/>
          <w:color w:val="auto"/>
          <w:szCs w:val="27"/>
        </w:rPr>
        <w:t>166</w:t>
      </w:r>
      <w:r w:rsidRPr="00C03689">
        <w:rPr>
          <w:rFonts w:cs="標楷體" w:hint="eastAsia"/>
          <w:color w:val="auto"/>
          <w:szCs w:val="27"/>
        </w:rPr>
        <w:t>人，占比介於</w:t>
      </w:r>
      <w:r w:rsidRPr="00C03689">
        <w:rPr>
          <w:rFonts w:cs="標楷體" w:hint="eastAsia"/>
          <w:color w:val="auto"/>
          <w:szCs w:val="27"/>
        </w:rPr>
        <w:t>19.5%</w:t>
      </w:r>
      <w:r w:rsidRPr="00C03689">
        <w:rPr>
          <w:rFonts w:cs="標楷體" w:hint="eastAsia"/>
          <w:color w:val="auto"/>
          <w:szCs w:val="27"/>
        </w:rPr>
        <w:t>至</w:t>
      </w:r>
      <w:r w:rsidRPr="00C03689">
        <w:rPr>
          <w:rFonts w:cs="標楷體" w:hint="eastAsia"/>
          <w:color w:val="auto"/>
          <w:szCs w:val="27"/>
        </w:rPr>
        <w:t>55.5%</w:t>
      </w:r>
      <w:r w:rsidRPr="00C03689">
        <w:rPr>
          <w:rFonts w:cs="標楷體" w:hint="eastAsia"/>
          <w:color w:val="auto"/>
          <w:szCs w:val="27"/>
        </w:rPr>
        <w:t>，由</w:t>
      </w:r>
      <w:r w:rsidRPr="00C03689">
        <w:rPr>
          <w:rFonts w:cs="標楷體" w:hint="eastAsia"/>
          <w:color w:val="auto"/>
          <w:szCs w:val="27"/>
        </w:rPr>
        <w:t>79</w:t>
      </w:r>
      <w:r w:rsidRPr="00C03689">
        <w:rPr>
          <w:rFonts w:cs="標楷體" w:hint="eastAsia"/>
          <w:color w:val="auto"/>
          <w:szCs w:val="27"/>
        </w:rPr>
        <w:t>人增加至</w:t>
      </w:r>
      <w:r w:rsidRPr="00C03689">
        <w:rPr>
          <w:rFonts w:cs="標楷體" w:hint="eastAsia"/>
          <w:color w:val="auto"/>
          <w:szCs w:val="27"/>
        </w:rPr>
        <w:t>123</w:t>
      </w:r>
      <w:r w:rsidRPr="00C03689">
        <w:rPr>
          <w:rFonts w:cs="標楷體" w:hint="eastAsia"/>
          <w:color w:val="auto"/>
          <w:szCs w:val="27"/>
        </w:rPr>
        <w:t>人，增幅約</w:t>
      </w:r>
      <w:r w:rsidRPr="00C03689">
        <w:rPr>
          <w:rFonts w:cs="標楷體" w:hint="eastAsia"/>
          <w:color w:val="auto"/>
          <w:szCs w:val="27"/>
        </w:rPr>
        <w:t>55.7%</w:t>
      </w:r>
      <w:r w:rsidRPr="00C03689">
        <w:rPr>
          <w:rFonts w:cs="標楷體" w:hint="eastAsia"/>
          <w:color w:val="auto"/>
          <w:szCs w:val="27"/>
        </w:rPr>
        <w:t>。</w:t>
      </w:r>
    </w:p>
    <w:p w14:paraId="7983B828" w14:textId="797D7BB2" w:rsidR="002D2313"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8</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月之乘客結構，「五次以上」乘客由</w:t>
      </w:r>
      <w:r w:rsidRPr="00C03689">
        <w:rPr>
          <w:rFonts w:cs="標楷體" w:hint="eastAsia"/>
          <w:color w:val="auto"/>
          <w:szCs w:val="27"/>
        </w:rPr>
        <w:t>68</w:t>
      </w:r>
      <w:r w:rsidRPr="00C03689">
        <w:rPr>
          <w:rFonts w:cs="標楷體" w:hint="eastAsia"/>
          <w:color w:val="auto"/>
          <w:szCs w:val="27"/>
        </w:rPr>
        <w:t>人增加至</w:t>
      </w:r>
      <w:r w:rsidRPr="00C03689">
        <w:rPr>
          <w:rFonts w:cs="標楷體" w:hint="eastAsia"/>
          <w:color w:val="auto"/>
          <w:szCs w:val="27"/>
        </w:rPr>
        <w:t>133</w:t>
      </w:r>
      <w:r w:rsidRPr="00C03689">
        <w:rPr>
          <w:rFonts w:cs="標楷體" w:hint="eastAsia"/>
          <w:color w:val="auto"/>
          <w:szCs w:val="27"/>
        </w:rPr>
        <w:t>人，且</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9</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月三類乘客人數相對接近，顯示該期間</w:t>
      </w:r>
      <w:r w:rsidRPr="00C03689">
        <w:rPr>
          <w:rFonts w:cs="標楷體" w:hint="eastAsia"/>
          <w:color w:val="auto"/>
          <w:szCs w:val="27"/>
        </w:rPr>
        <w:t>TPASS</w:t>
      </w:r>
      <w:r w:rsidRPr="00C03689">
        <w:rPr>
          <w:rFonts w:cs="標楷體" w:hint="eastAsia"/>
          <w:color w:val="auto"/>
          <w:szCs w:val="27"/>
        </w:rPr>
        <w:t>乘客之使用頻率分布較為平均。整體而言，「二至四次」與「五次以上」乘客合計平均占比約</w:t>
      </w:r>
      <w:r w:rsidRPr="00C03689">
        <w:rPr>
          <w:rFonts w:cs="標楷體" w:hint="eastAsia"/>
          <w:color w:val="auto"/>
          <w:szCs w:val="27"/>
        </w:rPr>
        <w:t>70.1%</w:t>
      </w:r>
      <w:r w:rsidRPr="00C03689">
        <w:rPr>
          <w:rFonts w:cs="標楷體" w:hint="eastAsia"/>
          <w:color w:val="auto"/>
          <w:szCs w:val="27"/>
        </w:rPr>
        <w:t>，顯示</w:t>
      </w:r>
      <w:r w:rsidRPr="00C03689">
        <w:rPr>
          <w:rFonts w:cs="標楷體" w:hint="eastAsia"/>
          <w:color w:val="auto"/>
          <w:szCs w:val="27"/>
        </w:rPr>
        <w:t>TPASS</w:t>
      </w:r>
      <w:r w:rsidRPr="00C03689">
        <w:rPr>
          <w:rFonts w:cs="標楷體" w:hint="eastAsia"/>
          <w:color w:val="auto"/>
          <w:szCs w:val="27"/>
        </w:rPr>
        <w:t>使用者中具有一定程度重複搭乘行為者占多數；其中「二至四次」族群成長幅度最為明顯，後續可持續觀察不同搭乘頻率族群之人數及使用結構變化。</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9" w:name="_toc_manual_18"/>
      <w:r w:rsidRPr="00610647">
        <w:rPr>
          <w:rFonts w:eastAsia="標楷體" w:hint="eastAsia"/>
          <w:b/>
          <w:color w:val="auto"/>
          <w:sz w:val="24"/>
          <w:szCs w:val="27"/>
        </w:rPr>
        <w:t xml:space="preserve"> </w:t>
      </w:r>
      <w:bookmarkStart w:id="60" w:name="_Toc238609239"/>
      <w:r w:rsidR="00E618A5" w:rsidRPr="00610647">
        <w:rPr>
          <w:rFonts w:eastAsia="標楷體"/>
          <w:b/>
          <w:color w:val="auto"/>
          <w:sz w:val="24"/>
          <w:szCs w:val="27"/>
        </w:rPr>
        <w:t>小結</w:t>
      </w:r>
      <w:bookmarkEnd w:id="59"/>
      <w:bookmarkEnd w:id="60"/>
    </w:p>
    <w:p w14:paraId="1383C4BD" w14:textId="1B3316B6"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綜合花蓮與</w:t>
      </w:r>
      <w:proofErr w:type="gramStart"/>
      <w:r w:rsidRPr="00DF36B3">
        <w:rPr>
          <w:rFonts w:cs="標楷體" w:hint="eastAsia"/>
          <w:color w:val="auto"/>
          <w:szCs w:val="27"/>
        </w:rPr>
        <w:t>臺</w:t>
      </w:r>
      <w:proofErr w:type="gramEnd"/>
      <w:r w:rsidRPr="00DF36B3">
        <w:rPr>
          <w:rFonts w:cs="標楷體" w:hint="eastAsia"/>
          <w:color w:val="auto"/>
          <w:szCs w:val="27"/>
        </w:rPr>
        <w:t>東兩縣市區客運資料，兩地平均每日使用次數呈現不同變化型態。花蓮自</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8</w:t>
      </w:r>
      <w:r w:rsidRPr="00DF36B3">
        <w:rPr>
          <w:rFonts w:cs="標楷體" w:hint="eastAsia"/>
          <w:color w:val="auto"/>
          <w:szCs w:val="27"/>
        </w:rPr>
        <w:t>月高點後整體呈下降趨勢，雖於部分月份短暫回升，但</w:t>
      </w:r>
      <w:r w:rsidRPr="00DF36B3">
        <w:rPr>
          <w:rFonts w:cs="標楷體" w:hint="eastAsia"/>
          <w:color w:val="auto"/>
          <w:szCs w:val="27"/>
        </w:rPr>
        <w:t>115</w:t>
      </w:r>
      <w:r w:rsidRPr="00DF36B3">
        <w:rPr>
          <w:rFonts w:cs="標楷體" w:hint="eastAsia"/>
          <w:color w:val="auto"/>
          <w:szCs w:val="27"/>
        </w:rPr>
        <w:t>年上半年仍維持相對低檔，顯示其使用頻率變化可能除受寒暑假及觀光淡旺季影響外，亦與路線服務、班次便利性及日常旅運需求變化等因素有關。</w:t>
      </w:r>
      <w:proofErr w:type="gramStart"/>
      <w:r w:rsidRPr="00DF36B3">
        <w:rPr>
          <w:rFonts w:cs="標楷體" w:hint="eastAsia"/>
          <w:color w:val="auto"/>
          <w:szCs w:val="27"/>
        </w:rPr>
        <w:t>臺</w:t>
      </w:r>
      <w:proofErr w:type="gramEnd"/>
      <w:r w:rsidRPr="00DF36B3">
        <w:rPr>
          <w:rFonts w:cs="標楷體" w:hint="eastAsia"/>
          <w:color w:val="auto"/>
          <w:szCs w:val="27"/>
        </w:rPr>
        <w:t>東則於</w:t>
      </w:r>
      <w:r w:rsidRPr="00DF36B3">
        <w:rPr>
          <w:rFonts w:cs="標楷體" w:hint="eastAsia"/>
          <w:color w:val="auto"/>
          <w:szCs w:val="27"/>
        </w:rPr>
        <w:t>0.057</w:t>
      </w:r>
      <w:r w:rsidRPr="00DF36B3">
        <w:rPr>
          <w:rFonts w:cs="標楷體" w:hint="eastAsia"/>
          <w:color w:val="auto"/>
          <w:szCs w:val="27"/>
        </w:rPr>
        <w:t>次至</w:t>
      </w:r>
      <w:r w:rsidRPr="00DF36B3">
        <w:rPr>
          <w:rFonts w:cs="標楷體" w:hint="eastAsia"/>
          <w:color w:val="auto"/>
          <w:szCs w:val="27"/>
        </w:rPr>
        <w:t>0.150</w:t>
      </w:r>
      <w:r w:rsidRPr="00DF36B3">
        <w:rPr>
          <w:rFonts w:cs="標楷體" w:hint="eastAsia"/>
          <w:color w:val="auto"/>
          <w:szCs w:val="27"/>
        </w:rPr>
        <w:t>次之間波動，部分月份出現明顯高低點，其餘月份多維持於相對穩定區間，顯示使用需求雖受季節及特殊月份影響，整體仍具一定穩定性。</w:t>
      </w:r>
    </w:p>
    <w:p w14:paraId="66EEF7E9" w14:textId="11FAFF3D"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花蓮市區客運總乘客人數由</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12,449</w:t>
      </w:r>
      <w:r w:rsidRPr="00DF36B3">
        <w:rPr>
          <w:rFonts w:cs="標楷體" w:hint="eastAsia"/>
          <w:color w:val="auto"/>
          <w:szCs w:val="27"/>
        </w:rPr>
        <w:t>人降至</w:t>
      </w:r>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5,509</w:t>
      </w:r>
      <w:r w:rsidRPr="00DF36B3">
        <w:rPr>
          <w:rFonts w:cs="標楷體" w:hint="eastAsia"/>
          <w:color w:val="auto"/>
          <w:szCs w:val="27"/>
        </w:rPr>
        <w:t>人，減少</w:t>
      </w:r>
      <w:r w:rsidRPr="00DF36B3">
        <w:rPr>
          <w:rFonts w:cs="標楷體" w:hint="eastAsia"/>
          <w:color w:val="auto"/>
          <w:szCs w:val="27"/>
        </w:rPr>
        <w:t>55.7%</w:t>
      </w:r>
      <w:r w:rsidRPr="00DF36B3">
        <w:rPr>
          <w:rFonts w:cs="標楷體" w:hint="eastAsia"/>
          <w:color w:val="auto"/>
          <w:szCs w:val="27"/>
        </w:rPr>
        <w:t>；其中「僅一次」占比由</w:t>
      </w:r>
      <w:r w:rsidRPr="00DF36B3">
        <w:rPr>
          <w:rFonts w:cs="標楷體" w:hint="eastAsia"/>
          <w:color w:val="auto"/>
          <w:szCs w:val="27"/>
        </w:rPr>
        <w:t>48.8%</w:t>
      </w:r>
      <w:r w:rsidRPr="00DF36B3">
        <w:rPr>
          <w:rFonts w:cs="標楷體" w:hint="eastAsia"/>
          <w:color w:val="auto"/>
          <w:szCs w:val="27"/>
        </w:rPr>
        <w:t>提高至</w:t>
      </w:r>
      <w:r w:rsidRPr="00DF36B3">
        <w:rPr>
          <w:rFonts w:cs="標楷體" w:hint="eastAsia"/>
          <w:color w:val="auto"/>
          <w:szCs w:val="27"/>
        </w:rPr>
        <w:t>77.2%</w:t>
      </w:r>
      <w:r w:rsidRPr="00DF36B3">
        <w:rPr>
          <w:rFonts w:cs="標楷體" w:hint="eastAsia"/>
          <w:color w:val="auto"/>
          <w:szCs w:val="27"/>
        </w:rPr>
        <w:t>，「二至四次」由</w:t>
      </w:r>
      <w:r w:rsidRPr="00DF36B3">
        <w:rPr>
          <w:rFonts w:cs="標楷體" w:hint="eastAsia"/>
          <w:color w:val="auto"/>
          <w:szCs w:val="27"/>
        </w:rPr>
        <w:t>43.5%</w:t>
      </w:r>
      <w:r w:rsidRPr="00DF36B3">
        <w:rPr>
          <w:rFonts w:cs="標楷體" w:hint="eastAsia"/>
          <w:color w:val="auto"/>
          <w:szCs w:val="27"/>
        </w:rPr>
        <w:t>降至</w:t>
      </w:r>
      <w:r w:rsidRPr="00DF36B3">
        <w:rPr>
          <w:rFonts w:cs="標楷體" w:hint="eastAsia"/>
          <w:color w:val="auto"/>
          <w:szCs w:val="27"/>
        </w:rPr>
        <w:t>22.5%</w:t>
      </w:r>
      <w:r w:rsidRPr="00DF36B3">
        <w:rPr>
          <w:rFonts w:cs="標楷體" w:hint="eastAsia"/>
          <w:color w:val="auto"/>
          <w:szCs w:val="27"/>
        </w:rPr>
        <w:t>，「五次以上」則由</w:t>
      </w:r>
      <w:r w:rsidRPr="00DF36B3">
        <w:rPr>
          <w:rFonts w:cs="標楷體" w:hint="eastAsia"/>
          <w:color w:val="auto"/>
          <w:szCs w:val="27"/>
        </w:rPr>
        <w:t>7.7%</w:t>
      </w:r>
      <w:r w:rsidRPr="00DF36B3">
        <w:rPr>
          <w:rFonts w:cs="標楷體" w:hint="eastAsia"/>
          <w:color w:val="auto"/>
          <w:szCs w:val="27"/>
        </w:rPr>
        <w:t>降至</w:t>
      </w:r>
      <w:r w:rsidRPr="00DF36B3">
        <w:rPr>
          <w:rFonts w:cs="標楷體" w:hint="eastAsia"/>
          <w:color w:val="auto"/>
          <w:szCs w:val="27"/>
        </w:rPr>
        <w:t>0.3%</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乘客亦由</w:t>
      </w:r>
      <w:r w:rsidRPr="00DF36B3">
        <w:rPr>
          <w:rFonts w:cs="標楷體" w:hint="eastAsia"/>
          <w:color w:val="auto"/>
          <w:szCs w:val="27"/>
        </w:rPr>
        <w:t>2,113</w:t>
      </w:r>
      <w:r w:rsidRPr="00DF36B3">
        <w:rPr>
          <w:rFonts w:cs="標楷體" w:hint="eastAsia"/>
          <w:color w:val="auto"/>
          <w:szCs w:val="27"/>
        </w:rPr>
        <w:t>人減至</w:t>
      </w:r>
      <w:r w:rsidRPr="00DF36B3">
        <w:rPr>
          <w:rFonts w:cs="標楷體" w:hint="eastAsia"/>
          <w:color w:val="auto"/>
          <w:szCs w:val="27"/>
        </w:rPr>
        <w:t>1,036</w:t>
      </w:r>
      <w:r w:rsidRPr="00DF36B3">
        <w:rPr>
          <w:rFonts w:cs="標楷體" w:hint="eastAsia"/>
          <w:color w:val="auto"/>
          <w:szCs w:val="27"/>
        </w:rPr>
        <w:t>人，減少約</w:t>
      </w:r>
      <w:r w:rsidRPr="00DF36B3">
        <w:rPr>
          <w:rFonts w:cs="標楷體" w:hint="eastAsia"/>
          <w:color w:val="auto"/>
          <w:szCs w:val="27"/>
        </w:rPr>
        <w:t>51.0%</w:t>
      </w:r>
      <w:r w:rsidRPr="00DF36B3">
        <w:rPr>
          <w:rFonts w:cs="標楷體" w:hint="eastAsia"/>
          <w:color w:val="auto"/>
          <w:szCs w:val="27"/>
        </w:rPr>
        <w:t>，且</w:t>
      </w:r>
      <w:r w:rsidRPr="00DF36B3">
        <w:rPr>
          <w:rFonts w:cs="標楷體" w:hint="eastAsia"/>
          <w:color w:val="auto"/>
          <w:szCs w:val="27"/>
        </w:rPr>
        <w:t>115</w:t>
      </w:r>
      <w:r w:rsidRPr="00DF36B3">
        <w:rPr>
          <w:rFonts w:cs="標楷體" w:hint="eastAsia"/>
          <w:color w:val="auto"/>
          <w:szCs w:val="27"/>
        </w:rPr>
        <w:t>年上半年乘客結構逐漸偏向「僅一次」搭乘。整體顯示花蓮市區客運不僅乘客規模縮小，重複搭乘及高頻使用族群亦同步減少，反映分析後期使用頻率有所下降。後續可持續檢視學期時程、觀光淡旺季、路線調整、班次銜接及主要生活據點服務情形，以掌握使用需求變化原因。</w:t>
      </w:r>
    </w:p>
    <w:p w14:paraId="52E0E3B7" w14:textId="060970B0" w:rsidR="00F44525" w:rsidRPr="00CC68AE"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proofErr w:type="gramStart"/>
      <w:r w:rsidRPr="00DF36B3">
        <w:rPr>
          <w:rFonts w:cs="標楷體" w:hint="eastAsia"/>
          <w:color w:val="auto"/>
          <w:szCs w:val="27"/>
        </w:rPr>
        <w:t>臺</w:t>
      </w:r>
      <w:proofErr w:type="gramEnd"/>
      <w:r w:rsidRPr="00DF36B3">
        <w:rPr>
          <w:rFonts w:cs="標楷體" w:hint="eastAsia"/>
          <w:color w:val="auto"/>
          <w:szCs w:val="27"/>
        </w:rPr>
        <w:t>東市區客運總乘客人數由</w:t>
      </w:r>
      <w:r w:rsidRPr="00DF36B3">
        <w:rPr>
          <w:rFonts w:cs="標楷體" w:hint="eastAsia"/>
          <w:color w:val="auto"/>
          <w:szCs w:val="27"/>
        </w:rPr>
        <w:t>6,199</w:t>
      </w:r>
      <w:r w:rsidRPr="00DF36B3">
        <w:rPr>
          <w:rFonts w:cs="標楷體" w:hint="eastAsia"/>
          <w:color w:val="auto"/>
          <w:szCs w:val="27"/>
        </w:rPr>
        <w:t>人增至</w:t>
      </w:r>
      <w:r w:rsidRPr="00DF36B3">
        <w:rPr>
          <w:rFonts w:cs="標楷體" w:hint="eastAsia"/>
          <w:color w:val="auto"/>
          <w:szCs w:val="27"/>
        </w:rPr>
        <w:t>7,011</w:t>
      </w:r>
      <w:r w:rsidRPr="00DF36B3">
        <w:rPr>
          <w:rFonts w:cs="標楷體" w:hint="eastAsia"/>
          <w:color w:val="auto"/>
          <w:szCs w:val="27"/>
        </w:rPr>
        <w:t>人，成長約</w:t>
      </w:r>
      <w:r w:rsidRPr="00DF36B3">
        <w:rPr>
          <w:rFonts w:cs="標楷體" w:hint="eastAsia"/>
          <w:color w:val="auto"/>
          <w:szCs w:val="27"/>
        </w:rPr>
        <w:t>13.1%</w:t>
      </w:r>
      <w:r w:rsidRPr="00DF36B3">
        <w:rPr>
          <w:rFonts w:cs="標楷體" w:hint="eastAsia"/>
          <w:color w:val="auto"/>
          <w:szCs w:val="27"/>
        </w:rPr>
        <w:t>，低頻及中頻乘客合計平均占比約</w:t>
      </w:r>
      <w:r w:rsidRPr="00DF36B3">
        <w:rPr>
          <w:rFonts w:cs="標楷體" w:hint="eastAsia"/>
          <w:color w:val="auto"/>
          <w:szCs w:val="27"/>
        </w:rPr>
        <w:t>94.6%</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乘客則由</w:t>
      </w:r>
      <w:r w:rsidRPr="00DF36B3">
        <w:rPr>
          <w:rFonts w:cs="標楷體" w:hint="eastAsia"/>
          <w:color w:val="auto"/>
          <w:szCs w:val="27"/>
        </w:rPr>
        <w:t>211</w:t>
      </w:r>
      <w:r w:rsidRPr="00DF36B3">
        <w:rPr>
          <w:rFonts w:cs="標楷體" w:hint="eastAsia"/>
          <w:color w:val="auto"/>
          <w:szCs w:val="27"/>
        </w:rPr>
        <w:t>人增至</w:t>
      </w:r>
      <w:r w:rsidRPr="00DF36B3">
        <w:rPr>
          <w:rFonts w:cs="標楷體" w:hint="eastAsia"/>
          <w:color w:val="auto"/>
          <w:szCs w:val="27"/>
        </w:rPr>
        <w:t>430</w:t>
      </w:r>
      <w:r w:rsidRPr="00DF36B3">
        <w:rPr>
          <w:rFonts w:cs="標楷體" w:hint="eastAsia"/>
          <w:color w:val="auto"/>
          <w:szCs w:val="27"/>
        </w:rPr>
        <w:t>人，成長</w:t>
      </w:r>
      <w:r w:rsidRPr="00DF36B3">
        <w:rPr>
          <w:rFonts w:cs="標楷體" w:hint="eastAsia"/>
          <w:color w:val="auto"/>
          <w:szCs w:val="27"/>
        </w:rPr>
        <w:lastRenderedPageBreak/>
        <w:t>103.8%</w:t>
      </w:r>
      <w:r w:rsidRPr="00DF36B3">
        <w:rPr>
          <w:rFonts w:cs="標楷體" w:hint="eastAsia"/>
          <w:color w:val="auto"/>
          <w:szCs w:val="27"/>
        </w:rPr>
        <w:t>，且三類搭乘頻率分布相對平均，其中「二至四次」族群成長幅度最為明顯。</w:t>
      </w:r>
      <w:proofErr w:type="gramStart"/>
      <w:r w:rsidRPr="00DF36B3">
        <w:rPr>
          <w:rFonts w:cs="標楷體" w:hint="eastAsia"/>
          <w:color w:val="auto"/>
          <w:szCs w:val="27"/>
        </w:rPr>
        <w:t>惟</w:t>
      </w:r>
      <w:proofErr w:type="gramEnd"/>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月整體乘客人數仍較</w:t>
      </w:r>
      <w:r w:rsidRPr="00DF36B3">
        <w:rPr>
          <w:rFonts w:cs="標楷體" w:hint="eastAsia"/>
          <w:color w:val="auto"/>
          <w:szCs w:val="27"/>
        </w:rPr>
        <w:t>114</w:t>
      </w:r>
      <w:r w:rsidRPr="00DF36B3">
        <w:rPr>
          <w:rFonts w:cs="標楷體" w:hint="eastAsia"/>
          <w:color w:val="auto"/>
          <w:szCs w:val="27"/>
        </w:rPr>
        <w:t>年同期減少，高頻乘客亦存在一定程度波動，顯示整體乘客規模雖有成長，但各使用頻率族群</w:t>
      </w:r>
      <w:proofErr w:type="gramStart"/>
      <w:r w:rsidRPr="00DF36B3">
        <w:rPr>
          <w:rFonts w:cs="標楷體" w:hint="eastAsia"/>
          <w:color w:val="auto"/>
          <w:szCs w:val="27"/>
        </w:rPr>
        <w:t>之月別變</w:t>
      </w:r>
      <w:proofErr w:type="gramEnd"/>
      <w:r w:rsidRPr="00DF36B3">
        <w:rPr>
          <w:rFonts w:cs="標楷體" w:hint="eastAsia"/>
          <w:color w:val="auto"/>
          <w:szCs w:val="27"/>
        </w:rPr>
        <w:t>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1" w:name="_toc_manual_19"/>
      <w:r w:rsidRPr="00610647">
        <w:rPr>
          <w:rFonts w:ascii="Times New Roman" w:eastAsia="標楷體" w:hAnsi="Times New Roman" w:hint="eastAsia"/>
          <w:b/>
          <w:color w:val="auto"/>
          <w:sz w:val="24"/>
          <w:szCs w:val="27"/>
        </w:rPr>
        <w:t xml:space="preserve"> </w:t>
      </w:r>
      <w:bookmarkStart w:id="62" w:name="_Toc238609240"/>
      <w:r w:rsidR="00E618A5" w:rsidRPr="00610647">
        <w:rPr>
          <w:rFonts w:ascii="Times New Roman" w:eastAsia="標楷體" w:hAnsi="Times New Roman"/>
          <w:b/>
          <w:color w:val="auto"/>
          <w:sz w:val="24"/>
          <w:szCs w:val="27"/>
        </w:rPr>
        <w:t>公路客運平均每日使用次數及其族群分布</w:t>
      </w:r>
      <w:bookmarkEnd w:id="61"/>
      <w:bookmarkEnd w:id="62"/>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3" w:name="_toc_manual_20"/>
      <w:r w:rsidRPr="00610647">
        <w:rPr>
          <w:rFonts w:eastAsia="標楷體" w:hint="eastAsia"/>
          <w:b/>
          <w:color w:val="auto"/>
          <w:sz w:val="24"/>
          <w:szCs w:val="27"/>
        </w:rPr>
        <w:t xml:space="preserve"> </w:t>
      </w:r>
      <w:bookmarkStart w:id="64" w:name="_Toc238609241"/>
      <w:r w:rsidR="00E618A5" w:rsidRPr="00610647">
        <w:rPr>
          <w:rFonts w:eastAsia="標楷體"/>
          <w:b/>
          <w:color w:val="auto"/>
          <w:sz w:val="24"/>
          <w:szCs w:val="27"/>
        </w:rPr>
        <w:t>花蓮縣公路客運平均每日使用次數及其族群分布</w:t>
      </w:r>
      <w:bookmarkEnd w:id="63"/>
      <w:bookmarkEnd w:id="64"/>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008CD11">
            <wp:extent cx="5274310" cy="1758315"/>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315"/>
                    </a:xfrm>
                    <a:prstGeom prst="rect">
                      <a:avLst/>
                    </a:prstGeom>
                  </pic:spPr>
                </pic:pic>
              </a:graphicData>
            </a:graphic>
          </wp:inline>
        </w:drawing>
      </w:r>
    </w:p>
    <w:p w14:paraId="7E0D9370" w14:textId="50541908" w:rsidR="00E618A5" w:rsidRPr="002D2313" w:rsidRDefault="002D2313" w:rsidP="002D2313">
      <w:pPr>
        <w:pStyle w:val="af7"/>
        <w:spacing w:beforeLines="50" w:before="180" w:afterLines="50" w:after="180" w:line="240" w:lineRule="atLeast"/>
        <w:jc w:val="center"/>
        <w:rPr>
          <w:rFonts w:cs="標楷體"/>
          <w:sz w:val="24"/>
          <w:szCs w:val="32"/>
        </w:rPr>
      </w:pPr>
      <w:bookmarkStart w:id="65" w:name="_Ref239695281"/>
      <w:r w:rsidRPr="002D2313">
        <w:rPr>
          <w:rFonts w:hint="eastAsia"/>
          <w:sz w:val="24"/>
          <w:szCs w:val="24"/>
        </w:rPr>
        <w:t>圖</w:t>
      </w:r>
      <w:r w:rsidRPr="002D2313">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1</w:t>
      </w:r>
      <w:r w:rsidR="00990B83">
        <w:rPr>
          <w:sz w:val="24"/>
          <w:szCs w:val="24"/>
        </w:rPr>
        <w:fldChar w:fldCharType="end"/>
      </w:r>
      <w:bookmarkEnd w:id="65"/>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0150E3D0"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DA7C4A" w:rsidRPr="002D2313" w14:paraId="2DA465C9" w14:textId="77777777" w:rsidTr="00DA7C4A">
        <w:trPr>
          <w:trHeight w:val="379"/>
          <w:jc w:val="center"/>
        </w:trPr>
        <w:tc>
          <w:tcPr>
            <w:tcW w:w="1666" w:type="pct"/>
            <w:noWrap/>
            <w:vAlign w:val="center"/>
            <w:hideMark/>
          </w:tcPr>
          <w:p w14:paraId="71AF8484" w14:textId="2C122A8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757BB2D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3.47</w:t>
            </w:r>
          </w:p>
        </w:tc>
        <w:tc>
          <w:tcPr>
            <w:tcW w:w="1667" w:type="pct"/>
            <w:noWrap/>
            <w:vAlign w:val="bottom"/>
            <w:hideMark/>
          </w:tcPr>
          <w:p w14:paraId="2589AC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7F8AEF45" w14:textId="77777777" w:rsidTr="00DA7C4A">
        <w:trPr>
          <w:trHeight w:val="379"/>
          <w:jc w:val="center"/>
        </w:trPr>
        <w:tc>
          <w:tcPr>
            <w:tcW w:w="1666" w:type="pct"/>
            <w:noWrap/>
            <w:vAlign w:val="center"/>
            <w:hideMark/>
          </w:tcPr>
          <w:p w14:paraId="16E19901" w14:textId="6E7166C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67B76B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3.24</w:t>
            </w:r>
          </w:p>
        </w:tc>
        <w:tc>
          <w:tcPr>
            <w:tcW w:w="1667" w:type="pct"/>
            <w:noWrap/>
            <w:vAlign w:val="bottom"/>
            <w:hideMark/>
          </w:tcPr>
          <w:p w14:paraId="02AB453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3BCE6B14" w14:textId="77777777" w:rsidTr="00DA7C4A">
        <w:trPr>
          <w:trHeight w:val="379"/>
          <w:jc w:val="center"/>
        </w:trPr>
        <w:tc>
          <w:tcPr>
            <w:tcW w:w="1666" w:type="pct"/>
            <w:noWrap/>
            <w:vAlign w:val="center"/>
            <w:hideMark/>
          </w:tcPr>
          <w:p w14:paraId="100A354A" w14:textId="021D74AF"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72AB0EC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2.98</w:t>
            </w:r>
          </w:p>
        </w:tc>
        <w:tc>
          <w:tcPr>
            <w:tcW w:w="1667" w:type="pct"/>
            <w:noWrap/>
            <w:vAlign w:val="bottom"/>
            <w:hideMark/>
          </w:tcPr>
          <w:p w14:paraId="2763D42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2C4B4B48" w14:textId="77777777" w:rsidTr="00DA7C4A">
        <w:trPr>
          <w:trHeight w:val="379"/>
          <w:jc w:val="center"/>
        </w:trPr>
        <w:tc>
          <w:tcPr>
            <w:tcW w:w="1666" w:type="pct"/>
            <w:noWrap/>
            <w:vAlign w:val="center"/>
            <w:hideMark/>
          </w:tcPr>
          <w:p w14:paraId="78EEBDB9" w14:textId="3EBA6E4C"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79F14BC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38F50E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1D746022" w14:textId="77777777" w:rsidTr="00DA7C4A">
        <w:trPr>
          <w:trHeight w:val="379"/>
          <w:jc w:val="center"/>
        </w:trPr>
        <w:tc>
          <w:tcPr>
            <w:tcW w:w="1666" w:type="pct"/>
            <w:noWrap/>
            <w:vAlign w:val="center"/>
            <w:hideMark/>
          </w:tcPr>
          <w:p w14:paraId="5F93DC2D" w14:textId="1EBFA5E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46728E1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3.15</w:t>
            </w:r>
          </w:p>
        </w:tc>
        <w:tc>
          <w:tcPr>
            <w:tcW w:w="1667" w:type="pct"/>
            <w:noWrap/>
            <w:vAlign w:val="bottom"/>
            <w:hideMark/>
          </w:tcPr>
          <w:p w14:paraId="33C1660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C0C0551" w14:textId="77777777" w:rsidTr="00DA7C4A">
        <w:trPr>
          <w:trHeight w:val="379"/>
          <w:jc w:val="center"/>
        </w:trPr>
        <w:tc>
          <w:tcPr>
            <w:tcW w:w="1666" w:type="pct"/>
            <w:noWrap/>
            <w:vAlign w:val="center"/>
            <w:hideMark/>
          </w:tcPr>
          <w:p w14:paraId="1498AB4E" w14:textId="5C8AFF6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3FF0969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3.02</w:t>
            </w:r>
          </w:p>
        </w:tc>
        <w:tc>
          <w:tcPr>
            <w:tcW w:w="1667" w:type="pct"/>
            <w:noWrap/>
            <w:vAlign w:val="bottom"/>
            <w:hideMark/>
          </w:tcPr>
          <w:p w14:paraId="0BCE151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811D734" w14:textId="77777777" w:rsidTr="00DA7C4A">
        <w:trPr>
          <w:trHeight w:val="379"/>
          <w:jc w:val="center"/>
        </w:trPr>
        <w:tc>
          <w:tcPr>
            <w:tcW w:w="1666" w:type="pct"/>
            <w:noWrap/>
            <w:vAlign w:val="center"/>
            <w:hideMark/>
          </w:tcPr>
          <w:p w14:paraId="7434FF31" w14:textId="7F6C35C9"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302EE3E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3.11</w:t>
            </w:r>
          </w:p>
        </w:tc>
        <w:tc>
          <w:tcPr>
            <w:tcW w:w="1667" w:type="pct"/>
            <w:noWrap/>
            <w:vAlign w:val="bottom"/>
            <w:hideMark/>
          </w:tcPr>
          <w:p w14:paraId="11EACEF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6194D891" w14:textId="77777777" w:rsidTr="00DA7C4A">
        <w:trPr>
          <w:trHeight w:val="379"/>
          <w:jc w:val="center"/>
        </w:trPr>
        <w:tc>
          <w:tcPr>
            <w:tcW w:w="1666" w:type="pct"/>
            <w:noWrap/>
            <w:vAlign w:val="bottom"/>
            <w:hideMark/>
          </w:tcPr>
          <w:p w14:paraId="5F79D60F" w14:textId="3CED171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6015D4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2.81</w:t>
            </w:r>
          </w:p>
        </w:tc>
        <w:tc>
          <w:tcPr>
            <w:tcW w:w="1667" w:type="pct"/>
            <w:noWrap/>
            <w:vAlign w:val="bottom"/>
            <w:hideMark/>
          </w:tcPr>
          <w:p w14:paraId="407848F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6CEBA7FC" w14:textId="77777777" w:rsidTr="00DA7C4A">
        <w:trPr>
          <w:trHeight w:val="379"/>
          <w:jc w:val="center"/>
        </w:trPr>
        <w:tc>
          <w:tcPr>
            <w:tcW w:w="1666" w:type="pct"/>
            <w:noWrap/>
            <w:vAlign w:val="bottom"/>
            <w:hideMark/>
          </w:tcPr>
          <w:p w14:paraId="26451788" w14:textId="444D9A1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43A4829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3.08</w:t>
            </w:r>
          </w:p>
        </w:tc>
        <w:tc>
          <w:tcPr>
            <w:tcW w:w="1667" w:type="pct"/>
            <w:noWrap/>
            <w:vAlign w:val="bottom"/>
            <w:hideMark/>
          </w:tcPr>
          <w:p w14:paraId="1933A27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9040FB7" w14:textId="77777777" w:rsidTr="00DA7C4A">
        <w:trPr>
          <w:trHeight w:val="379"/>
          <w:jc w:val="center"/>
        </w:trPr>
        <w:tc>
          <w:tcPr>
            <w:tcW w:w="1666" w:type="pct"/>
            <w:noWrap/>
            <w:vAlign w:val="bottom"/>
            <w:hideMark/>
          </w:tcPr>
          <w:p w14:paraId="27984DB5" w14:textId="6CBCEDA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18E9E69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6040979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BC72060" w14:textId="77777777" w:rsidTr="00DA7C4A">
        <w:trPr>
          <w:trHeight w:val="379"/>
          <w:jc w:val="center"/>
        </w:trPr>
        <w:tc>
          <w:tcPr>
            <w:tcW w:w="1666" w:type="pct"/>
            <w:noWrap/>
            <w:vAlign w:val="bottom"/>
            <w:hideMark/>
          </w:tcPr>
          <w:p w14:paraId="1BDB9821" w14:textId="1DE0CD1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5267E9C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3.31</w:t>
            </w:r>
          </w:p>
        </w:tc>
        <w:tc>
          <w:tcPr>
            <w:tcW w:w="1667" w:type="pct"/>
            <w:noWrap/>
            <w:vAlign w:val="bottom"/>
            <w:hideMark/>
          </w:tcPr>
          <w:p w14:paraId="777F5A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49992C4B" w14:textId="77777777" w:rsidTr="00DA7C4A">
        <w:trPr>
          <w:trHeight w:val="379"/>
          <w:jc w:val="center"/>
        </w:trPr>
        <w:tc>
          <w:tcPr>
            <w:tcW w:w="1666" w:type="pct"/>
            <w:noWrap/>
            <w:vAlign w:val="bottom"/>
            <w:hideMark/>
          </w:tcPr>
          <w:p w14:paraId="5131E841" w14:textId="19E7673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02A7D6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3.48</w:t>
            </w:r>
          </w:p>
        </w:tc>
        <w:tc>
          <w:tcPr>
            <w:tcW w:w="1667" w:type="pct"/>
            <w:noWrap/>
            <w:vAlign w:val="bottom"/>
            <w:hideMark/>
          </w:tcPr>
          <w:p w14:paraId="7BD5869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7AAB5FB" w14:textId="77777777" w:rsidTr="00DA7C4A">
        <w:trPr>
          <w:trHeight w:val="379"/>
          <w:jc w:val="center"/>
        </w:trPr>
        <w:tc>
          <w:tcPr>
            <w:tcW w:w="1666" w:type="pct"/>
            <w:noWrap/>
            <w:vAlign w:val="bottom"/>
            <w:hideMark/>
          </w:tcPr>
          <w:p w14:paraId="14451722" w14:textId="4477ADE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39953DA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3.39</w:t>
            </w:r>
          </w:p>
        </w:tc>
        <w:tc>
          <w:tcPr>
            <w:tcW w:w="1667" w:type="pct"/>
            <w:noWrap/>
            <w:vAlign w:val="bottom"/>
            <w:hideMark/>
          </w:tcPr>
          <w:p w14:paraId="2D6C1D3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3ACD020F" w14:textId="77777777" w:rsidTr="00DA7C4A">
        <w:trPr>
          <w:trHeight w:val="379"/>
          <w:jc w:val="center"/>
        </w:trPr>
        <w:tc>
          <w:tcPr>
            <w:tcW w:w="1666" w:type="pct"/>
            <w:noWrap/>
            <w:vAlign w:val="bottom"/>
            <w:hideMark/>
          </w:tcPr>
          <w:p w14:paraId="5B142B95" w14:textId="215F16B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2FD8E55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3.06</w:t>
            </w:r>
          </w:p>
        </w:tc>
        <w:tc>
          <w:tcPr>
            <w:tcW w:w="1667" w:type="pct"/>
            <w:noWrap/>
            <w:vAlign w:val="bottom"/>
            <w:hideMark/>
          </w:tcPr>
          <w:p w14:paraId="2EE24DBC"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5CB87EA9" w14:textId="77777777" w:rsidTr="00DA7C4A">
        <w:trPr>
          <w:trHeight w:val="379"/>
          <w:jc w:val="center"/>
        </w:trPr>
        <w:tc>
          <w:tcPr>
            <w:tcW w:w="1666" w:type="pct"/>
            <w:noWrap/>
            <w:vAlign w:val="bottom"/>
            <w:hideMark/>
          </w:tcPr>
          <w:p w14:paraId="65D4CE57" w14:textId="64CA624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2FFCD81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2.88</w:t>
            </w:r>
          </w:p>
        </w:tc>
        <w:tc>
          <w:tcPr>
            <w:tcW w:w="1667" w:type="pct"/>
            <w:noWrap/>
            <w:vAlign w:val="bottom"/>
            <w:hideMark/>
          </w:tcPr>
          <w:p w14:paraId="11FAC73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068EC38E" w14:textId="77777777" w:rsidTr="00DA7C4A">
        <w:trPr>
          <w:trHeight w:val="379"/>
          <w:jc w:val="center"/>
        </w:trPr>
        <w:tc>
          <w:tcPr>
            <w:tcW w:w="1666" w:type="pct"/>
            <w:noWrap/>
            <w:vAlign w:val="bottom"/>
            <w:hideMark/>
          </w:tcPr>
          <w:p w14:paraId="2CE00DC2" w14:textId="32B0DD35"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2A7CA8B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3.56</w:t>
            </w:r>
          </w:p>
        </w:tc>
        <w:tc>
          <w:tcPr>
            <w:tcW w:w="1667" w:type="pct"/>
            <w:noWrap/>
            <w:vAlign w:val="bottom"/>
            <w:hideMark/>
          </w:tcPr>
          <w:p w14:paraId="0B60404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2A0BC41C" w14:textId="77777777" w:rsidTr="00DA7C4A">
        <w:trPr>
          <w:trHeight w:val="379"/>
          <w:jc w:val="center"/>
        </w:trPr>
        <w:tc>
          <w:tcPr>
            <w:tcW w:w="1666" w:type="pct"/>
            <w:noWrap/>
            <w:vAlign w:val="bottom"/>
            <w:hideMark/>
          </w:tcPr>
          <w:p w14:paraId="2DF0D74F" w14:textId="142D67F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0B80B86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64303FC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DCDA157" w14:textId="77777777" w:rsidTr="00DA7C4A">
        <w:trPr>
          <w:trHeight w:val="379"/>
          <w:jc w:val="center"/>
        </w:trPr>
        <w:tc>
          <w:tcPr>
            <w:tcW w:w="1666" w:type="pct"/>
            <w:noWrap/>
            <w:vAlign w:val="bottom"/>
            <w:hideMark/>
          </w:tcPr>
          <w:p w14:paraId="206F2198" w14:textId="0771582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6268794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D01169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49751BDF" w14:textId="77777777" w:rsidTr="00DA7C4A">
        <w:trPr>
          <w:trHeight w:val="379"/>
          <w:jc w:val="center"/>
        </w:trPr>
        <w:tc>
          <w:tcPr>
            <w:tcW w:w="1666" w:type="pct"/>
            <w:noWrap/>
            <w:vAlign w:val="bottom"/>
            <w:hideMark/>
          </w:tcPr>
          <w:p w14:paraId="24B33656" w14:textId="6442F7D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0A384FC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2D58F9D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A00A5F9" w14:textId="77777777" w:rsidTr="00DA7C4A">
        <w:trPr>
          <w:trHeight w:val="379"/>
          <w:jc w:val="center"/>
        </w:trPr>
        <w:tc>
          <w:tcPr>
            <w:tcW w:w="1666" w:type="pct"/>
            <w:noWrap/>
            <w:vAlign w:val="bottom"/>
            <w:hideMark/>
          </w:tcPr>
          <w:p w14:paraId="2CBB1C65" w14:textId="712A5A5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213D152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3.38</w:t>
            </w:r>
          </w:p>
        </w:tc>
        <w:tc>
          <w:tcPr>
            <w:tcW w:w="1667" w:type="pct"/>
            <w:noWrap/>
            <w:vAlign w:val="bottom"/>
            <w:hideMark/>
          </w:tcPr>
          <w:p w14:paraId="3F603C9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4641587" w14:textId="77777777" w:rsidTr="00DA7C4A">
        <w:trPr>
          <w:trHeight w:val="379"/>
          <w:jc w:val="center"/>
        </w:trPr>
        <w:tc>
          <w:tcPr>
            <w:tcW w:w="1666" w:type="pct"/>
            <w:noWrap/>
            <w:vAlign w:val="bottom"/>
            <w:hideMark/>
          </w:tcPr>
          <w:p w14:paraId="35EC21BE" w14:textId="6199B4F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3ED7392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2.50</w:t>
            </w:r>
          </w:p>
        </w:tc>
        <w:tc>
          <w:tcPr>
            <w:tcW w:w="1667" w:type="pct"/>
            <w:noWrap/>
            <w:vAlign w:val="bottom"/>
            <w:hideMark/>
          </w:tcPr>
          <w:p w14:paraId="61B8AA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2BFEF607" w14:textId="77777777" w:rsidTr="00DA7C4A">
        <w:trPr>
          <w:trHeight w:val="379"/>
          <w:jc w:val="center"/>
        </w:trPr>
        <w:tc>
          <w:tcPr>
            <w:tcW w:w="1666" w:type="pct"/>
            <w:noWrap/>
            <w:vAlign w:val="bottom"/>
            <w:hideMark/>
          </w:tcPr>
          <w:p w14:paraId="0E9A857B" w14:textId="4F64194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58FF84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3.90</w:t>
            </w:r>
          </w:p>
        </w:tc>
        <w:tc>
          <w:tcPr>
            <w:tcW w:w="1667" w:type="pct"/>
            <w:noWrap/>
            <w:vAlign w:val="bottom"/>
            <w:hideMark/>
          </w:tcPr>
          <w:p w14:paraId="5D83FF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0.13</w:t>
            </w:r>
          </w:p>
        </w:tc>
      </w:tr>
      <w:tr w:rsidR="00DA7C4A" w:rsidRPr="002D2313" w14:paraId="04337AA0" w14:textId="77777777" w:rsidTr="00DA7C4A">
        <w:trPr>
          <w:trHeight w:val="379"/>
          <w:jc w:val="center"/>
        </w:trPr>
        <w:tc>
          <w:tcPr>
            <w:tcW w:w="1666" w:type="pct"/>
            <w:noWrap/>
            <w:vAlign w:val="bottom"/>
            <w:hideMark/>
          </w:tcPr>
          <w:p w14:paraId="6F3141D5" w14:textId="66652AA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4FB779A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5.65</w:t>
            </w:r>
          </w:p>
        </w:tc>
        <w:tc>
          <w:tcPr>
            <w:tcW w:w="1667" w:type="pct"/>
            <w:noWrap/>
            <w:vAlign w:val="bottom"/>
            <w:hideMark/>
          </w:tcPr>
          <w:p w14:paraId="4CC3878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0.19</w:t>
            </w:r>
          </w:p>
        </w:tc>
      </w:tr>
      <w:tr w:rsidR="00DA7C4A" w:rsidRPr="002D2313" w14:paraId="18001010" w14:textId="77777777" w:rsidTr="00DA7C4A">
        <w:trPr>
          <w:trHeight w:val="379"/>
          <w:jc w:val="center"/>
        </w:trPr>
        <w:tc>
          <w:tcPr>
            <w:tcW w:w="1666" w:type="pct"/>
            <w:noWrap/>
            <w:vAlign w:val="bottom"/>
            <w:hideMark/>
          </w:tcPr>
          <w:p w14:paraId="45F3F629" w14:textId="7B268C7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3B3758E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55AD09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81D8EBA" w14:textId="77777777" w:rsidTr="00DA7C4A">
        <w:trPr>
          <w:trHeight w:val="379"/>
          <w:jc w:val="center"/>
        </w:trPr>
        <w:tc>
          <w:tcPr>
            <w:tcW w:w="1666" w:type="pct"/>
            <w:noWrap/>
            <w:vAlign w:val="bottom"/>
            <w:hideMark/>
          </w:tcPr>
          <w:p w14:paraId="5574F0EE" w14:textId="0C88EFF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024BC05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3.29</w:t>
            </w:r>
          </w:p>
        </w:tc>
        <w:tc>
          <w:tcPr>
            <w:tcW w:w="1667" w:type="pct"/>
            <w:noWrap/>
            <w:vAlign w:val="bottom"/>
            <w:hideMark/>
          </w:tcPr>
          <w:p w14:paraId="2F1F8AD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bl>
    <w:p w14:paraId="73585523" w14:textId="03FBFFDD"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25420" w:rsidRPr="00B25420">
        <w:rPr>
          <w:rFonts w:cs="標楷體" w:hint="eastAsia"/>
          <w:color w:val="auto"/>
          <w:szCs w:val="27"/>
        </w:rPr>
        <w:t>花蓮縣公路客運平均每日使用次數大多維持於</w:t>
      </w:r>
      <w:r w:rsidR="00B25420" w:rsidRPr="00B25420">
        <w:rPr>
          <w:rFonts w:cs="標楷體" w:hint="eastAsia"/>
          <w:color w:val="auto"/>
          <w:szCs w:val="27"/>
        </w:rPr>
        <w:t>0.09</w:t>
      </w:r>
      <w:r w:rsidR="00B25420" w:rsidRPr="00B25420">
        <w:rPr>
          <w:rFonts w:cs="標楷體" w:hint="eastAsia"/>
          <w:color w:val="auto"/>
          <w:szCs w:val="27"/>
        </w:rPr>
        <w:t>次至</w:t>
      </w:r>
      <w:r w:rsidR="00B25420" w:rsidRPr="00B25420">
        <w:rPr>
          <w:rFonts w:cs="標楷體" w:hint="eastAsia"/>
          <w:color w:val="auto"/>
          <w:szCs w:val="27"/>
        </w:rPr>
        <w:t>0.12</w:t>
      </w:r>
      <w:r w:rsidR="00B25420" w:rsidRPr="00B25420">
        <w:rPr>
          <w:rFonts w:cs="標楷體" w:hint="eastAsia"/>
          <w:color w:val="auto"/>
          <w:szCs w:val="27"/>
        </w:rPr>
        <w:t>次</w:t>
      </w:r>
      <w:proofErr w:type="gramStart"/>
      <w:r w:rsidR="00B25420" w:rsidRPr="00B25420">
        <w:rPr>
          <w:rFonts w:cs="標楷體" w:hint="eastAsia"/>
          <w:color w:val="auto"/>
          <w:szCs w:val="27"/>
        </w:rPr>
        <w:t>之間，</w:t>
      </w:r>
      <w:proofErr w:type="gramEnd"/>
      <w:r w:rsidR="00B25420" w:rsidRPr="00B25420">
        <w:rPr>
          <w:rFonts w:cs="標楷體" w:hint="eastAsia"/>
          <w:color w:val="auto"/>
          <w:szCs w:val="27"/>
        </w:rPr>
        <w:t>各月份雖有一定程度波動，但整體尚未呈現明顯長期上升或下降趨勢。部分月份使用次數相對偏低，另於</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3</w:t>
      </w:r>
      <w:r w:rsidR="00B25420" w:rsidRPr="00B25420">
        <w:rPr>
          <w:rFonts w:cs="標楷體" w:hint="eastAsia"/>
          <w:color w:val="auto"/>
          <w:szCs w:val="27"/>
        </w:rPr>
        <w:t>月至</w:t>
      </w:r>
      <w:r w:rsidR="00B25420" w:rsidRPr="00B25420">
        <w:rPr>
          <w:rFonts w:cs="標楷體" w:hint="eastAsia"/>
          <w:color w:val="auto"/>
          <w:szCs w:val="27"/>
        </w:rPr>
        <w:t>4</w:t>
      </w:r>
      <w:r w:rsidR="00B25420" w:rsidRPr="00B25420">
        <w:rPr>
          <w:rFonts w:cs="標楷體" w:hint="eastAsia"/>
          <w:color w:val="auto"/>
          <w:szCs w:val="27"/>
        </w:rPr>
        <w:t>月出現明顯回升，其中</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4</w:t>
      </w:r>
      <w:r w:rsidR="00B25420" w:rsidRPr="00B25420">
        <w:rPr>
          <w:rFonts w:cs="標楷體" w:hint="eastAsia"/>
          <w:color w:val="auto"/>
          <w:szCs w:val="27"/>
        </w:rPr>
        <w:t>月達</w:t>
      </w:r>
      <w:r w:rsidR="00B25420" w:rsidRPr="00B25420">
        <w:rPr>
          <w:rFonts w:cs="標楷體" w:hint="eastAsia"/>
          <w:color w:val="auto"/>
          <w:szCs w:val="27"/>
        </w:rPr>
        <w:t>0.19</w:t>
      </w:r>
      <w:r w:rsidR="00B25420" w:rsidRPr="00B25420">
        <w:rPr>
          <w:rFonts w:cs="標楷體" w:hint="eastAsia"/>
          <w:color w:val="auto"/>
          <w:szCs w:val="27"/>
        </w:rPr>
        <w:t>次，為分析期間最高值，顯示特定月份之旅運需求可能有較明顯增加。</w:t>
      </w:r>
    </w:p>
    <w:p w14:paraId="0CF8F31F" w14:textId="6DF04063" w:rsidR="00F44525"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與花蓮縣市區客運相比，公路客運平均每日使用次數整體維持於相對較高且較穩定之水準，反映其服務跨區域及中長程旅運需求之特性</w:t>
      </w:r>
      <w:r>
        <w:rPr>
          <w:rFonts w:cs="標楷體" w:hint="eastAsia"/>
          <w:color w:val="auto"/>
          <w:szCs w:val="27"/>
        </w:rPr>
        <w:t>，顯示出</w:t>
      </w:r>
      <w:r w:rsidRPr="00B25420">
        <w:rPr>
          <w:rFonts w:cs="標楷體" w:hint="eastAsia"/>
          <w:color w:val="auto"/>
          <w:szCs w:val="27"/>
        </w:rPr>
        <w:t>各月份變化可能受到寒暑假、春節、就學通勤、返鄉及觀光旅運等因素影響。</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298ED686">
            <wp:extent cx="5274310" cy="1758315"/>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315"/>
                    </a:xfrm>
                    <a:prstGeom prst="rect">
                      <a:avLst/>
                    </a:prstGeom>
                  </pic:spPr>
                </pic:pic>
              </a:graphicData>
            </a:graphic>
          </wp:inline>
        </w:drawing>
      </w:r>
    </w:p>
    <w:p w14:paraId="2546D9D7" w14:textId="6B7C0509" w:rsidR="00926445" w:rsidRDefault="00926445" w:rsidP="00926445">
      <w:pPr>
        <w:pStyle w:val="af7"/>
        <w:spacing w:beforeLines="50" w:before="180" w:afterLines="50" w:after="180" w:line="240" w:lineRule="atLeast"/>
        <w:jc w:val="center"/>
        <w:rPr>
          <w:sz w:val="24"/>
          <w:szCs w:val="24"/>
        </w:rPr>
      </w:pPr>
      <w:bookmarkStart w:id="66" w:name="_Ref239704695"/>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66"/>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4A17C144" w:rsidR="00926445" w:rsidRDefault="00926445" w:rsidP="00926445">
      <w:pPr>
        <w:pStyle w:val="af7"/>
        <w:keepNext/>
        <w:spacing w:beforeLines="50" w:before="180" w:afterLines="50" w:after="180" w:line="240" w:lineRule="atLeast"/>
        <w:jc w:val="center"/>
        <w:rPr>
          <w:sz w:val="24"/>
          <w:szCs w:val="24"/>
        </w:rPr>
      </w:pPr>
      <w:bookmarkStart w:id="67" w:name="_Ref239704706"/>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67"/>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6C0D77">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0A716C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B0EE8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3,944 </w:t>
            </w:r>
          </w:p>
        </w:tc>
        <w:tc>
          <w:tcPr>
            <w:tcW w:w="1040" w:type="dxa"/>
            <w:tcBorders>
              <w:top w:val="nil"/>
              <w:left w:val="nil"/>
              <w:bottom w:val="single" w:sz="4" w:space="0" w:color="auto"/>
              <w:right w:val="single" w:sz="4" w:space="0" w:color="auto"/>
            </w:tcBorders>
            <w:noWrap/>
            <w:vAlign w:val="bottom"/>
            <w:hideMark/>
          </w:tcPr>
          <w:p w14:paraId="65EEBC2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48.0%</w:t>
            </w:r>
          </w:p>
        </w:tc>
        <w:tc>
          <w:tcPr>
            <w:tcW w:w="1040" w:type="dxa"/>
            <w:tcBorders>
              <w:top w:val="nil"/>
              <w:left w:val="nil"/>
              <w:bottom w:val="single" w:sz="4" w:space="0" w:color="auto"/>
              <w:right w:val="single" w:sz="4" w:space="0" w:color="auto"/>
            </w:tcBorders>
            <w:noWrap/>
            <w:vAlign w:val="bottom"/>
            <w:hideMark/>
          </w:tcPr>
          <w:p w14:paraId="12B5E76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3,054 </w:t>
            </w:r>
          </w:p>
        </w:tc>
        <w:tc>
          <w:tcPr>
            <w:tcW w:w="1040" w:type="dxa"/>
            <w:tcBorders>
              <w:top w:val="nil"/>
              <w:left w:val="nil"/>
              <w:bottom w:val="single" w:sz="4" w:space="0" w:color="auto"/>
              <w:right w:val="single" w:sz="4" w:space="0" w:color="auto"/>
            </w:tcBorders>
            <w:noWrap/>
            <w:vAlign w:val="bottom"/>
            <w:hideMark/>
          </w:tcPr>
          <w:p w14:paraId="677B718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37.2%</w:t>
            </w:r>
          </w:p>
        </w:tc>
        <w:tc>
          <w:tcPr>
            <w:tcW w:w="1040" w:type="dxa"/>
            <w:tcBorders>
              <w:top w:val="nil"/>
              <w:left w:val="nil"/>
              <w:bottom w:val="single" w:sz="4" w:space="0" w:color="auto"/>
              <w:right w:val="single" w:sz="4" w:space="0" w:color="auto"/>
            </w:tcBorders>
            <w:noWrap/>
            <w:vAlign w:val="bottom"/>
            <w:hideMark/>
          </w:tcPr>
          <w:p w14:paraId="05BFEFD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1,218 </w:t>
            </w:r>
          </w:p>
        </w:tc>
        <w:tc>
          <w:tcPr>
            <w:tcW w:w="1040" w:type="dxa"/>
            <w:tcBorders>
              <w:top w:val="nil"/>
              <w:left w:val="nil"/>
              <w:bottom w:val="single" w:sz="4" w:space="0" w:color="auto"/>
              <w:right w:val="single" w:sz="4" w:space="0" w:color="auto"/>
            </w:tcBorders>
            <w:noWrap/>
            <w:vAlign w:val="bottom"/>
            <w:hideMark/>
          </w:tcPr>
          <w:p w14:paraId="2F61A94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14.8%</w:t>
            </w:r>
          </w:p>
        </w:tc>
      </w:tr>
      <w:tr w:rsidR="00926445" w:rsidRPr="00926445" w14:paraId="43C47C6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26997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3,941 </w:t>
            </w:r>
          </w:p>
        </w:tc>
        <w:tc>
          <w:tcPr>
            <w:tcW w:w="1040" w:type="dxa"/>
            <w:tcBorders>
              <w:top w:val="nil"/>
              <w:left w:val="nil"/>
              <w:bottom w:val="single" w:sz="4" w:space="0" w:color="auto"/>
              <w:right w:val="single" w:sz="4" w:space="0" w:color="auto"/>
            </w:tcBorders>
            <w:noWrap/>
            <w:vAlign w:val="bottom"/>
            <w:hideMark/>
          </w:tcPr>
          <w:p w14:paraId="67E8C10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47.9%</w:t>
            </w:r>
          </w:p>
        </w:tc>
        <w:tc>
          <w:tcPr>
            <w:tcW w:w="1040" w:type="dxa"/>
            <w:tcBorders>
              <w:top w:val="nil"/>
              <w:left w:val="nil"/>
              <w:bottom w:val="single" w:sz="4" w:space="0" w:color="auto"/>
              <w:right w:val="single" w:sz="4" w:space="0" w:color="auto"/>
            </w:tcBorders>
            <w:noWrap/>
            <w:vAlign w:val="bottom"/>
            <w:hideMark/>
          </w:tcPr>
          <w:p w14:paraId="67425F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3,123 </w:t>
            </w:r>
          </w:p>
        </w:tc>
        <w:tc>
          <w:tcPr>
            <w:tcW w:w="1040" w:type="dxa"/>
            <w:tcBorders>
              <w:top w:val="nil"/>
              <w:left w:val="nil"/>
              <w:bottom w:val="single" w:sz="4" w:space="0" w:color="auto"/>
              <w:right w:val="single" w:sz="4" w:space="0" w:color="auto"/>
            </w:tcBorders>
            <w:noWrap/>
            <w:vAlign w:val="bottom"/>
            <w:hideMark/>
          </w:tcPr>
          <w:p w14:paraId="786698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38.0%</w:t>
            </w:r>
          </w:p>
        </w:tc>
        <w:tc>
          <w:tcPr>
            <w:tcW w:w="1040" w:type="dxa"/>
            <w:tcBorders>
              <w:top w:val="nil"/>
              <w:left w:val="nil"/>
              <w:bottom w:val="single" w:sz="4" w:space="0" w:color="auto"/>
              <w:right w:val="single" w:sz="4" w:space="0" w:color="auto"/>
            </w:tcBorders>
            <w:noWrap/>
            <w:vAlign w:val="bottom"/>
            <w:hideMark/>
          </w:tcPr>
          <w:p w14:paraId="12F765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1,160 </w:t>
            </w:r>
          </w:p>
        </w:tc>
        <w:tc>
          <w:tcPr>
            <w:tcW w:w="1040" w:type="dxa"/>
            <w:tcBorders>
              <w:top w:val="nil"/>
              <w:left w:val="nil"/>
              <w:bottom w:val="single" w:sz="4" w:space="0" w:color="auto"/>
              <w:right w:val="single" w:sz="4" w:space="0" w:color="auto"/>
            </w:tcBorders>
            <w:noWrap/>
            <w:vAlign w:val="bottom"/>
            <w:hideMark/>
          </w:tcPr>
          <w:p w14:paraId="3808C6E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2A4DFBC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309FB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4,724 </w:t>
            </w:r>
          </w:p>
        </w:tc>
        <w:tc>
          <w:tcPr>
            <w:tcW w:w="1040" w:type="dxa"/>
            <w:tcBorders>
              <w:top w:val="nil"/>
              <w:left w:val="nil"/>
              <w:bottom w:val="single" w:sz="4" w:space="0" w:color="auto"/>
              <w:right w:val="single" w:sz="4" w:space="0" w:color="auto"/>
            </w:tcBorders>
            <w:noWrap/>
            <w:vAlign w:val="bottom"/>
            <w:hideMark/>
          </w:tcPr>
          <w:p w14:paraId="3104EA7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50.9%</w:t>
            </w:r>
          </w:p>
        </w:tc>
        <w:tc>
          <w:tcPr>
            <w:tcW w:w="1040" w:type="dxa"/>
            <w:tcBorders>
              <w:top w:val="nil"/>
              <w:left w:val="nil"/>
              <w:bottom w:val="single" w:sz="4" w:space="0" w:color="auto"/>
              <w:right w:val="single" w:sz="4" w:space="0" w:color="auto"/>
            </w:tcBorders>
            <w:noWrap/>
            <w:vAlign w:val="bottom"/>
            <w:hideMark/>
          </w:tcPr>
          <w:p w14:paraId="24A42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3,382 </w:t>
            </w:r>
          </w:p>
        </w:tc>
        <w:tc>
          <w:tcPr>
            <w:tcW w:w="1040" w:type="dxa"/>
            <w:tcBorders>
              <w:top w:val="nil"/>
              <w:left w:val="nil"/>
              <w:bottom w:val="single" w:sz="4" w:space="0" w:color="auto"/>
              <w:right w:val="single" w:sz="4" w:space="0" w:color="auto"/>
            </w:tcBorders>
            <w:noWrap/>
            <w:vAlign w:val="bottom"/>
            <w:hideMark/>
          </w:tcPr>
          <w:p w14:paraId="496DB1A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10458E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1,178 </w:t>
            </w:r>
          </w:p>
        </w:tc>
        <w:tc>
          <w:tcPr>
            <w:tcW w:w="1040" w:type="dxa"/>
            <w:tcBorders>
              <w:top w:val="nil"/>
              <w:left w:val="nil"/>
              <w:bottom w:val="single" w:sz="4" w:space="0" w:color="auto"/>
              <w:right w:val="single" w:sz="4" w:space="0" w:color="auto"/>
            </w:tcBorders>
            <w:noWrap/>
            <w:vAlign w:val="bottom"/>
            <w:hideMark/>
          </w:tcPr>
          <w:p w14:paraId="57887D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12.7%</w:t>
            </w:r>
          </w:p>
        </w:tc>
      </w:tr>
      <w:tr w:rsidR="00926445" w:rsidRPr="00926445" w14:paraId="37255724"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8236F8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4,475 </w:t>
            </w:r>
          </w:p>
        </w:tc>
        <w:tc>
          <w:tcPr>
            <w:tcW w:w="1040" w:type="dxa"/>
            <w:tcBorders>
              <w:top w:val="nil"/>
              <w:left w:val="nil"/>
              <w:bottom w:val="single" w:sz="4" w:space="0" w:color="auto"/>
              <w:right w:val="single" w:sz="4" w:space="0" w:color="auto"/>
            </w:tcBorders>
            <w:noWrap/>
            <w:vAlign w:val="bottom"/>
            <w:hideMark/>
          </w:tcPr>
          <w:p w14:paraId="527A5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3977E2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3,172 </w:t>
            </w:r>
          </w:p>
        </w:tc>
        <w:tc>
          <w:tcPr>
            <w:tcW w:w="1040" w:type="dxa"/>
            <w:tcBorders>
              <w:top w:val="nil"/>
              <w:left w:val="nil"/>
              <w:bottom w:val="single" w:sz="4" w:space="0" w:color="auto"/>
              <w:right w:val="single" w:sz="4" w:space="0" w:color="auto"/>
            </w:tcBorders>
            <w:noWrap/>
            <w:vAlign w:val="bottom"/>
            <w:hideMark/>
          </w:tcPr>
          <w:p w14:paraId="4742271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4FE304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1,298 </w:t>
            </w:r>
          </w:p>
        </w:tc>
        <w:tc>
          <w:tcPr>
            <w:tcW w:w="1040" w:type="dxa"/>
            <w:tcBorders>
              <w:top w:val="nil"/>
              <w:left w:val="nil"/>
              <w:bottom w:val="single" w:sz="4" w:space="0" w:color="auto"/>
              <w:right w:val="single" w:sz="4" w:space="0" w:color="auto"/>
            </w:tcBorders>
            <w:noWrap/>
            <w:vAlign w:val="bottom"/>
            <w:hideMark/>
          </w:tcPr>
          <w:p w14:paraId="532B17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14.5%</w:t>
            </w:r>
          </w:p>
        </w:tc>
      </w:tr>
      <w:tr w:rsidR="00926445" w:rsidRPr="00926445" w14:paraId="267F5AA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1DB7B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4,309 </w:t>
            </w:r>
          </w:p>
        </w:tc>
        <w:tc>
          <w:tcPr>
            <w:tcW w:w="1040" w:type="dxa"/>
            <w:tcBorders>
              <w:top w:val="nil"/>
              <w:left w:val="nil"/>
              <w:bottom w:val="single" w:sz="4" w:space="0" w:color="auto"/>
              <w:right w:val="single" w:sz="4" w:space="0" w:color="auto"/>
            </w:tcBorders>
            <w:noWrap/>
            <w:vAlign w:val="bottom"/>
            <w:hideMark/>
          </w:tcPr>
          <w:p w14:paraId="281D6A0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47.1%</w:t>
            </w:r>
          </w:p>
        </w:tc>
        <w:tc>
          <w:tcPr>
            <w:tcW w:w="1040" w:type="dxa"/>
            <w:tcBorders>
              <w:top w:val="nil"/>
              <w:left w:val="nil"/>
              <w:bottom w:val="single" w:sz="4" w:space="0" w:color="auto"/>
              <w:right w:val="single" w:sz="4" w:space="0" w:color="auto"/>
            </w:tcBorders>
            <w:noWrap/>
            <w:vAlign w:val="bottom"/>
            <w:hideMark/>
          </w:tcPr>
          <w:p w14:paraId="0B796F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3,609 </w:t>
            </w:r>
          </w:p>
        </w:tc>
        <w:tc>
          <w:tcPr>
            <w:tcW w:w="1040" w:type="dxa"/>
            <w:tcBorders>
              <w:top w:val="nil"/>
              <w:left w:val="nil"/>
              <w:bottom w:val="single" w:sz="4" w:space="0" w:color="auto"/>
              <w:right w:val="single" w:sz="4" w:space="0" w:color="auto"/>
            </w:tcBorders>
            <w:noWrap/>
            <w:vAlign w:val="bottom"/>
            <w:hideMark/>
          </w:tcPr>
          <w:p w14:paraId="4CAEBD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39.5%</w:t>
            </w:r>
          </w:p>
        </w:tc>
        <w:tc>
          <w:tcPr>
            <w:tcW w:w="1040" w:type="dxa"/>
            <w:tcBorders>
              <w:top w:val="nil"/>
              <w:left w:val="nil"/>
              <w:bottom w:val="single" w:sz="4" w:space="0" w:color="auto"/>
              <w:right w:val="single" w:sz="4" w:space="0" w:color="auto"/>
            </w:tcBorders>
            <w:noWrap/>
            <w:vAlign w:val="bottom"/>
            <w:hideMark/>
          </w:tcPr>
          <w:p w14:paraId="66A3E9C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1,222 </w:t>
            </w:r>
          </w:p>
        </w:tc>
        <w:tc>
          <w:tcPr>
            <w:tcW w:w="1040" w:type="dxa"/>
            <w:tcBorders>
              <w:top w:val="nil"/>
              <w:left w:val="nil"/>
              <w:bottom w:val="single" w:sz="4" w:space="0" w:color="auto"/>
              <w:right w:val="single" w:sz="4" w:space="0" w:color="auto"/>
            </w:tcBorders>
            <w:noWrap/>
            <w:vAlign w:val="bottom"/>
            <w:hideMark/>
          </w:tcPr>
          <w:p w14:paraId="394BA82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13.4%</w:t>
            </w:r>
          </w:p>
        </w:tc>
      </w:tr>
      <w:tr w:rsidR="00926445" w:rsidRPr="00926445" w14:paraId="526D188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DDCE80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5,587 </w:t>
            </w:r>
          </w:p>
        </w:tc>
        <w:tc>
          <w:tcPr>
            <w:tcW w:w="1040" w:type="dxa"/>
            <w:tcBorders>
              <w:top w:val="nil"/>
              <w:left w:val="nil"/>
              <w:bottom w:val="single" w:sz="4" w:space="0" w:color="auto"/>
              <w:right w:val="single" w:sz="4" w:space="0" w:color="auto"/>
            </w:tcBorders>
            <w:noWrap/>
            <w:vAlign w:val="bottom"/>
            <w:hideMark/>
          </w:tcPr>
          <w:p w14:paraId="1EBE207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7EEF8F6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4,581 </w:t>
            </w:r>
          </w:p>
        </w:tc>
        <w:tc>
          <w:tcPr>
            <w:tcW w:w="1040" w:type="dxa"/>
            <w:tcBorders>
              <w:top w:val="nil"/>
              <w:left w:val="nil"/>
              <w:bottom w:val="single" w:sz="4" w:space="0" w:color="auto"/>
              <w:right w:val="single" w:sz="4" w:space="0" w:color="auto"/>
            </w:tcBorders>
            <w:noWrap/>
            <w:vAlign w:val="bottom"/>
            <w:hideMark/>
          </w:tcPr>
          <w:p w14:paraId="475D420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FBAD7B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1,349 </w:t>
            </w:r>
          </w:p>
        </w:tc>
        <w:tc>
          <w:tcPr>
            <w:tcW w:w="1040" w:type="dxa"/>
            <w:tcBorders>
              <w:top w:val="nil"/>
              <w:left w:val="nil"/>
              <w:bottom w:val="single" w:sz="4" w:space="0" w:color="auto"/>
              <w:right w:val="single" w:sz="4" w:space="0" w:color="auto"/>
            </w:tcBorders>
            <w:noWrap/>
            <w:vAlign w:val="bottom"/>
            <w:hideMark/>
          </w:tcPr>
          <w:p w14:paraId="1DF170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11.7%</w:t>
            </w:r>
          </w:p>
        </w:tc>
      </w:tr>
      <w:tr w:rsidR="00926445" w:rsidRPr="00926445" w14:paraId="08320453"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48B55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5,161 </w:t>
            </w:r>
          </w:p>
        </w:tc>
        <w:tc>
          <w:tcPr>
            <w:tcW w:w="1040" w:type="dxa"/>
            <w:tcBorders>
              <w:top w:val="nil"/>
              <w:left w:val="nil"/>
              <w:bottom w:val="single" w:sz="4" w:space="0" w:color="auto"/>
              <w:right w:val="single" w:sz="4" w:space="0" w:color="auto"/>
            </w:tcBorders>
            <w:noWrap/>
            <w:vAlign w:val="bottom"/>
            <w:hideMark/>
          </w:tcPr>
          <w:p w14:paraId="506B56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40E57F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3,635 </w:t>
            </w:r>
          </w:p>
        </w:tc>
        <w:tc>
          <w:tcPr>
            <w:tcW w:w="1040" w:type="dxa"/>
            <w:tcBorders>
              <w:top w:val="nil"/>
              <w:left w:val="nil"/>
              <w:bottom w:val="single" w:sz="4" w:space="0" w:color="auto"/>
              <w:right w:val="single" w:sz="4" w:space="0" w:color="auto"/>
            </w:tcBorders>
            <w:noWrap/>
            <w:vAlign w:val="bottom"/>
            <w:hideMark/>
          </w:tcPr>
          <w:p w14:paraId="3F68785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25DE718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1,399 </w:t>
            </w:r>
          </w:p>
        </w:tc>
        <w:tc>
          <w:tcPr>
            <w:tcW w:w="1040" w:type="dxa"/>
            <w:tcBorders>
              <w:top w:val="nil"/>
              <w:left w:val="nil"/>
              <w:bottom w:val="single" w:sz="4" w:space="0" w:color="auto"/>
              <w:right w:val="single" w:sz="4" w:space="0" w:color="auto"/>
            </w:tcBorders>
            <w:noWrap/>
            <w:vAlign w:val="bottom"/>
            <w:hideMark/>
          </w:tcPr>
          <w:p w14:paraId="61B56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13.7%</w:t>
            </w:r>
          </w:p>
        </w:tc>
      </w:tr>
      <w:tr w:rsidR="00926445" w:rsidRPr="00926445" w14:paraId="2B81A02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55BBC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4,985 </w:t>
            </w:r>
          </w:p>
        </w:tc>
        <w:tc>
          <w:tcPr>
            <w:tcW w:w="1040" w:type="dxa"/>
            <w:tcBorders>
              <w:top w:val="nil"/>
              <w:left w:val="nil"/>
              <w:bottom w:val="single" w:sz="4" w:space="0" w:color="auto"/>
              <w:right w:val="single" w:sz="4" w:space="0" w:color="auto"/>
            </w:tcBorders>
            <w:noWrap/>
            <w:vAlign w:val="bottom"/>
            <w:hideMark/>
          </w:tcPr>
          <w:p w14:paraId="2B5D3E4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53.7%</w:t>
            </w:r>
          </w:p>
        </w:tc>
        <w:tc>
          <w:tcPr>
            <w:tcW w:w="1040" w:type="dxa"/>
            <w:tcBorders>
              <w:top w:val="nil"/>
              <w:left w:val="nil"/>
              <w:bottom w:val="single" w:sz="4" w:space="0" w:color="auto"/>
              <w:right w:val="single" w:sz="4" w:space="0" w:color="auto"/>
            </w:tcBorders>
            <w:noWrap/>
            <w:vAlign w:val="bottom"/>
            <w:hideMark/>
          </w:tcPr>
          <w:p w14:paraId="332BC8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3,163 </w:t>
            </w:r>
          </w:p>
        </w:tc>
        <w:tc>
          <w:tcPr>
            <w:tcW w:w="1040" w:type="dxa"/>
            <w:tcBorders>
              <w:top w:val="nil"/>
              <w:left w:val="nil"/>
              <w:bottom w:val="single" w:sz="4" w:space="0" w:color="auto"/>
              <w:right w:val="single" w:sz="4" w:space="0" w:color="auto"/>
            </w:tcBorders>
            <w:noWrap/>
            <w:vAlign w:val="bottom"/>
            <w:hideMark/>
          </w:tcPr>
          <w:p w14:paraId="31BBDF8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c>
          <w:tcPr>
            <w:tcW w:w="1040" w:type="dxa"/>
            <w:tcBorders>
              <w:top w:val="nil"/>
              <w:left w:val="nil"/>
              <w:bottom w:val="single" w:sz="4" w:space="0" w:color="auto"/>
              <w:right w:val="single" w:sz="4" w:space="0" w:color="auto"/>
            </w:tcBorders>
            <w:noWrap/>
            <w:vAlign w:val="bottom"/>
            <w:hideMark/>
          </w:tcPr>
          <w:p w14:paraId="0F7C02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1,136 </w:t>
            </w:r>
          </w:p>
        </w:tc>
        <w:tc>
          <w:tcPr>
            <w:tcW w:w="1040" w:type="dxa"/>
            <w:tcBorders>
              <w:top w:val="nil"/>
              <w:left w:val="nil"/>
              <w:bottom w:val="single" w:sz="4" w:space="0" w:color="auto"/>
              <w:right w:val="single" w:sz="4" w:space="0" w:color="auto"/>
            </w:tcBorders>
            <w:noWrap/>
            <w:vAlign w:val="bottom"/>
            <w:hideMark/>
          </w:tcPr>
          <w:p w14:paraId="2373C60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12.2%</w:t>
            </w:r>
          </w:p>
        </w:tc>
      </w:tr>
      <w:tr w:rsidR="00926445" w:rsidRPr="00926445" w14:paraId="038098F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EE7897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4,455 </w:t>
            </w:r>
          </w:p>
        </w:tc>
        <w:tc>
          <w:tcPr>
            <w:tcW w:w="1040" w:type="dxa"/>
            <w:tcBorders>
              <w:top w:val="nil"/>
              <w:left w:val="nil"/>
              <w:bottom w:val="single" w:sz="4" w:space="0" w:color="auto"/>
              <w:right w:val="single" w:sz="4" w:space="0" w:color="auto"/>
            </w:tcBorders>
            <w:noWrap/>
            <w:vAlign w:val="bottom"/>
            <w:hideMark/>
          </w:tcPr>
          <w:p w14:paraId="4391F0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53.4%</w:t>
            </w:r>
          </w:p>
        </w:tc>
        <w:tc>
          <w:tcPr>
            <w:tcW w:w="1040" w:type="dxa"/>
            <w:tcBorders>
              <w:top w:val="nil"/>
              <w:left w:val="nil"/>
              <w:bottom w:val="single" w:sz="4" w:space="0" w:color="auto"/>
              <w:right w:val="single" w:sz="4" w:space="0" w:color="auto"/>
            </w:tcBorders>
            <w:noWrap/>
            <w:vAlign w:val="bottom"/>
            <w:hideMark/>
          </w:tcPr>
          <w:p w14:paraId="50D50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2,726 </w:t>
            </w:r>
          </w:p>
        </w:tc>
        <w:tc>
          <w:tcPr>
            <w:tcW w:w="1040" w:type="dxa"/>
            <w:tcBorders>
              <w:top w:val="nil"/>
              <w:left w:val="nil"/>
              <w:bottom w:val="single" w:sz="4" w:space="0" w:color="auto"/>
              <w:right w:val="single" w:sz="4" w:space="0" w:color="auto"/>
            </w:tcBorders>
            <w:noWrap/>
            <w:vAlign w:val="bottom"/>
            <w:hideMark/>
          </w:tcPr>
          <w:p w14:paraId="1689BB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32.7%</w:t>
            </w:r>
          </w:p>
        </w:tc>
        <w:tc>
          <w:tcPr>
            <w:tcW w:w="1040" w:type="dxa"/>
            <w:tcBorders>
              <w:top w:val="nil"/>
              <w:left w:val="nil"/>
              <w:bottom w:val="single" w:sz="4" w:space="0" w:color="auto"/>
              <w:right w:val="single" w:sz="4" w:space="0" w:color="auto"/>
            </w:tcBorders>
            <w:noWrap/>
            <w:vAlign w:val="bottom"/>
            <w:hideMark/>
          </w:tcPr>
          <w:p w14:paraId="3CF3DEC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1,163 </w:t>
            </w:r>
          </w:p>
        </w:tc>
        <w:tc>
          <w:tcPr>
            <w:tcW w:w="1040" w:type="dxa"/>
            <w:tcBorders>
              <w:top w:val="nil"/>
              <w:left w:val="nil"/>
              <w:bottom w:val="single" w:sz="4" w:space="0" w:color="auto"/>
              <w:right w:val="single" w:sz="4" w:space="0" w:color="auto"/>
            </w:tcBorders>
            <w:noWrap/>
            <w:vAlign w:val="bottom"/>
            <w:hideMark/>
          </w:tcPr>
          <w:p w14:paraId="72B777E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13.9%</w:t>
            </w:r>
          </w:p>
        </w:tc>
      </w:tr>
      <w:tr w:rsidR="00926445" w:rsidRPr="00926445" w14:paraId="3A41A61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1C8B1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4,466 </w:t>
            </w:r>
          </w:p>
        </w:tc>
        <w:tc>
          <w:tcPr>
            <w:tcW w:w="1040" w:type="dxa"/>
            <w:tcBorders>
              <w:top w:val="nil"/>
              <w:left w:val="nil"/>
              <w:bottom w:val="single" w:sz="4" w:space="0" w:color="auto"/>
              <w:right w:val="single" w:sz="4" w:space="0" w:color="auto"/>
            </w:tcBorders>
            <w:noWrap/>
            <w:vAlign w:val="bottom"/>
            <w:hideMark/>
          </w:tcPr>
          <w:p w14:paraId="1B42225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49.2%</w:t>
            </w:r>
          </w:p>
        </w:tc>
        <w:tc>
          <w:tcPr>
            <w:tcW w:w="1040" w:type="dxa"/>
            <w:tcBorders>
              <w:top w:val="nil"/>
              <w:left w:val="nil"/>
              <w:bottom w:val="single" w:sz="4" w:space="0" w:color="auto"/>
              <w:right w:val="single" w:sz="4" w:space="0" w:color="auto"/>
            </w:tcBorders>
            <w:noWrap/>
            <w:vAlign w:val="bottom"/>
            <w:hideMark/>
          </w:tcPr>
          <w:p w14:paraId="532BCA9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3,226 </w:t>
            </w:r>
          </w:p>
        </w:tc>
        <w:tc>
          <w:tcPr>
            <w:tcW w:w="1040" w:type="dxa"/>
            <w:tcBorders>
              <w:top w:val="nil"/>
              <w:left w:val="nil"/>
              <w:bottom w:val="single" w:sz="4" w:space="0" w:color="auto"/>
              <w:right w:val="single" w:sz="4" w:space="0" w:color="auto"/>
            </w:tcBorders>
            <w:noWrap/>
            <w:vAlign w:val="bottom"/>
            <w:hideMark/>
          </w:tcPr>
          <w:p w14:paraId="5207765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0353DB0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1,386 </w:t>
            </w:r>
          </w:p>
        </w:tc>
        <w:tc>
          <w:tcPr>
            <w:tcW w:w="1040" w:type="dxa"/>
            <w:tcBorders>
              <w:top w:val="nil"/>
              <w:left w:val="nil"/>
              <w:bottom w:val="single" w:sz="4" w:space="0" w:color="auto"/>
              <w:right w:val="single" w:sz="4" w:space="0" w:color="auto"/>
            </w:tcBorders>
            <w:noWrap/>
            <w:vAlign w:val="bottom"/>
            <w:hideMark/>
          </w:tcPr>
          <w:p w14:paraId="430537F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CC075D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97B73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4,964 </w:t>
            </w:r>
          </w:p>
        </w:tc>
        <w:tc>
          <w:tcPr>
            <w:tcW w:w="1040" w:type="dxa"/>
            <w:tcBorders>
              <w:top w:val="nil"/>
              <w:left w:val="nil"/>
              <w:bottom w:val="single" w:sz="4" w:space="0" w:color="auto"/>
              <w:right w:val="single" w:sz="4" w:space="0" w:color="auto"/>
            </w:tcBorders>
            <w:noWrap/>
            <w:vAlign w:val="bottom"/>
            <w:hideMark/>
          </w:tcPr>
          <w:p w14:paraId="1019DF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4B8FAF7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3,575 </w:t>
            </w:r>
          </w:p>
        </w:tc>
        <w:tc>
          <w:tcPr>
            <w:tcW w:w="1040" w:type="dxa"/>
            <w:tcBorders>
              <w:top w:val="nil"/>
              <w:left w:val="nil"/>
              <w:bottom w:val="single" w:sz="4" w:space="0" w:color="auto"/>
              <w:right w:val="single" w:sz="4" w:space="0" w:color="auto"/>
            </w:tcBorders>
            <w:noWrap/>
            <w:vAlign w:val="bottom"/>
            <w:hideMark/>
          </w:tcPr>
          <w:p w14:paraId="624A968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627EC6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1,341 </w:t>
            </w:r>
          </w:p>
        </w:tc>
        <w:tc>
          <w:tcPr>
            <w:tcW w:w="1040" w:type="dxa"/>
            <w:tcBorders>
              <w:top w:val="nil"/>
              <w:left w:val="nil"/>
              <w:bottom w:val="single" w:sz="4" w:space="0" w:color="auto"/>
              <w:right w:val="single" w:sz="4" w:space="0" w:color="auto"/>
            </w:tcBorders>
            <w:noWrap/>
            <w:vAlign w:val="bottom"/>
            <w:hideMark/>
          </w:tcPr>
          <w:p w14:paraId="3487E74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13.6%</w:t>
            </w:r>
          </w:p>
        </w:tc>
      </w:tr>
      <w:tr w:rsidR="00926445" w:rsidRPr="00926445" w14:paraId="59853EB9"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16D1A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4,758 </w:t>
            </w:r>
          </w:p>
        </w:tc>
        <w:tc>
          <w:tcPr>
            <w:tcW w:w="1040" w:type="dxa"/>
            <w:tcBorders>
              <w:top w:val="nil"/>
              <w:left w:val="nil"/>
              <w:bottom w:val="single" w:sz="4" w:space="0" w:color="auto"/>
              <w:right w:val="single" w:sz="4" w:space="0" w:color="auto"/>
            </w:tcBorders>
            <w:noWrap/>
            <w:vAlign w:val="bottom"/>
            <w:hideMark/>
          </w:tcPr>
          <w:p w14:paraId="11AAFA7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6756F9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3,114 </w:t>
            </w:r>
          </w:p>
        </w:tc>
        <w:tc>
          <w:tcPr>
            <w:tcW w:w="1040" w:type="dxa"/>
            <w:tcBorders>
              <w:top w:val="nil"/>
              <w:left w:val="nil"/>
              <w:bottom w:val="single" w:sz="4" w:space="0" w:color="auto"/>
              <w:right w:val="single" w:sz="4" w:space="0" w:color="auto"/>
            </w:tcBorders>
            <w:noWrap/>
            <w:vAlign w:val="bottom"/>
            <w:hideMark/>
          </w:tcPr>
          <w:p w14:paraId="0EBDCA8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220EFB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1,328 </w:t>
            </w:r>
          </w:p>
        </w:tc>
        <w:tc>
          <w:tcPr>
            <w:tcW w:w="1040" w:type="dxa"/>
            <w:tcBorders>
              <w:top w:val="nil"/>
              <w:left w:val="nil"/>
              <w:bottom w:val="single" w:sz="4" w:space="0" w:color="auto"/>
              <w:right w:val="single" w:sz="4" w:space="0" w:color="auto"/>
            </w:tcBorders>
            <w:noWrap/>
            <w:vAlign w:val="bottom"/>
            <w:hideMark/>
          </w:tcPr>
          <w:p w14:paraId="33C9A3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14.4%</w:t>
            </w:r>
          </w:p>
        </w:tc>
      </w:tr>
      <w:tr w:rsidR="00926445" w:rsidRPr="00926445" w14:paraId="7E0FE765"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C5D2C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4,463 </w:t>
            </w:r>
          </w:p>
        </w:tc>
        <w:tc>
          <w:tcPr>
            <w:tcW w:w="1040" w:type="dxa"/>
            <w:tcBorders>
              <w:top w:val="nil"/>
              <w:left w:val="nil"/>
              <w:bottom w:val="single" w:sz="4" w:space="0" w:color="auto"/>
              <w:right w:val="single" w:sz="4" w:space="0" w:color="auto"/>
            </w:tcBorders>
            <w:noWrap/>
            <w:vAlign w:val="bottom"/>
            <w:hideMark/>
          </w:tcPr>
          <w:p w14:paraId="4D7BC09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1F98C57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3,168 </w:t>
            </w:r>
          </w:p>
        </w:tc>
        <w:tc>
          <w:tcPr>
            <w:tcW w:w="1040" w:type="dxa"/>
            <w:tcBorders>
              <w:top w:val="nil"/>
              <w:left w:val="nil"/>
              <w:bottom w:val="single" w:sz="4" w:space="0" w:color="auto"/>
              <w:right w:val="single" w:sz="4" w:space="0" w:color="auto"/>
            </w:tcBorders>
            <w:noWrap/>
            <w:vAlign w:val="bottom"/>
            <w:hideMark/>
          </w:tcPr>
          <w:p w14:paraId="42DC20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11E41A2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1,241 </w:t>
            </w:r>
          </w:p>
        </w:tc>
        <w:tc>
          <w:tcPr>
            <w:tcW w:w="1040" w:type="dxa"/>
            <w:tcBorders>
              <w:top w:val="nil"/>
              <w:left w:val="nil"/>
              <w:bottom w:val="single" w:sz="4" w:space="0" w:color="auto"/>
              <w:right w:val="single" w:sz="4" w:space="0" w:color="auto"/>
            </w:tcBorders>
            <w:noWrap/>
            <w:vAlign w:val="bottom"/>
            <w:hideMark/>
          </w:tcPr>
          <w:p w14:paraId="76CBA89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77CF03B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1FC61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4,802 </w:t>
            </w:r>
          </w:p>
        </w:tc>
        <w:tc>
          <w:tcPr>
            <w:tcW w:w="1040" w:type="dxa"/>
            <w:tcBorders>
              <w:top w:val="nil"/>
              <w:left w:val="nil"/>
              <w:bottom w:val="single" w:sz="4" w:space="0" w:color="auto"/>
              <w:right w:val="single" w:sz="4" w:space="0" w:color="auto"/>
            </w:tcBorders>
            <w:noWrap/>
            <w:vAlign w:val="bottom"/>
            <w:hideMark/>
          </w:tcPr>
          <w:p w14:paraId="3A3A335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65D10A0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3,414 </w:t>
            </w:r>
          </w:p>
        </w:tc>
        <w:tc>
          <w:tcPr>
            <w:tcW w:w="1040" w:type="dxa"/>
            <w:tcBorders>
              <w:top w:val="nil"/>
              <w:left w:val="nil"/>
              <w:bottom w:val="single" w:sz="4" w:space="0" w:color="auto"/>
              <w:right w:val="single" w:sz="4" w:space="0" w:color="auto"/>
            </w:tcBorders>
            <w:noWrap/>
            <w:vAlign w:val="bottom"/>
            <w:hideMark/>
          </w:tcPr>
          <w:p w14:paraId="1F7B15A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36.5%</w:t>
            </w:r>
          </w:p>
        </w:tc>
        <w:tc>
          <w:tcPr>
            <w:tcW w:w="1040" w:type="dxa"/>
            <w:tcBorders>
              <w:top w:val="nil"/>
              <w:left w:val="nil"/>
              <w:bottom w:val="single" w:sz="4" w:space="0" w:color="auto"/>
              <w:right w:val="single" w:sz="4" w:space="0" w:color="auto"/>
            </w:tcBorders>
            <w:noWrap/>
            <w:vAlign w:val="bottom"/>
            <w:hideMark/>
          </w:tcPr>
          <w:p w14:paraId="4FF955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1,150 </w:t>
            </w:r>
          </w:p>
        </w:tc>
        <w:tc>
          <w:tcPr>
            <w:tcW w:w="1040" w:type="dxa"/>
            <w:tcBorders>
              <w:top w:val="nil"/>
              <w:left w:val="nil"/>
              <w:bottom w:val="single" w:sz="4" w:space="0" w:color="auto"/>
              <w:right w:val="single" w:sz="4" w:space="0" w:color="auto"/>
            </w:tcBorders>
            <w:noWrap/>
            <w:vAlign w:val="bottom"/>
            <w:hideMark/>
          </w:tcPr>
          <w:p w14:paraId="2B51AFB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12.3%</w:t>
            </w:r>
          </w:p>
        </w:tc>
      </w:tr>
      <w:tr w:rsidR="00926445" w:rsidRPr="00926445" w14:paraId="2764B29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B8AD6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5,180 </w:t>
            </w:r>
          </w:p>
        </w:tc>
        <w:tc>
          <w:tcPr>
            <w:tcW w:w="1040" w:type="dxa"/>
            <w:tcBorders>
              <w:top w:val="nil"/>
              <w:left w:val="nil"/>
              <w:bottom w:val="single" w:sz="4" w:space="0" w:color="auto"/>
              <w:right w:val="single" w:sz="4" w:space="0" w:color="auto"/>
            </w:tcBorders>
            <w:noWrap/>
            <w:vAlign w:val="bottom"/>
            <w:hideMark/>
          </w:tcPr>
          <w:p w14:paraId="084EDCF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50.4%</w:t>
            </w:r>
          </w:p>
        </w:tc>
        <w:tc>
          <w:tcPr>
            <w:tcW w:w="1040" w:type="dxa"/>
            <w:tcBorders>
              <w:top w:val="nil"/>
              <w:left w:val="nil"/>
              <w:bottom w:val="single" w:sz="4" w:space="0" w:color="auto"/>
              <w:right w:val="single" w:sz="4" w:space="0" w:color="auto"/>
            </w:tcBorders>
            <w:noWrap/>
            <w:vAlign w:val="bottom"/>
            <w:hideMark/>
          </w:tcPr>
          <w:p w14:paraId="547FE3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3,943 </w:t>
            </w:r>
          </w:p>
        </w:tc>
        <w:tc>
          <w:tcPr>
            <w:tcW w:w="1040" w:type="dxa"/>
            <w:tcBorders>
              <w:top w:val="nil"/>
              <w:left w:val="nil"/>
              <w:bottom w:val="single" w:sz="4" w:space="0" w:color="auto"/>
              <w:right w:val="single" w:sz="4" w:space="0" w:color="auto"/>
            </w:tcBorders>
            <w:noWrap/>
            <w:vAlign w:val="bottom"/>
            <w:hideMark/>
          </w:tcPr>
          <w:p w14:paraId="49474AF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4F13B8A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1,162 </w:t>
            </w:r>
          </w:p>
        </w:tc>
        <w:tc>
          <w:tcPr>
            <w:tcW w:w="1040" w:type="dxa"/>
            <w:tcBorders>
              <w:top w:val="nil"/>
              <w:left w:val="nil"/>
              <w:bottom w:val="single" w:sz="4" w:space="0" w:color="auto"/>
              <w:right w:val="single" w:sz="4" w:space="0" w:color="auto"/>
            </w:tcBorders>
            <w:noWrap/>
            <w:vAlign w:val="bottom"/>
            <w:hideMark/>
          </w:tcPr>
          <w:p w14:paraId="42A0A1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11.3%</w:t>
            </w:r>
          </w:p>
        </w:tc>
      </w:tr>
      <w:tr w:rsidR="00926445" w:rsidRPr="00926445" w14:paraId="10D0772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AFA0CF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4,193 </w:t>
            </w:r>
          </w:p>
        </w:tc>
        <w:tc>
          <w:tcPr>
            <w:tcW w:w="1040" w:type="dxa"/>
            <w:tcBorders>
              <w:top w:val="nil"/>
              <w:left w:val="nil"/>
              <w:bottom w:val="single" w:sz="4" w:space="0" w:color="auto"/>
              <w:right w:val="single" w:sz="4" w:space="0" w:color="auto"/>
            </w:tcBorders>
            <w:noWrap/>
            <w:vAlign w:val="bottom"/>
            <w:hideMark/>
          </w:tcPr>
          <w:p w14:paraId="55CF7B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13CC4F4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3,237 </w:t>
            </w:r>
          </w:p>
        </w:tc>
        <w:tc>
          <w:tcPr>
            <w:tcW w:w="1040" w:type="dxa"/>
            <w:tcBorders>
              <w:top w:val="nil"/>
              <w:left w:val="nil"/>
              <w:bottom w:val="single" w:sz="4" w:space="0" w:color="auto"/>
              <w:right w:val="single" w:sz="4" w:space="0" w:color="auto"/>
            </w:tcBorders>
            <w:noWrap/>
            <w:vAlign w:val="bottom"/>
            <w:hideMark/>
          </w:tcPr>
          <w:p w14:paraId="200ACD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c>
          <w:tcPr>
            <w:tcW w:w="1040" w:type="dxa"/>
            <w:tcBorders>
              <w:top w:val="nil"/>
              <w:left w:val="nil"/>
              <w:bottom w:val="single" w:sz="4" w:space="0" w:color="auto"/>
              <w:right w:val="single" w:sz="4" w:space="0" w:color="auto"/>
            </w:tcBorders>
            <w:noWrap/>
            <w:vAlign w:val="bottom"/>
            <w:hideMark/>
          </w:tcPr>
          <w:p w14:paraId="5978D9D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1,338 </w:t>
            </w:r>
          </w:p>
        </w:tc>
        <w:tc>
          <w:tcPr>
            <w:tcW w:w="1040" w:type="dxa"/>
            <w:tcBorders>
              <w:top w:val="nil"/>
              <w:left w:val="nil"/>
              <w:bottom w:val="single" w:sz="4" w:space="0" w:color="auto"/>
              <w:right w:val="single" w:sz="4" w:space="0" w:color="auto"/>
            </w:tcBorders>
            <w:noWrap/>
            <w:vAlign w:val="bottom"/>
            <w:hideMark/>
          </w:tcPr>
          <w:p w14:paraId="0C4A13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BA6D5C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EAEF6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4,826 </w:t>
            </w:r>
          </w:p>
        </w:tc>
        <w:tc>
          <w:tcPr>
            <w:tcW w:w="1040" w:type="dxa"/>
            <w:tcBorders>
              <w:top w:val="nil"/>
              <w:left w:val="nil"/>
              <w:bottom w:val="single" w:sz="4" w:space="0" w:color="auto"/>
              <w:right w:val="single" w:sz="4" w:space="0" w:color="auto"/>
            </w:tcBorders>
            <w:noWrap/>
            <w:vAlign w:val="bottom"/>
            <w:hideMark/>
          </w:tcPr>
          <w:p w14:paraId="39266B5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11F0F0C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3,303 </w:t>
            </w:r>
          </w:p>
        </w:tc>
        <w:tc>
          <w:tcPr>
            <w:tcW w:w="1040" w:type="dxa"/>
            <w:tcBorders>
              <w:top w:val="nil"/>
              <w:left w:val="nil"/>
              <w:bottom w:val="single" w:sz="4" w:space="0" w:color="auto"/>
              <w:right w:val="single" w:sz="4" w:space="0" w:color="auto"/>
            </w:tcBorders>
            <w:noWrap/>
            <w:vAlign w:val="bottom"/>
            <w:hideMark/>
          </w:tcPr>
          <w:p w14:paraId="6350D12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2E7502D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1,336 </w:t>
            </w:r>
          </w:p>
        </w:tc>
        <w:tc>
          <w:tcPr>
            <w:tcW w:w="1040" w:type="dxa"/>
            <w:tcBorders>
              <w:top w:val="nil"/>
              <w:left w:val="nil"/>
              <w:bottom w:val="single" w:sz="4" w:space="0" w:color="auto"/>
              <w:right w:val="single" w:sz="4" w:space="0" w:color="auto"/>
            </w:tcBorders>
            <w:noWrap/>
            <w:vAlign w:val="bottom"/>
            <w:hideMark/>
          </w:tcPr>
          <w:p w14:paraId="59F9B52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6BC284D6"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7A484D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3,678 </w:t>
            </w:r>
          </w:p>
        </w:tc>
        <w:tc>
          <w:tcPr>
            <w:tcW w:w="1040" w:type="dxa"/>
            <w:tcBorders>
              <w:top w:val="nil"/>
              <w:left w:val="nil"/>
              <w:bottom w:val="single" w:sz="4" w:space="0" w:color="auto"/>
              <w:right w:val="single" w:sz="4" w:space="0" w:color="auto"/>
            </w:tcBorders>
            <w:noWrap/>
            <w:vAlign w:val="bottom"/>
            <w:hideMark/>
          </w:tcPr>
          <w:p w14:paraId="4D88C1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1269FD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2,688 </w:t>
            </w:r>
          </w:p>
        </w:tc>
        <w:tc>
          <w:tcPr>
            <w:tcW w:w="1040" w:type="dxa"/>
            <w:tcBorders>
              <w:top w:val="nil"/>
              <w:left w:val="nil"/>
              <w:bottom w:val="single" w:sz="4" w:space="0" w:color="auto"/>
              <w:right w:val="single" w:sz="4" w:space="0" w:color="auto"/>
            </w:tcBorders>
            <w:noWrap/>
            <w:vAlign w:val="bottom"/>
            <w:hideMark/>
          </w:tcPr>
          <w:p w14:paraId="072294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549A1F6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1,166 </w:t>
            </w:r>
          </w:p>
        </w:tc>
        <w:tc>
          <w:tcPr>
            <w:tcW w:w="1040" w:type="dxa"/>
            <w:tcBorders>
              <w:top w:val="nil"/>
              <w:left w:val="nil"/>
              <w:bottom w:val="single" w:sz="4" w:space="0" w:color="auto"/>
              <w:right w:val="single" w:sz="4" w:space="0" w:color="auto"/>
            </w:tcBorders>
            <w:noWrap/>
            <w:vAlign w:val="bottom"/>
            <w:hideMark/>
          </w:tcPr>
          <w:p w14:paraId="37B311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15.5%</w:t>
            </w:r>
          </w:p>
        </w:tc>
      </w:tr>
      <w:tr w:rsidR="00926445" w:rsidRPr="00926445" w14:paraId="2953AC8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ADCEDC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4,411 </w:t>
            </w:r>
          </w:p>
        </w:tc>
        <w:tc>
          <w:tcPr>
            <w:tcW w:w="1040" w:type="dxa"/>
            <w:tcBorders>
              <w:top w:val="nil"/>
              <w:left w:val="nil"/>
              <w:bottom w:val="single" w:sz="4" w:space="0" w:color="auto"/>
              <w:right w:val="single" w:sz="4" w:space="0" w:color="auto"/>
            </w:tcBorders>
            <w:noWrap/>
            <w:vAlign w:val="bottom"/>
            <w:hideMark/>
          </w:tcPr>
          <w:p w14:paraId="689A8D0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0C207B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553D9E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35.9%</w:t>
            </w:r>
          </w:p>
        </w:tc>
        <w:tc>
          <w:tcPr>
            <w:tcW w:w="1040" w:type="dxa"/>
            <w:tcBorders>
              <w:top w:val="nil"/>
              <w:left w:val="nil"/>
              <w:bottom w:val="single" w:sz="4" w:space="0" w:color="auto"/>
              <w:right w:val="single" w:sz="4" w:space="0" w:color="auto"/>
            </w:tcBorders>
            <w:noWrap/>
            <w:vAlign w:val="bottom"/>
            <w:hideMark/>
          </w:tcPr>
          <w:p w14:paraId="37F4FD6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1,347 </w:t>
            </w:r>
          </w:p>
        </w:tc>
        <w:tc>
          <w:tcPr>
            <w:tcW w:w="1040" w:type="dxa"/>
            <w:tcBorders>
              <w:top w:val="nil"/>
              <w:left w:val="nil"/>
              <w:bottom w:val="single" w:sz="4" w:space="0" w:color="auto"/>
              <w:right w:val="single" w:sz="4" w:space="0" w:color="auto"/>
            </w:tcBorders>
            <w:noWrap/>
            <w:vAlign w:val="bottom"/>
            <w:hideMark/>
          </w:tcPr>
          <w:p w14:paraId="4CA9CE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15.0%</w:t>
            </w:r>
          </w:p>
        </w:tc>
      </w:tr>
      <w:tr w:rsidR="00926445" w:rsidRPr="00926445" w14:paraId="7077274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79AE7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4,095 </w:t>
            </w:r>
          </w:p>
        </w:tc>
        <w:tc>
          <w:tcPr>
            <w:tcW w:w="1040" w:type="dxa"/>
            <w:tcBorders>
              <w:top w:val="nil"/>
              <w:left w:val="nil"/>
              <w:bottom w:val="single" w:sz="4" w:space="0" w:color="auto"/>
              <w:right w:val="single" w:sz="4" w:space="0" w:color="auto"/>
            </w:tcBorders>
            <w:noWrap/>
            <w:vAlign w:val="bottom"/>
            <w:hideMark/>
          </w:tcPr>
          <w:p w14:paraId="2CBB18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209D86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2,847 </w:t>
            </w:r>
          </w:p>
        </w:tc>
        <w:tc>
          <w:tcPr>
            <w:tcW w:w="1040" w:type="dxa"/>
            <w:tcBorders>
              <w:top w:val="nil"/>
              <w:left w:val="nil"/>
              <w:bottom w:val="single" w:sz="4" w:space="0" w:color="auto"/>
              <w:right w:val="single" w:sz="4" w:space="0" w:color="auto"/>
            </w:tcBorders>
            <w:noWrap/>
            <w:vAlign w:val="bottom"/>
            <w:hideMark/>
          </w:tcPr>
          <w:p w14:paraId="563202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578A8C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1,217 </w:t>
            </w:r>
          </w:p>
        </w:tc>
        <w:tc>
          <w:tcPr>
            <w:tcW w:w="1040" w:type="dxa"/>
            <w:tcBorders>
              <w:top w:val="nil"/>
              <w:left w:val="nil"/>
              <w:bottom w:val="single" w:sz="4" w:space="0" w:color="auto"/>
              <w:right w:val="single" w:sz="4" w:space="0" w:color="auto"/>
            </w:tcBorders>
            <w:noWrap/>
            <w:vAlign w:val="bottom"/>
            <w:hideMark/>
          </w:tcPr>
          <w:p w14:paraId="7941E8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14.9%</w:t>
            </w:r>
          </w:p>
        </w:tc>
      </w:tr>
      <w:tr w:rsidR="00926445" w:rsidRPr="00926445" w14:paraId="66ECA6B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F65CBA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5,261 </w:t>
            </w:r>
          </w:p>
        </w:tc>
        <w:tc>
          <w:tcPr>
            <w:tcW w:w="1040" w:type="dxa"/>
            <w:tcBorders>
              <w:top w:val="nil"/>
              <w:left w:val="nil"/>
              <w:bottom w:val="single" w:sz="4" w:space="0" w:color="auto"/>
              <w:right w:val="single" w:sz="4" w:space="0" w:color="auto"/>
            </w:tcBorders>
            <w:noWrap/>
            <w:vAlign w:val="bottom"/>
            <w:hideMark/>
          </w:tcPr>
          <w:p w14:paraId="0F4270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54.5%</w:t>
            </w:r>
          </w:p>
        </w:tc>
        <w:tc>
          <w:tcPr>
            <w:tcW w:w="1040" w:type="dxa"/>
            <w:tcBorders>
              <w:top w:val="nil"/>
              <w:left w:val="nil"/>
              <w:bottom w:val="single" w:sz="4" w:space="0" w:color="auto"/>
              <w:right w:val="single" w:sz="4" w:space="0" w:color="auto"/>
            </w:tcBorders>
            <w:noWrap/>
            <w:vAlign w:val="bottom"/>
            <w:hideMark/>
          </w:tcPr>
          <w:p w14:paraId="02D8418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3,470 </w:t>
            </w:r>
          </w:p>
        </w:tc>
        <w:tc>
          <w:tcPr>
            <w:tcW w:w="1040" w:type="dxa"/>
            <w:tcBorders>
              <w:top w:val="nil"/>
              <w:left w:val="nil"/>
              <w:bottom w:val="single" w:sz="4" w:space="0" w:color="auto"/>
              <w:right w:val="single" w:sz="4" w:space="0" w:color="auto"/>
            </w:tcBorders>
            <w:noWrap/>
            <w:vAlign w:val="bottom"/>
            <w:hideMark/>
          </w:tcPr>
          <w:p w14:paraId="3D55C2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36.0%</w:t>
            </w:r>
          </w:p>
        </w:tc>
        <w:tc>
          <w:tcPr>
            <w:tcW w:w="1040" w:type="dxa"/>
            <w:tcBorders>
              <w:top w:val="nil"/>
              <w:left w:val="nil"/>
              <w:bottom w:val="single" w:sz="4" w:space="0" w:color="auto"/>
              <w:right w:val="single" w:sz="4" w:space="0" w:color="auto"/>
            </w:tcBorders>
            <w:noWrap/>
            <w:vAlign w:val="bottom"/>
            <w:hideMark/>
          </w:tcPr>
          <w:p w14:paraId="1E24393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920 </w:t>
            </w:r>
          </w:p>
        </w:tc>
        <w:tc>
          <w:tcPr>
            <w:tcW w:w="1040" w:type="dxa"/>
            <w:tcBorders>
              <w:top w:val="nil"/>
              <w:left w:val="nil"/>
              <w:bottom w:val="single" w:sz="4" w:space="0" w:color="auto"/>
              <w:right w:val="single" w:sz="4" w:space="0" w:color="auto"/>
            </w:tcBorders>
            <w:noWrap/>
            <w:vAlign w:val="bottom"/>
            <w:hideMark/>
          </w:tcPr>
          <w:p w14:paraId="6EB312F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9.5%</w:t>
            </w:r>
          </w:p>
        </w:tc>
      </w:tr>
      <w:tr w:rsidR="00926445" w:rsidRPr="00926445" w14:paraId="5EDE860B"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8714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4,482 </w:t>
            </w:r>
          </w:p>
        </w:tc>
        <w:tc>
          <w:tcPr>
            <w:tcW w:w="1040" w:type="dxa"/>
            <w:tcBorders>
              <w:top w:val="nil"/>
              <w:left w:val="nil"/>
              <w:bottom w:val="single" w:sz="4" w:space="0" w:color="auto"/>
              <w:right w:val="single" w:sz="4" w:space="0" w:color="auto"/>
            </w:tcBorders>
            <w:noWrap/>
            <w:vAlign w:val="bottom"/>
            <w:hideMark/>
          </w:tcPr>
          <w:p w14:paraId="322D74D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49.6%</w:t>
            </w:r>
          </w:p>
        </w:tc>
        <w:tc>
          <w:tcPr>
            <w:tcW w:w="1040" w:type="dxa"/>
            <w:tcBorders>
              <w:top w:val="nil"/>
              <w:left w:val="nil"/>
              <w:bottom w:val="single" w:sz="4" w:space="0" w:color="auto"/>
              <w:right w:val="single" w:sz="4" w:space="0" w:color="auto"/>
            </w:tcBorders>
            <w:noWrap/>
            <w:vAlign w:val="bottom"/>
            <w:hideMark/>
          </w:tcPr>
          <w:p w14:paraId="14E743D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3,143 </w:t>
            </w:r>
          </w:p>
        </w:tc>
        <w:tc>
          <w:tcPr>
            <w:tcW w:w="1040" w:type="dxa"/>
            <w:tcBorders>
              <w:top w:val="nil"/>
              <w:left w:val="nil"/>
              <w:bottom w:val="single" w:sz="4" w:space="0" w:color="auto"/>
              <w:right w:val="single" w:sz="4" w:space="0" w:color="auto"/>
            </w:tcBorders>
            <w:noWrap/>
            <w:vAlign w:val="bottom"/>
            <w:hideMark/>
          </w:tcPr>
          <w:p w14:paraId="0722D87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5ED61D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1,417 </w:t>
            </w:r>
          </w:p>
        </w:tc>
        <w:tc>
          <w:tcPr>
            <w:tcW w:w="1040" w:type="dxa"/>
            <w:tcBorders>
              <w:top w:val="nil"/>
              <w:left w:val="nil"/>
              <w:bottom w:val="single" w:sz="4" w:space="0" w:color="auto"/>
              <w:right w:val="single" w:sz="4" w:space="0" w:color="auto"/>
            </w:tcBorders>
            <w:noWrap/>
            <w:vAlign w:val="bottom"/>
            <w:hideMark/>
          </w:tcPr>
          <w:p w14:paraId="57291A3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15.7%</w:t>
            </w:r>
          </w:p>
        </w:tc>
      </w:tr>
      <w:tr w:rsidR="00926445" w:rsidRPr="00926445" w14:paraId="1ACF7C6D" w14:textId="77777777" w:rsidTr="006C0D77">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29B9D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4,379 </w:t>
            </w:r>
          </w:p>
        </w:tc>
        <w:tc>
          <w:tcPr>
            <w:tcW w:w="1040" w:type="dxa"/>
            <w:tcBorders>
              <w:top w:val="single" w:sz="4" w:space="0" w:color="auto"/>
              <w:left w:val="nil"/>
              <w:bottom w:val="single" w:sz="4" w:space="0" w:color="auto"/>
              <w:right w:val="single" w:sz="4" w:space="0" w:color="auto"/>
            </w:tcBorders>
            <w:noWrap/>
            <w:vAlign w:val="bottom"/>
            <w:hideMark/>
          </w:tcPr>
          <w:p w14:paraId="19CACDB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43.8%</w:t>
            </w:r>
          </w:p>
        </w:tc>
        <w:tc>
          <w:tcPr>
            <w:tcW w:w="1040" w:type="dxa"/>
            <w:tcBorders>
              <w:top w:val="single" w:sz="4" w:space="0" w:color="auto"/>
              <w:left w:val="nil"/>
              <w:bottom w:val="single" w:sz="4" w:space="0" w:color="auto"/>
              <w:right w:val="single" w:sz="4" w:space="0" w:color="auto"/>
            </w:tcBorders>
            <w:noWrap/>
            <w:vAlign w:val="bottom"/>
            <w:hideMark/>
          </w:tcPr>
          <w:p w14:paraId="144294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3,400 </w:t>
            </w:r>
          </w:p>
        </w:tc>
        <w:tc>
          <w:tcPr>
            <w:tcW w:w="1040" w:type="dxa"/>
            <w:tcBorders>
              <w:top w:val="single" w:sz="4" w:space="0" w:color="auto"/>
              <w:left w:val="nil"/>
              <w:bottom w:val="single" w:sz="4" w:space="0" w:color="auto"/>
              <w:right w:val="single" w:sz="4" w:space="0" w:color="auto"/>
            </w:tcBorders>
            <w:noWrap/>
            <w:vAlign w:val="bottom"/>
            <w:hideMark/>
          </w:tcPr>
          <w:p w14:paraId="5954A7C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0" w:type="dxa"/>
            <w:tcBorders>
              <w:top w:val="single" w:sz="4" w:space="0" w:color="auto"/>
              <w:left w:val="nil"/>
              <w:bottom w:val="single" w:sz="4" w:space="0" w:color="auto"/>
              <w:right w:val="single" w:sz="4" w:space="0" w:color="auto"/>
            </w:tcBorders>
            <w:noWrap/>
            <w:vAlign w:val="bottom"/>
            <w:hideMark/>
          </w:tcPr>
          <w:p w14:paraId="1FB5C6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2,224 </w:t>
            </w:r>
          </w:p>
        </w:tc>
        <w:tc>
          <w:tcPr>
            <w:tcW w:w="1040" w:type="dxa"/>
            <w:tcBorders>
              <w:top w:val="single" w:sz="4" w:space="0" w:color="auto"/>
              <w:left w:val="nil"/>
              <w:bottom w:val="single" w:sz="4" w:space="0" w:color="auto"/>
              <w:right w:val="single" w:sz="4" w:space="0" w:color="auto"/>
            </w:tcBorders>
            <w:noWrap/>
            <w:vAlign w:val="bottom"/>
            <w:hideMark/>
          </w:tcPr>
          <w:p w14:paraId="1B8365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22.2%</w:t>
            </w:r>
          </w:p>
        </w:tc>
      </w:tr>
      <w:tr w:rsidR="00926445" w:rsidRPr="00926445" w14:paraId="0EA453E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46EBFA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4,965 </w:t>
            </w:r>
          </w:p>
        </w:tc>
        <w:tc>
          <w:tcPr>
            <w:tcW w:w="1040" w:type="dxa"/>
            <w:tcBorders>
              <w:top w:val="nil"/>
              <w:left w:val="nil"/>
              <w:bottom w:val="single" w:sz="4" w:space="0" w:color="auto"/>
              <w:right w:val="single" w:sz="4" w:space="0" w:color="auto"/>
            </w:tcBorders>
            <w:noWrap/>
            <w:vAlign w:val="bottom"/>
            <w:hideMark/>
          </w:tcPr>
          <w:p w14:paraId="27BC2D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79334F9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3,350 </w:t>
            </w:r>
          </w:p>
        </w:tc>
        <w:tc>
          <w:tcPr>
            <w:tcW w:w="1040" w:type="dxa"/>
            <w:tcBorders>
              <w:top w:val="nil"/>
              <w:left w:val="nil"/>
              <w:bottom w:val="single" w:sz="4" w:space="0" w:color="auto"/>
              <w:right w:val="single" w:sz="4" w:space="0" w:color="auto"/>
            </w:tcBorders>
            <w:noWrap/>
            <w:vAlign w:val="bottom"/>
            <w:hideMark/>
          </w:tcPr>
          <w:p w14:paraId="40828E2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0" w:type="dxa"/>
            <w:tcBorders>
              <w:top w:val="nil"/>
              <w:left w:val="nil"/>
              <w:bottom w:val="single" w:sz="4" w:space="0" w:color="auto"/>
              <w:right w:val="single" w:sz="4" w:space="0" w:color="auto"/>
            </w:tcBorders>
            <w:noWrap/>
            <w:vAlign w:val="bottom"/>
            <w:hideMark/>
          </w:tcPr>
          <w:p w14:paraId="6B94770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1,359 </w:t>
            </w:r>
          </w:p>
        </w:tc>
        <w:tc>
          <w:tcPr>
            <w:tcW w:w="1040" w:type="dxa"/>
            <w:tcBorders>
              <w:top w:val="nil"/>
              <w:left w:val="nil"/>
              <w:bottom w:val="single" w:sz="4" w:space="0" w:color="auto"/>
              <w:right w:val="single" w:sz="4" w:space="0" w:color="auto"/>
            </w:tcBorders>
            <w:noWrap/>
            <w:vAlign w:val="bottom"/>
            <w:hideMark/>
          </w:tcPr>
          <w:p w14:paraId="39A875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4A00ED0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B90D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4,547 </w:t>
            </w:r>
          </w:p>
        </w:tc>
        <w:tc>
          <w:tcPr>
            <w:tcW w:w="1040" w:type="dxa"/>
            <w:tcBorders>
              <w:top w:val="nil"/>
              <w:left w:val="nil"/>
              <w:bottom w:val="single" w:sz="4" w:space="0" w:color="auto"/>
              <w:right w:val="single" w:sz="4" w:space="0" w:color="auto"/>
            </w:tcBorders>
            <w:noWrap/>
            <w:vAlign w:val="bottom"/>
            <w:hideMark/>
          </w:tcPr>
          <w:p w14:paraId="6F54D88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2502C0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3,167 </w:t>
            </w:r>
          </w:p>
        </w:tc>
        <w:tc>
          <w:tcPr>
            <w:tcW w:w="1040" w:type="dxa"/>
            <w:tcBorders>
              <w:top w:val="nil"/>
              <w:left w:val="nil"/>
              <w:bottom w:val="single" w:sz="4" w:space="0" w:color="auto"/>
              <w:right w:val="single" w:sz="4" w:space="0" w:color="auto"/>
            </w:tcBorders>
            <w:noWrap/>
            <w:vAlign w:val="bottom"/>
            <w:hideMark/>
          </w:tcPr>
          <w:p w14:paraId="75936D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33CFD6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1,264 </w:t>
            </w:r>
          </w:p>
        </w:tc>
        <w:tc>
          <w:tcPr>
            <w:tcW w:w="1040" w:type="dxa"/>
            <w:tcBorders>
              <w:top w:val="nil"/>
              <w:left w:val="nil"/>
              <w:bottom w:val="single" w:sz="4" w:space="0" w:color="auto"/>
              <w:right w:val="single" w:sz="4" w:space="0" w:color="auto"/>
            </w:tcBorders>
            <w:noWrap/>
            <w:vAlign w:val="bottom"/>
            <w:hideMark/>
          </w:tcPr>
          <w:p w14:paraId="47740C1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bl>
    <w:p w14:paraId="4C7BCB18" w14:textId="5D02DA57"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w:t>
      </w:r>
      <w:proofErr w:type="gramStart"/>
      <w:r w:rsidR="00B25420" w:rsidRPr="00B25420">
        <w:rPr>
          <w:rFonts w:cs="標楷體" w:hint="eastAsia"/>
          <w:color w:val="auto"/>
          <w:szCs w:val="27"/>
        </w:rPr>
        <w:t>期間，</w:t>
      </w:r>
      <w:proofErr w:type="gramEnd"/>
      <w:r w:rsidR="00B25420" w:rsidRPr="00B25420">
        <w:rPr>
          <w:rFonts w:cs="標楷體" w:hint="eastAsia"/>
          <w:color w:val="auto"/>
          <w:szCs w:val="27"/>
        </w:rPr>
        <w:t>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5,587</w:t>
      </w:r>
      <w:r w:rsidR="00B25420" w:rsidRPr="00B25420">
        <w:rPr>
          <w:rFonts w:cs="標楷體" w:hint="eastAsia"/>
          <w:color w:val="auto"/>
          <w:szCs w:val="27"/>
        </w:rPr>
        <w:t>人；「二至四次」乘客則多占約三至四成。兩類乘客合計占各月乘客之大多數，顯示花蓮縣公路客運使用型態主要以低頻及中頻搭乘為主，且兩類乘客之月別人數變化大致呈現相近走勢。</w:t>
      </w:r>
    </w:p>
    <w:p w14:paraId="464481B3" w14:textId="517F2C4C"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1,000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1,218</w:t>
      </w:r>
      <w:r w:rsidRPr="00B25420">
        <w:rPr>
          <w:rFonts w:cs="標楷體" w:hint="eastAsia"/>
          <w:color w:val="auto"/>
          <w:szCs w:val="27"/>
        </w:rPr>
        <w:t>人、</w:t>
      </w:r>
      <w:r w:rsidRPr="00B25420">
        <w:rPr>
          <w:rFonts w:cs="標楷體" w:hint="eastAsia"/>
          <w:color w:val="auto"/>
          <w:szCs w:val="27"/>
        </w:rPr>
        <w:t>1,241</w:t>
      </w:r>
      <w:r w:rsidRPr="00B25420">
        <w:rPr>
          <w:rFonts w:cs="標楷體" w:hint="eastAsia"/>
          <w:color w:val="auto"/>
          <w:szCs w:val="27"/>
        </w:rPr>
        <w:t>人及</w:t>
      </w:r>
      <w:r w:rsidRPr="00B25420">
        <w:rPr>
          <w:rFonts w:cs="標楷體" w:hint="eastAsia"/>
          <w:color w:val="auto"/>
          <w:szCs w:val="27"/>
        </w:rPr>
        <w:t>1,264</w:t>
      </w:r>
      <w:r w:rsidRPr="00B25420">
        <w:rPr>
          <w:rFonts w:cs="標楷體" w:hint="eastAsia"/>
          <w:color w:val="auto"/>
          <w:szCs w:val="27"/>
        </w:rPr>
        <w:t>人，顯示長期人數規模變化有限；</w:t>
      </w:r>
      <w:proofErr w:type="gramStart"/>
      <w:r w:rsidRPr="00B25420">
        <w:rPr>
          <w:rFonts w:cs="標楷體" w:hint="eastAsia"/>
          <w:color w:val="auto"/>
          <w:szCs w:val="27"/>
        </w:rPr>
        <w:t>惟</w:t>
      </w:r>
      <w:proofErr w:type="gramEnd"/>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4</w:t>
      </w:r>
      <w:r w:rsidRPr="00B25420">
        <w:rPr>
          <w:rFonts w:cs="標楷體" w:hint="eastAsia"/>
          <w:color w:val="auto"/>
          <w:szCs w:val="27"/>
        </w:rPr>
        <w:t>月增加至</w:t>
      </w:r>
      <w:r w:rsidRPr="00B25420">
        <w:rPr>
          <w:rFonts w:cs="標楷體" w:hint="eastAsia"/>
          <w:color w:val="auto"/>
          <w:szCs w:val="27"/>
        </w:rPr>
        <w:t>2,224</w:t>
      </w:r>
      <w:r w:rsidRPr="00B25420">
        <w:rPr>
          <w:rFonts w:cs="標楷體" w:hint="eastAsia"/>
          <w:color w:val="auto"/>
          <w:szCs w:val="27"/>
        </w:rPr>
        <w:t>人，占比達</w:t>
      </w:r>
      <w:r w:rsidRPr="00B25420">
        <w:rPr>
          <w:rFonts w:cs="標楷體" w:hint="eastAsia"/>
          <w:color w:val="auto"/>
          <w:szCs w:val="27"/>
        </w:rPr>
        <w:t>22.2%</w:t>
      </w:r>
      <w:r w:rsidRPr="00B25420">
        <w:rPr>
          <w:rFonts w:cs="標楷體" w:hint="eastAsia"/>
          <w:color w:val="auto"/>
          <w:szCs w:val="27"/>
        </w:rPr>
        <w:t>，呈現較為明顯之單月波動。整體而言，高頻乘客雖占比較低，但仍維持一定規模，反映公路客運具有相對固定之重複搭乘需求。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2A757E16">
            <wp:extent cx="5274310" cy="1758315"/>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315"/>
                    </a:xfrm>
                    <a:prstGeom prst="rect">
                      <a:avLst/>
                    </a:prstGeom>
                  </pic:spPr>
                </pic:pic>
              </a:graphicData>
            </a:graphic>
          </wp:inline>
        </w:drawing>
      </w:r>
    </w:p>
    <w:p w14:paraId="749E8061" w14:textId="1A264CCD" w:rsidR="00926445" w:rsidRPr="00926445" w:rsidRDefault="00926445" w:rsidP="00926445">
      <w:pPr>
        <w:pStyle w:val="af7"/>
        <w:spacing w:beforeLines="50" w:before="180" w:afterLines="50" w:after="180" w:line="240" w:lineRule="atLeast"/>
        <w:jc w:val="center"/>
        <w:rPr>
          <w:rFonts w:cs="標楷體"/>
          <w:sz w:val="24"/>
          <w:szCs w:val="32"/>
        </w:rPr>
      </w:pPr>
      <w:bookmarkStart w:id="68" w:name="_Ref239704991"/>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3</w:t>
      </w:r>
      <w:r w:rsidR="00990B83">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66CB00FF" w:rsidR="00926445" w:rsidRPr="00926445" w:rsidRDefault="00926445" w:rsidP="00926445">
      <w:pPr>
        <w:pStyle w:val="af7"/>
        <w:keepNext/>
        <w:spacing w:beforeLines="50" w:before="180" w:afterLines="50" w:after="180" w:line="240" w:lineRule="atLeast"/>
        <w:jc w:val="center"/>
        <w:rPr>
          <w:sz w:val="24"/>
          <w:szCs w:val="24"/>
        </w:rPr>
      </w:pPr>
      <w:bookmarkStart w:id="69" w:name="_Ref239705003"/>
      <w:r w:rsidRPr="00926445">
        <w:rPr>
          <w:rFonts w:hint="eastAsia"/>
          <w:sz w:val="24"/>
          <w:szCs w:val="24"/>
        </w:rPr>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69"/>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6C0D77">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AC5958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F3FCC2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152 </w:t>
            </w:r>
          </w:p>
        </w:tc>
        <w:tc>
          <w:tcPr>
            <w:tcW w:w="986" w:type="dxa"/>
            <w:tcBorders>
              <w:top w:val="single" w:sz="4" w:space="0" w:color="auto"/>
              <w:left w:val="nil"/>
              <w:bottom w:val="single" w:sz="4" w:space="0" w:color="auto"/>
              <w:right w:val="single" w:sz="4" w:space="0" w:color="auto"/>
            </w:tcBorders>
            <w:noWrap/>
            <w:vAlign w:val="bottom"/>
            <w:hideMark/>
          </w:tcPr>
          <w:p w14:paraId="1D87B71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24.8%</w:t>
            </w:r>
          </w:p>
        </w:tc>
        <w:tc>
          <w:tcPr>
            <w:tcW w:w="1140" w:type="dxa"/>
            <w:tcBorders>
              <w:top w:val="single" w:sz="4" w:space="0" w:color="auto"/>
              <w:left w:val="nil"/>
              <w:bottom w:val="single" w:sz="4" w:space="0" w:color="auto"/>
              <w:right w:val="single" w:sz="4" w:space="0" w:color="auto"/>
            </w:tcBorders>
            <w:noWrap/>
            <w:vAlign w:val="bottom"/>
            <w:hideMark/>
          </w:tcPr>
          <w:p w14:paraId="7A875B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194 </w:t>
            </w:r>
          </w:p>
        </w:tc>
        <w:tc>
          <w:tcPr>
            <w:tcW w:w="940" w:type="dxa"/>
            <w:tcBorders>
              <w:top w:val="single" w:sz="4" w:space="0" w:color="auto"/>
              <w:left w:val="nil"/>
              <w:bottom w:val="single" w:sz="4" w:space="0" w:color="auto"/>
              <w:right w:val="single" w:sz="4" w:space="0" w:color="auto"/>
            </w:tcBorders>
            <w:noWrap/>
            <w:vAlign w:val="bottom"/>
            <w:hideMark/>
          </w:tcPr>
          <w:p w14:paraId="35E033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533F3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1035" w:type="dxa"/>
            <w:tcBorders>
              <w:top w:val="single" w:sz="4" w:space="0" w:color="auto"/>
              <w:left w:val="nil"/>
              <w:bottom w:val="single" w:sz="4" w:space="0" w:color="auto"/>
              <w:right w:val="single" w:sz="4" w:space="0" w:color="auto"/>
            </w:tcBorders>
            <w:noWrap/>
            <w:vAlign w:val="bottom"/>
            <w:hideMark/>
          </w:tcPr>
          <w:p w14:paraId="6517BD4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4203451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C17AA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145 </w:t>
            </w:r>
          </w:p>
        </w:tc>
        <w:tc>
          <w:tcPr>
            <w:tcW w:w="986" w:type="dxa"/>
            <w:tcBorders>
              <w:top w:val="single" w:sz="4" w:space="0" w:color="auto"/>
              <w:left w:val="nil"/>
              <w:bottom w:val="single" w:sz="4" w:space="0" w:color="auto"/>
              <w:right w:val="single" w:sz="4" w:space="0" w:color="auto"/>
            </w:tcBorders>
            <w:noWrap/>
            <w:vAlign w:val="bottom"/>
            <w:hideMark/>
          </w:tcPr>
          <w:p w14:paraId="22EB38D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28.3%</w:t>
            </w:r>
          </w:p>
        </w:tc>
        <w:tc>
          <w:tcPr>
            <w:tcW w:w="1140" w:type="dxa"/>
            <w:tcBorders>
              <w:top w:val="single" w:sz="4" w:space="0" w:color="auto"/>
              <w:left w:val="nil"/>
              <w:bottom w:val="single" w:sz="4" w:space="0" w:color="auto"/>
              <w:right w:val="single" w:sz="4" w:space="0" w:color="auto"/>
            </w:tcBorders>
            <w:noWrap/>
            <w:vAlign w:val="bottom"/>
            <w:hideMark/>
          </w:tcPr>
          <w:p w14:paraId="34F1211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154 </w:t>
            </w:r>
          </w:p>
        </w:tc>
        <w:tc>
          <w:tcPr>
            <w:tcW w:w="940" w:type="dxa"/>
            <w:tcBorders>
              <w:top w:val="single" w:sz="4" w:space="0" w:color="auto"/>
              <w:left w:val="nil"/>
              <w:bottom w:val="single" w:sz="4" w:space="0" w:color="auto"/>
              <w:right w:val="single" w:sz="4" w:space="0" w:color="auto"/>
            </w:tcBorders>
            <w:noWrap/>
            <w:vAlign w:val="bottom"/>
            <w:hideMark/>
          </w:tcPr>
          <w:p w14:paraId="218E7E8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30.0%</w:t>
            </w:r>
          </w:p>
        </w:tc>
        <w:tc>
          <w:tcPr>
            <w:tcW w:w="1045" w:type="dxa"/>
            <w:tcBorders>
              <w:top w:val="single" w:sz="4" w:space="0" w:color="auto"/>
              <w:left w:val="nil"/>
              <w:bottom w:val="single" w:sz="4" w:space="0" w:color="auto"/>
              <w:right w:val="single" w:sz="4" w:space="0" w:color="auto"/>
            </w:tcBorders>
            <w:noWrap/>
            <w:vAlign w:val="bottom"/>
            <w:hideMark/>
          </w:tcPr>
          <w:p w14:paraId="729852A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214 </w:t>
            </w:r>
          </w:p>
        </w:tc>
        <w:tc>
          <w:tcPr>
            <w:tcW w:w="1035" w:type="dxa"/>
            <w:tcBorders>
              <w:top w:val="single" w:sz="4" w:space="0" w:color="auto"/>
              <w:left w:val="nil"/>
              <w:bottom w:val="single" w:sz="4" w:space="0" w:color="auto"/>
              <w:right w:val="single" w:sz="4" w:space="0" w:color="auto"/>
            </w:tcBorders>
            <w:noWrap/>
            <w:vAlign w:val="bottom"/>
            <w:hideMark/>
          </w:tcPr>
          <w:p w14:paraId="58A80CE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41.7%</w:t>
            </w:r>
          </w:p>
        </w:tc>
      </w:tr>
      <w:tr w:rsidR="00926445" w:rsidRPr="00926445" w14:paraId="16A399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67A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187 </w:t>
            </w:r>
          </w:p>
        </w:tc>
        <w:tc>
          <w:tcPr>
            <w:tcW w:w="986" w:type="dxa"/>
            <w:tcBorders>
              <w:top w:val="single" w:sz="4" w:space="0" w:color="auto"/>
              <w:left w:val="nil"/>
              <w:bottom w:val="single" w:sz="4" w:space="0" w:color="auto"/>
              <w:right w:val="single" w:sz="4" w:space="0" w:color="auto"/>
            </w:tcBorders>
            <w:noWrap/>
            <w:vAlign w:val="bottom"/>
            <w:hideMark/>
          </w:tcPr>
          <w:p w14:paraId="37016C5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140" w:type="dxa"/>
            <w:tcBorders>
              <w:top w:val="single" w:sz="4" w:space="0" w:color="auto"/>
              <w:left w:val="nil"/>
              <w:bottom w:val="single" w:sz="4" w:space="0" w:color="auto"/>
              <w:right w:val="single" w:sz="4" w:space="0" w:color="auto"/>
            </w:tcBorders>
            <w:noWrap/>
            <w:vAlign w:val="bottom"/>
            <w:hideMark/>
          </w:tcPr>
          <w:p w14:paraId="4CA56F8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01B3D9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5" w:type="dxa"/>
            <w:tcBorders>
              <w:top w:val="single" w:sz="4" w:space="0" w:color="auto"/>
              <w:left w:val="nil"/>
              <w:bottom w:val="single" w:sz="4" w:space="0" w:color="auto"/>
              <w:right w:val="single" w:sz="4" w:space="0" w:color="auto"/>
            </w:tcBorders>
            <w:noWrap/>
            <w:vAlign w:val="bottom"/>
            <w:hideMark/>
          </w:tcPr>
          <w:p w14:paraId="6BB530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204 </w:t>
            </w:r>
          </w:p>
        </w:tc>
        <w:tc>
          <w:tcPr>
            <w:tcW w:w="1035" w:type="dxa"/>
            <w:tcBorders>
              <w:top w:val="single" w:sz="4" w:space="0" w:color="auto"/>
              <w:left w:val="nil"/>
              <w:bottom w:val="single" w:sz="4" w:space="0" w:color="auto"/>
              <w:right w:val="single" w:sz="4" w:space="0" w:color="auto"/>
            </w:tcBorders>
            <w:noWrap/>
            <w:vAlign w:val="bottom"/>
            <w:hideMark/>
          </w:tcPr>
          <w:p w14:paraId="21034CB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r>
      <w:tr w:rsidR="00926445" w:rsidRPr="00926445" w14:paraId="4CD423E3"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7B6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191 </w:t>
            </w:r>
          </w:p>
        </w:tc>
        <w:tc>
          <w:tcPr>
            <w:tcW w:w="986" w:type="dxa"/>
            <w:tcBorders>
              <w:top w:val="single" w:sz="4" w:space="0" w:color="auto"/>
              <w:left w:val="nil"/>
              <w:bottom w:val="single" w:sz="4" w:space="0" w:color="auto"/>
              <w:right w:val="single" w:sz="4" w:space="0" w:color="auto"/>
            </w:tcBorders>
            <w:noWrap/>
            <w:vAlign w:val="bottom"/>
            <w:hideMark/>
          </w:tcPr>
          <w:p w14:paraId="664F66C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27.3%</w:t>
            </w:r>
          </w:p>
        </w:tc>
        <w:tc>
          <w:tcPr>
            <w:tcW w:w="1140" w:type="dxa"/>
            <w:tcBorders>
              <w:top w:val="single" w:sz="4" w:space="0" w:color="auto"/>
              <w:left w:val="nil"/>
              <w:bottom w:val="single" w:sz="4" w:space="0" w:color="auto"/>
              <w:right w:val="single" w:sz="4" w:space="0" w:color="auto"/>
            </w:tcBorders>
            <w:noWrap/>
            <w:vAlign w:val="bottom"/>
            <w:hideMark/>
          </w:tcPr>
          <w:p w14:paraId="0F262B7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40" w:type="dxa"/>
            <w:tcBorders>
              <w:top w:val="single" w:sz="4" w:space="0" w:color="auto"/>
              <w:left w:val="nil"/>
              <w:bottom w:val="single" w:sz="4" w:space="0" w:color="auto"/>
              <w:right w:val="single" w:sz="4" w:space="0" w:color="auto"/>
            </w:tcBorders>
            <w:noWrap/>
            <w:vAlign w:val="bottom"/>
            <w:hideMark/>
          </w:tcPr>
          <w:p w14:paraId="465E72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27.2%</w:t>
            </w:r>
          </w:p>
        </w:tc>
        <w:tc>
          <w:tcPr>
            <w:tcW w:w="1045" w:type="dxa"/>
            <w:tcBorders>
              <w:top w:val="single" w:sz="4" w:space="0" w:color="auto"/>
              <w:left w:val="nil"/>
              <w:bottom w:val="single" w:sz="4" w:space="0" w:color="auto"/>
              <w:right w:val="single" w:sz="4" w:space="0" w:color="auto"/>
            </w:tcBorders>
            <w:noWrap/>
            <w:vAlign w:val="bottom"/>
            <w:hideMark/>
          </w:tcPr>
          <w:p w14:paraId="30523B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318 </w:t>
            </w:r>
          </w:p>
        </w:tc>
        <w:tc>
          <w:tcPr>
            <w:tcW w:w="1035" w:type="dxa"/>
            <w:tcBorders>
              <w:top w:val="single" w:sz="4" w:space="0" w:color="auto"/>
              <w:left w:val="nil"/>
              <w:bottom w:val="single" w:sz="4" w:space="0" w:color="auto"/>
              <w:right w:val="single" w:sz="4" w:space="0" w:color="auto"/>
            </w:tcBorders>
            <w:noWrap/>
            <w:vAlign w:val="bottom"/>
            <w:hideMark/>
          </w:tcPr>
          <w:p w14:paraId="5DCAEC3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45.5%</w:t>
            </w:r>
          </w:p>
        </w:tc>
      </w:tr>
      <w:tr w:rsidR="00926445" w:rsidRPr="00926445" w14:paraId="6D550D2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F2BAF7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186 </w:t>
            </w:r>
          </w:p>
        </w:tc>
        <w:tc>
          <w:tcPr>
            <w:tcW w:w="986" w:type="dxa"/>
            <w:tcBorders>
              <w:top w:val="single" w:sz="4" w:space="0" w:color="auto"/>
              <w:left w:val="nil"/>
              <w:bottom w:val="single" w:sz="4" w:space="0" w:color="auto"/>
              <w:right w:val="single" w:sz="4" w:space="0" w:color="auto"/>
            </w:tcBorders>
            <w:noWrap/>
            <w:vAlign w:val="bottom"/>
            <w:hideMark/>
          </w:tcPr>
          <w:p w14:paraId="49F7D2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140" w:type="dxa"/>
            <w:tcBorders>
              <w:top w:val="single" w:sz="4" w:space="0" w:color="auto"/>
              <w:left w:val="nil"/>
              <w:bottom w:val="single" w:sz="4" w:space="0" w:color="auto"/>
              <w:right w:val="single" w:sz="4" w:space="0" w:color="auto"/>
            </w:tcBorders>
            <w:noWrap/>
            <w:vAlign w:val="bottom"/>
            <w:hideMark/>
          </w:tcPr>
          <w:p w14:paraId="4357704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193 </w:t>
            </w:r>
          </w:p>
        </w:tc>
        <w:tc>
          <w:tcPr>
            <w:tcW w:w="940" w:type="dxa"/>
            <w:tcBorders>
              <w:top w:val="single" w:sz="4" w:space="0" w:color="auto"/>
              <w:left w:val="nil"/>
              <w:bottom w:val="single" w:sz="4" w:space="0" w:color="auto"/>
              <w:right w:val="single" w:sz="4" w:space="0" w:color="auto"/>
            </w:tcBorders>
            <w:noWrap/>
            <w:vAlign w:val="bottom"/>
            <w:hideMark/>
          </w:tcPr>
          <w:p w14:paraId="0C7B4A2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045" w:type="dxa"/>
            <w:tcBorders>
              <w:top w:val="single" w:sz="4" w:space="0" w:color="auto"/>
              <w:left w:val="nil"/>
              <w:bottom w:val="single" w:sz="4" w:space="0" w:color="auto"/>
              <w:right w:val="single" w:sz="4" w:space="0" w:color="auto"/>
            </w:tcBorders>
            <w:noWrap/>
            <w:vAlign w:val="bottom"/>
            <w:hideMark/>
          </w:tcPr>
          <w:p w14:paraId="70D9A0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291 </w:t>
            </w:r>
          </w:p>
        </w:tc>
        <w:tc>
          <w:tcPr>
            <w:tcW w:w="1035" w:type="dxa"/>
            <w:tcBorders>
              <w:top w:val="single" w:sz="4" w:space="0" w:color="auto"/>
              <w:left w:val="nil"/>
              <w:bottom w:val="single" w:sz="4" w:space="0" w:color="auto"/>
              <w:right w:val="single" w:sz="4" w:space="0" w:color="auto"/>
            </w:tcBorders>
            <w:noWrap/>
            <w:vAlign w:val="bottom"/>
            <w:hideMark/>
          </w:tcPr>
          <w:p w14:paraId="67E593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43.4%</w:t>
            </w:r>
          </w:p>
        </w:tc>
      </w:tr>
      <w:tr w:rsidR="00926445" w:rsidRPr="00926445" w14:paraId="311E869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3C2934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208 </w:t>
            </w:r>
          </w:p>
        </w:tc>
        <w:tc>
          <w:tcPr>
            <w:tcW w:w="986" w:type="dxa"/>
            <w:tcBorders>
              <w:top w:val="single" w:sz="4" w:space="0" w:color="auto"/>
              <w:left w:val="nil"/>
              <w:bottom w:val="single" w:sz="4" w:space="0" w:color="auto"/>
              <w:right w:val="single" w:sz="4" w:space="0" w:color="auto"/>
            </w:tcBorders>
            <w:noWrap/>
            <w:vAlign w:val="bottom"/>
            <w:hideMark/>
          </w:tcPr>
          <w:p w14:paraId="7A98782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29.3%</w:t>
            </w:r>
          </w:p>
        </w:tc>
        <w:tc>
          <w:tcPr>
            <w:tcW w:w="1140" w:type="dxa"/>
            <w:tcBorders>
              <w:top w:val="single" w:sz="4" w:space="0" w:color="auto"/>
              <w:left w:val="nil"/>
              <w:bottom w:val="single" w:sz="4" w:space="0" w:color="auto"/>
              <w:right w:val="single" w:sz="4" w:space="0" w:color="auto"/>
            </w:tcBorders>
            <w:noWrap/>
            <w:vAlign w:val="bottom"/>
            <w:hideMark/>
          </w:tcPr>
          <w:p w14:paraId="4645A7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197 </w:t>
            </w:r>
          </w:p>
        </w:tc>
        <w:tc>
          <w:tcPr>
            <w:tcW w:w="940" w:type="dxa"/>
            <w:tcBorders>
              <w:top w:val="single" w:sz="4" w:space="0" w:color="auto"/>
              <w:left w:val="nil"/>
              <w:bottom w:val="single" w:sz="4" w:space="0" w:color="auto"/>
              <w:right w:val="single" w:sz="4" w:space="0" w:color="auto"/>
            </w:tcBorders>
            <w:noWrap/>
            <w:vAlign w:val="bottom"/>
            <w:hideMark/>
          </w:tcPr>
          <w:p w14:paraId="7942B88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045" w:type="dxa"/>
            <w:tcBorders>
              <w:top w:val="single" w:sz="4" w:space="0" w:color="auto"/>
              <w:left w:val="nil"/>
              <w:bottom w:val="single" w:sz="4" w:space="0" w:color="auto"/>
              <w:right w:val="single" w:sz="4" w:space="0" w:color="auto"/>
            </w:tcBorders>
            <w:noWrap/>
            <w:vAlign w:val="bottom"/>
            <w:hideMark/>
          </w:tcPr>
          <w:p w14:paraId="0FAE5C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304 </w:t>
            </w:r>
          </w:p>
        </w:tc>
        <w:tc>
          <w:tcPr>
            <w:tcW w:w="1035" w:type="dxa"/>
            <w:tcBorders>
              <w:top w:val="single" w:sz="4" w:space="0" w:color="auto"/>
              <w:left w:val="nil"/>
              <w:bottom w:val="single" w:sz="4" w:space="0" w:color="auto"/>
              <w:right w:val="single" w:sz="4" w:space="0" w:color="auto"/>
            </w:tcBorders>
            <w:noWrap/>
            <w:vAlign w:val="bottom"/>
            <w:hideMark/>
          </w:tcPr>
          <w:p w14:paraId="2F2ECA9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42.9%</w:t>
            </w:r>
          </w:p>
        </w:tc>
      </w:tr>
      <w:tr w:rsidR="00926445" w:rsidRPr="00926445" w14:paraId="4B985AA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C3FA4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86" w:type="dxa"/>
            <w:tcBorders>
              <w:top w:val="single" w:sz="4" w:space="0" w:color="auto"/>
              <w:left w:val="nil"/>
              <w:bottom w:val="single" w:sz="4" w:space="0" w:color="auto"/>
              <w:right w:val="single" w:sz="4" w:space="0" w:color="auto"/>
            </w:tcBorders>
            <w:noWrap/>
            <w:vAlign w:val="bottom"/>
            <w:hideMark/>
          </w:tcPr>
          <w:p w14:paraId="5964A21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04AB770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203 </w:t>
            </w:r>
          </w:p>
        </w:tc>
        <w:tc>
          <w:tcPr>
            <w:tcW w:w="940" w:type="dxa"/>
            <w:tcBorders>
              <w:top w:val="single" w:sz="4" w:space="0" w:color="auto"/>
              <w:left w:val="nil"/>
              <w:bottom w:val="single" w:sz="4" w:space="0" w:color="auto"/>
              <w:right w:val="single" w:sz="4" w:space="0" w:color="auto"/>
            </w:tcBorders>
            <w:noWrap/>
            <w:vAlign w:val="bottom"/>
            <w:hideMark/>
          </w:tcPr>
          <w:p w14:paraId="4102B2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28.7%</w:t>
            </w:r>
          </w:p>
        </w:tc>
        <w:tc>
          <w:tcPr>
            <w:tcW w:w="1045" w:type="dxa"/>
            <w:tcBorders>
              <w:top w:val="single" w:sz="4" w:space="0" w:color="auto"/>
              <w:left w:val="nil"/>
              <w:bottom w:val="single" w:sz="4" w:space="0" w:color="auto"/>
              <w:right w:val="single" w:sz="4" w:space="0" w:color="auto"/>
            </w:tcBorders>
            <w:noWrap/>
            <w:vAlign w:val="bottom"/>
            <w:hideMark/>
          </w:tcPr>
          <w:p w14:paraId="1F7EC42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315 </w:t>
            </w:r>
          </w:p>
        </w:tc>
        <w:tc>
          <w:tcPr>
            <w:tcW w:w="1035" w:type="dxa"/>
            <w:tcBorders>
              <w:top w:val="single" w:sz="4" w:space="0" w:color="auto"/>
              <w:left w:val="nil"/>
              <w:bottom w:val="single" w:sz="4" w:space="0" w:color="auto"/>
              <w:right w:val="single" w:sz="4" w:space="0" w:color="auto"/>
            </w:tcBorders>
            <w:noWrap/>
            <w:vAlign w:val="bottom"/>
            <w:hideMark/>
          </w:tcPr>
          <w:p w14:paraId="5D3815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3F31A0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40249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986" w:type="dxa"/>
            <w:tcBorders>
              <w:top w:val="single" w:sz="4" w:space="0" w:color="auto"/>
              <w:left w:val="nil"/>
              <w:bottom w:val="single" w:sz="4" w:space="0" w:color="auto"/>
              <w:right w:val="single" w:sz="4" w:space="0" w:color="auto"/>
            </w:tcBorders>
            <w:noWrap/>
            <w:vAlign w:val="bottom"/>
            <w:hideMark/>
          </w:tcPr>
          <w:p w14:paraId="06D5958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AD689B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236E800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33.4%</w:t>
            </w:r>
          </w:p>
        </w:tc>
        <w:tc>
          <w:tcPr>
            <w:tcW w:w="1045" w:type="dxa"/>
            <w:tcBorders>
              <w:top w:val="single" w:sz="4" w:space="0" w:color="auto"/>
              <w:left w:val="nil"/>
              <w:bottom w:val="single" w:sz="4" w:space="0" w:color="auto"/>
              <w:right w:val="single" w:sz="4" w:space="0" w:color="auto"/>
            </w:tcBorders>
            <w:noWrap/>
            <w:vAlign w:val="bottom"/>
            <w:hideMark/>
          </w:tcPr>
          <w:p w14:paraId="613390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1035" w:type="dxa"/>
            <w:tcBorders>
              <w:top w:val="single" w:sz="4" w:space="0" w:color="auto"/>
              <w:left w:val="nil"/>
              <w:bottom w:val="single" w:sz="4" w:space="0" w:color="auto"/>
              <w:right w:val="single" w:sz="4" w:space="0" w:color="auto"/>
            </w:tcBorders>
            <w:noWrap/>
            <w:vAlign w:val="bottom"/>
            <w:hideMark/>
          </w:tcPr>
          <w:p w14:paraId="124D6B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37.0%</w:t>
            </w:r>
          </w:p>
        </w:tc>
      </w:tr>
      <w:tr w:rsidR="00926445" w:rsidRPr="00926445" w14:paraId="1FFAD08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CA3D82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198 </w:t>
            </w:r>
          </w:p>
        </w:tc>
        <w:tc>
          <w:tcPr>
            <w:tcW w:w="986" w:type="dxa"/>
            <w:tcBorders>
              <w:top w:val="single" w:sz="4" w:space="0" w:color="auto"/>
              <w:left w:val="nil"/>
              <w:bottom w:val="single" w:sz="4" w:space="0" w:color="auto"/>
              <w:right w:val="single" w:sz="4" w:space="0" w:color="auto"/>
            </w:tcBorders>
            <w:noWrap/>
            <w:vAlign w:val="bottom"/>
            <w:hideMark/>
          </w:tcPr>
          <w:p w14:paraId="54A833E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53DBCF5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196 </w:t>
            </w:r>
          </w:p>
        </w:tc>
        <w:tc>
          <w:tcPr>
            <w:tcW w:w="940" w:type="dxa"/>
            <w:tcBorders>
              <w:top w:val="single" w:sz="4" w:space="0" w:color="auto"/>
              <w:left w:val="nil"/>
              <w:bottom w:val="single" w:sz="4" w:space="0" w:color="auto"/>
              <w:right w:val="single" w:sz="4" w:space="0" w:color="auto"/>
            </w:tcBorders>
            <w:noWrap/>
            <w:vAlign w:val="bottom"/>
            <w:hideMark/>
          </w:tcPr>
          <w:p w14:paraId="32AD9C0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29.2%</w:t>
            </w:r>
          </w:p>
        </w:tc>
        <w:tc>
          <w:tcPr>
            <w:tcW w:w="1045" w:type="dxa"/>
            <w:tcBorders>
              <w:top w:val="single" w:sz="4" w:space="0" w:color="auto"/>
              <w:left w:val="nil"/>
              <w:bottom w:val="single" w:sz="4" w:space="0" w:color="auto"/>
              <w:right w:val="single" w:sz="4" w:space="0" w:color="auto"/>
            </w:tcBorders>
            <w:noWrap/>
            <w:vAlign w:val="bottom"/>
            <w:hideMark/>
          </w:tcPr>
          <w:p w14:paraId="4946F86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277 </w:t>
            </w:r>
          </w:p>
        </w:tc>
        <w:tc>
          <w:tcPr>
            <w:tcW w:w="1035" w:type="dxa"/>
            <w:tcBorders>
              <w:top w:val="single" w:sz="4" w:space="0" w:color="auto"/>
              <w:left w:val="nil"/>
              <w:bottom w:val="single" w:sz="4" w:space="0" w:color="auto"/>
              <w:right w:val="single" w:sz="4" w:space="0" w:color="auto"/>
            </w:tcBorders>
            <w:noWrap/>
            <w:vAlign w:val="bottom"/>
            <w:hideMark/>
          </w:tcPr>
          <w:p w14:paraId="42B475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r>
      <w:tr w:rsidR="00926445" w:rsidRPr="00926445" w14:paraId="2C8A7FD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7C7676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77D75CF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26.4%</w:t>
            </w:r>
          </w:p>
        </w:tc>
        <w:tc>
          <w:tcPr>
            <w:tcW w:w="1140" w:type="dxa"/>
            <w:tcBorders>
              <w:top w:val="single" w:sz="4" w:space="0" w:color="auto"/>
              <w:left w:val="nil"/>
              <w:bottom w:val="single" w:sz="4" w:space="0" w:color="auto"/>
              <w:right w:val="single" w:sz="4" w:space="0" w:color="auto"/>
            </w:tcBorders>
            <w:noWrap/>
            <w:vAlign w:val="bottom"/>
            <w:hideMark/>
          </w:tcPr>
          <w:p w14:paraId="1C1776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4B26509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28.9%</w:t>
            </w:r>
          </w:p>
        </w:tc>
        <w:tc>
          <w:tcPr>
            <w:tcW w:w="1045" w:type="dxa"/>
            <w:tcBorders>
              <w:top w:val="single" w:sz="4" w:space="0" w:color="auto"/>
              <w:left w:val="nil"/>
              <w:bottom w:val="single" w:sz="4" w:space="0" w:color="auto"/>
              <w:right w:val="single" w:sz="4" w:space="0" w:color="auto"/>
            </w:tcBorders>
            <w:noWrap/>
            <w:vAlign w:val="bottom"/>
            <w:hideMark/>
          </w:tcPr>
          <w:p w14:paraId="17EF99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321 </w:t>
            </w:r>
          </w:p>
        </w:tc>
        <w:tc>
          <w:tcPr>
            <w:tcW w:w="1035" w:type="dxa"/>
            <w:tcBorders>
              <w:top w:val="single" w:sz="4" w:space="0" w:color="auto"/>
              <w:left w:val="nil"/>
              <w:bottom w:val="single" w:sz="4" w:space="0" w:color="auto"/>
              <w:right w:val="single" w:sz="4" w:space="0" w:color="auto"/>
            </w:tcBorders>
            <w:noWrap/>
            <w:vAlign w:val="bottom"/>
            <w:hideMark/>
          </w:tcPr>
          <w:p w14:paraId="5DD76D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44.8%</w:t>
            </w:r>
          </w:p>
        </w:tc>
      </w:tr>
      <w:tr w:rsidR="00926445" w:rsidRPr="00926445" w14:paraId="189DCB4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1DF097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195 </w:t>
            </w:r>
          </w:p>
        </w:tc>
        <w:tc>
          <w:tcPr>
            <w:tcW w:w="986" w:type="dxa"/>
            <w:tcBorders>
              <w:top w:val="single" w:sz="4" w:space="0" w:color="auto"/>
              <w:left w:val="nil"/>
              <w:bottom w:val="single" w:sz="4" w:space="0" w:color="auto"/>
              <w:right w:val="single" w:sz="4" w:space="0" w:color="auto"/>
            </w:tcBorders>
            <w:noWrap/>
            <w:vAlign w:val="bottom"/>
            <w:hideMark/>
          </w:tcPr>
          <w:p w14:paraId="647AD2F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56FBA1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0E6ABC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30.1%</w:t>
            </w:r>
          </w:p>
        </w:tc>
        <w:tc>
          <w:tcPr>
            <w:tcW w:w="1045" w:type="dxa"/>
            <w:tcBorders>
              <w:top w:val="single" w:sz="4" w:space="0" w:color="auto"/>
              <w:left w:val="nil"/>
              <w:bottom w:val="single" w:sz="4" w:space="0" w:color="auto"/>
              <w:right w:val="single" w:sz="4" w:space="0" w:color="auto"/>
            </w:tcBorders>
            <w:noWrap/>
            <w:vAlign w:val="bottom"/>
            <w:hideMark/>
          </w:tcPr>
          <w:p w14:paraId="2FC80EA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313 </w:t>
            </w:r>
          </w:p>
        </w:tc>
        <w:tc>
          <w:tcPr>
            <w:tcW w:w="1035" w:type="dxa"/>
            <w:tcBorders>
              <w:top w:val="single" w:sz="4" w:space="0" w:color="auto"/>
              <w:left w:val="nil"/>
              <w:bottom w:val="single" w:sz="4" w:space="0" w:color="auto"/>
              <w:right w:val="single" w:sz="4" w:space="0" w:color="auto"/>
            </w:tcBorders>
            <w:noWrap/>
            <w:vAlign w:val="bottom"/>
            <w:hideMark/>
          </w:tcPr>
          <w:p w14:paraId="28E5F2B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43.1%</w:t>
            </w:r>
          </w:p>
        </w:tc>
      </w:tr>
      <w:tr w:rsidR="00926445" w:rsidRPr="00926445" w14:paraId="5B03F0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DE96D2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188 </w:t>
            </w:r>
          </w:p>
        </w:tc>
        <w:tc>
          <w:tcPr>
            <w:tcW w:w="986" w:type="dxa"/>
            <w:tcBorders>
              <w:top w:val="single" w:sz="4" w:space="0" w:color="auto"/>
              <w:left w:val="nil"/>
              <w:bottom w:val="single" w:sz="4" w:space="0" w:color="auto"/>
              <w:right w:val="single" w:sz="4" w:space="0" w:color="auto"/>
            </w:tcBorders>
            <w:noWrap/>
            <w:vAlign w:val="bottom"/>
            <w:hideMark/>
          </w:tcPr>
          <w:p w14:paraId="6F0D20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26.0%</w:t>
            </w:r>
          </w:p>
        </w:tc>
        <w:tc>
          <w:tcPr>
            <w:tcW w:w="1140" w:type="dxa"/>
            <w:tcBorders>
              <w:top w:val="single" w:sz="4" w:space="0" w:color="auto"/>
              <w:left w:val="nil"/>
              <w:bottom w:val="single" w:sz="4" w:space="0" w:color="auto"/>
              <w:right w:val="single" w:sz="4" w:space="0" w:color="auto"/>
            </w:tcBorders>
            <w:noWrap/>
            <w:vAlign w:val="bottom"/>
            <w:hideMark/>
          </w:tcPr>
          <w:p w14:paraId="65A866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212 </w:t>
            </w:r>
          </w:p>
        </w:tc>
        <w:tc>
          <w:tcPr>
            <w:tcW w:w="940" w:type="dxa"/>
            <w:tcBorders>
              <w:top w:val="single" w:sz="4" w:space="0" w:color="auto"/>
              <w:left w:val="nil"/>
              <w:bottom w:val="single" w:sz="4" w:space="0" w:color="auto"/>
              <w:right w:val="single" w:sz="4" w:space="0" w:color="auto"/>
            </w:tcBorders>
            <w:noWrap/>
            <w:vAlign w:val="bottom"/>
            <w:hideMark/>
          </w:tcPr>
          <w:p w14:paraId="0874CD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29.4%</w:t>
            </w:r>
          </w:p>
        </w:tc>
        <w:tc>
          <w:tcPr>
            <w:tcW w:w="1045" w:type="dxa"/>
            <w:tcBorders>
              <w:top w:val="single" w:sz="4" w:space="0" w:color="auto"/>
              <w:left w:val="nil"/>
              <w:bottom w:val="single" w:sz="4" w:space="0" w:color="auto"/>
              <w:right w:val="single" w:sz="4" w:space="0" w:color="auto"/>
            </w:tcBorders>
            <w:noWrap/>
            <w:vAlign w:val="bottom"/>
            <w:hideMark/>
          </w:tcPr>
          <w:p w14:paraId="03F5EF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 </w:t>
            </w:r>
          </w:p>
        </w:tc>
        <w:tc>
          <w:tcPr>
            <w:tcW w:w="1035" w:type="dxa"/>
            <w:tcBorders>
              <w:top w:val="single" w:sz="4" w:space="0" w:color="auto"/>
              <w:left w:val="nil"/>
              <w:bottom w:val="single" w:sz="4" w:space="0" w:color="auto"/>
              <w:right w:val="single" w:sz="4" w:space="0" w:color="auto"/>
            </w:tcBorders>
            <w:noWrap/>
            <w:vAlign w:val="bottom"/>
            <w:hideMark/>
          </w:tcPr>
          <w:p w14:paraId="0D002E7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44.6%</w:t>
            </w:r>
          </w:p>
        </w:tc>
      </w:tr>
      <w:tr w:rsidR="00926445" w:rsidRPr="00926445" w14:paraId="4EB033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E84A01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215 </w:t>
            </w:r>
          </w:p>
        </w:tc>
        <w:tc>
          <w:tcPr>
            <w:tcW w:w="986" w:type="dxa"/>
            <w:tcBorders>
              <w:top w:val="single" w:sz="4" w:space="0" w:color="auto"/>
              <w:left w:val="nil"/>
              <w:bottom w:val="single" w:sz="4" w:space="0" w:color="auto"/>
              <w:right w:val="single" w:sz="4" w:space="0" w:color="auto"/>
            </w:tcBorders>
            <w:noWrap/>
            <w:vAlign w:val="bottom"/>
            <w:hideMark/>
          </w:tcPr>
          <w:p w14:paraId="70FE8F1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140" w:type="dxa"/>
            <w:tcBorders>
              <w:top w:val="single" w:sz="4" w:space="0" w:color="auto"/>
              <w:left w:val="nil"/>
              <w:bottom w:val="single" w:sz="4" w:space="0" w:color="auto"/>
              <w:right w:val="single" w:sz="4" w:space="0" w:color="auto"/>
            </w:tcBorders>
            <w:noWrap/>
            <w:vAlign w:val="bottom"/>
            <w:hideMark/>
          </w:tcPr>
          <w:p w14:paraId="70C50F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52F60B2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5" w:type="dxa"/>
            <w:tcBorders>
              <w:top w:val="single" w:sz="4" w:space="0" w:color="auto"/>
              <w:left w:val="nil"/>
              <w:bottom w:val="single" w:sz="4" w:space="0" w:color="auto"/>
              <w:right w:val="single" w:sz="4" w:space="0" w:color="auto"/>
            </w:tcBorders>
            <w:noWrap/>
            <w:vAlign w:val="bottom"/>
            <w:hideMark/>
          </w:tcPr>
          <w:p w14:paraId="4415B0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 </w:t>
            </w:r>
          </w:p>
        </w:tc>
        <w:tc>
          <w:tcPr>
            <w:tcW w:w="1035" w:type="dxa"/>
            <w:tcBorders>
              <w:top w:val="single" w:sz="4" w:space="0" w:color="auto"/>
              <w:left w:val="nil"/>
              <w:bottom w:val="single" w:sz="4" w:space="0" w:color="auto"/>
              <w:right w:val="single" w:sz="4" w:space="0" w:color="auto"/>
            </w:tcBorders>
            <w:noWrap/>
            <w:vAlign w:val="bottom"/>
            <w:hideMark/>
          </w:tcPr>
          <w:p w14:paraId="0F3065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r>
      <w:tr w:rsidR="00926445" w:rsidRPr="00926445" w14:paraId="54213F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9D71C1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3C5DFD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28.1%</w:t>
            </w:r>
          </w:p>
        </w:tc>
        <w:tc>
          <w:tcPr>
            <w:tcW w:w="1140" w:type="dxa"/>
            <w:tcBorders>
              <w:top w:val="single" w:sz="4" w:space="0" w:color="auto"/>
              <w:left w:val="nil"/>
              <w:bottom w:val="single" w:sz="4" w:space="0" w:color="auto"/>
              <w:right w:val="single" w:sz="4" w:space="0" w:color="auto"/>
            </w:tcBorders>
            <w:noWrap/>
            <w:vAlign w:val="bottom"/>
            <w:hideMark/>
          </w:tcPr>
          <w:p w14:paraId="7CD8618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40" w:type="dxa"/>
            <w:tcBorders>
              <w:top w:val="single" w:sz="4" w:space="0" w:color="auto"/>
              <w:left w:val="nil"/>
              <w:bottom w:val="single" w:sz="4" w:space="0" w:color="auto"/>
              <w:right w:val="single" w:sz="4" w:space="0" w:color="auto"/>
            </w:tcBorders>
            <w:noWrap/>
            <w:vAlign w:val="bottom"/>
            <w:hideMark/>
          </w:tcPr>
          <w:p w14:paraId="1421856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33.6%</w:t>
            </w:r>
          </w:p>
        </w:tc>
        <w:tc>
          <w:tcPr>
            <w:tcW w:w="1045" w:type="dxa"/>
            <w:tcBorders>
              <w:top w:val="single" w:sz="4" w:space="0" w:color="auto"/>
              <w:left w:val="nil"/>
              <w:bottom w:val="single" w:sz="4" w:space="0" w:color="auto"/>
              <w:right w:val="single" w:sz="4" w:space="0" w:color="auto"/>
            </w:tcBorders>
            <w:noWrap/>
            <w:vAlign w:val="bottom"/>
            <w:hideMark/>
          </w:tcPr>
          <w:p w14:paraId="65079DD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258 </w:t>
            </w:r>
          </w:p>
        </w:tc>
        <w:tc>
          <w:tcPr>
            <w:tcW w:w="1035" w:type="dxa"/>
            <w:tcBorders>
              <w:top w:val="single" w:sz="4" w:space="0" w:color="auto"/>
              <w:left w:val="nil"/>
              <w:bottom w:val="single" w:sz="4" w:space="0" w:color="auto"/>
              <w:right w:val="single" w:sz="4" w:space="0" w:color="auto"/>
            </w:tcBorders>
            <w:noWrap/>
            <w:vAlign w:val="bottom"/>
            <w:hideMark/>
          </w:tcPr>
          <w:p w14:paraId="703FA1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r>
      <w:tr w:rsidR="00926445" w:rsidRPr="00926445" w14:paraId="6292C15F"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2050E2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986" w:type="dxa"/>
            <w:tcBorders>
              <w:top w:val="single" w:sz="4" w:space="0" w:color="auto"/>
              <w:left w:val="nil"/>
              <w:bottom w:val="single" w:sz="4" w:space="0" w:color="auto"/>
              <w:right w:val="single" w:sz="4" w:space="0" w:color="auto"/>
            </w:tcBorders>
            <w:noWrap/>
            <w:vAlign w:val="bottom"/>
            <w:hideMark/>
          </w:tcPr>
          <w:p w14:paraId="16FD318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140" w:type="dxa"/>
            <w:tcBorders>
              <w:top w:val="single" w:sz="4" w:space="0" w:color="auto"/>
              <w:left w:val="nil"/>
              <w:bottom w:val="single" w:sz="4" w:space="0" w:color="auto"/>
              <w:right w:val="single" w:sz="4" w:space="0" w:color="auto"/>
            </w:tcBorders>
            <w:noWrap/>
            <w:vAlign w:val="bottom"/>
            <w:hideMark/>
          </w:tcPr>
          <w:p w14:paraId="0A6110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48BB8D8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32.2%</w:t>
            </w:r>
          </w:p>
        </w:tc>
        <w:tc>
          <w:tcPr>
            <w:tcW w:w="1045" w:type="dxa"/>
            <w:tcBorders>
              <w:top w:val="single" w:sz="4" w:space="0" w:color="auto"/>
              <w:left w:val="nil"/>
              <w:bottom w:val="single" w:sz="4" w:space="0" w:color="auto"/>
              <w:right w:val="single" w:sz="4" w:space="0" w:color="auto"/>
            </w:tcBorders>
            <w:noWrap/>
            <w:vAlign w:val="bottom"/>
            <w:hideMark/>
          </w:tcPr>
          <w:p w14:paraId="5E304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1035" w:type="dxa"/>
            <w:tcBorders>
              <w:top w:val="single" w:sz="4" w:space="0" w:color="auto"/>
              <w:left w:val="nil"/>
              <w:bottom w:val="single" w:sz="4" w:space="0" w:color="auto"/>
              <w:right w:val="single" w:sz="4" w:space="0" w:color="auto"/>
            </w:tcBorders>
            <w:noWrap/>
            <w:vAlign w:val="bottom"/>
            <w:hideMark/>
          </w:tcPr>
          <w:p w14:paraId="7D7DEA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32.1%</w:t>
            </w:r>
          </w:p>
        </w:tc>
      </w:tr>
      <w:tr w:rsidR="00926445" w:rsidRPr="00926445" w14:paraId="246D86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A41637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185 </w:t>
            </w:r>
          </w:p>
        </w:tc>
        <w:tc>
          <w:tcPr>
            <w:tcW w:w="986" w:type="dxa"/>
            <w:tcBorders>
              <w:top w:val="single" w:sz="4" w:space="0" w:color="auto"/>
              <w:left w:val="nil"/>
              <w:bottom w:val="single" w:sz="4" w:space="0" w:color="auto"/>
              <w:right w:val="single" w:sz="4" w:space="0" w:color="auto"/>
            </w:tcBorders>
            <w:noWrap/>
            <w:vAlign w:val="bottom"/>
            <w:hideMark/>
          </w:tcPr>
          <w:p w14:paraId="7990FA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24.6%</w:t>
            </w:r>
          </w:p>
        </w:tc>
        <w:tc>
          <w:tcPr>
            <w:tcW w:w="1140" w:type="dxa"/>
            <w:tcBorders>
              <w:top w:val="single" w:sz="4" w:space="0" w:color="auto"/>
              <w:left w:val="nil"/>
              <w:bottom w:val="single" w:sz="4" w:space="0" w:color="auto"/>
              <w:right w:val="single" w:sz="4" w:space="0" w:color="auto"/>
            </w:tcBorders>
            <w:noWrap/>
            <w:vAlign w:val="bottom"/>
            <w:hideMark/>
          </w:tcPr>
          <w:p w14:paraId="49E07A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43CD2D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045" w:type="dxa"/>
            <w:tcBorders>
              <w:top w:val="single" w:sz="4" w:space="0" w:color="auto"/>
              <w:left w:val="nil"/>
              <w:bottom w:val="single" w:sz="4" w:space="0" w:color="auto"/>
              <w:right w:val="single" w:sz="4" w:space="0" w:color="auto"/>
            </w:tcBorders>
            <w:noWrap/>
            <w:vAlign w:val="bottom"/>
            <w:hideMark/>
          </w:tcPr>
          <w:p w14:paraId="316138F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348 </w:t>
            </w:r>
          </w:p>
        </w:tc>
        <w:tc>
          <w:tcPr>
            <w:tcW w:w="1035" w:type="dxa"/>
            <w:tcBorders>
              <w:top w:val="single" w:sz="4" w:space="0" w:color="auto"/>
              <w:left w:val="nil"/>
              <w:bottom w:val="single" w:sz="4" w:space="0" w:color="auto"/>
              <w:right w:val="single" w:sz="4" w:space="0" w:color="auto"/>
            </w:tcBorders>
            <w:noWrap/>
            <w:vAlign w:val="bottom"/>
            <w:hideMark/>
          </w:tcPr>
          <w:p w14:paraId="79D2BB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46.3%</w:t>
            </w:r>
          </w:p>
        </w:tc>
      </w:tr>
      <w:tr w:rsidR="00926445" w:rsidRPr="00926445" w14:paraId="3D543E0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96AC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07757D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4159C3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237 </w:t>
            </w:r>
          </w:p>
        </w:tc>
        <w:tc>
          <w:tcPr>
            <w:tcW w:w="940" w:type="dxa"/>
            <w:tcBorders>
              <w:top w:val="single" w:sz="4" w:space="0" w:color="auto"/>
              <w:left w:val="nil"/>
              <w:bottom w:val="single" w:sz="4" w:space="0" w:color="auto"/>
              <w:right w:val="single" w:sz="4" w:space="0" w:color="auto"/>
            </w:tcBorders>
            <w:noWrap/>
            <w:vAlign w:val="bottom"/>
            <w:hideMark/>
          </w:tcPr>
          <w:p w14:paraId="2BB467B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29.6%</w:t>
            </w:r>
          </w:p>
        </w:tc>
        <w:tc>
          <w:tcPr>
            <w:tcW w:w="1045" w:type="dxa"/>
            <w:tcBorders>
              <w:top w:val="single" w:sz="4" w:space="0" w:color="auto"/>
              <w:left w:val="nil"/>
              <w:bottom w:val="single" w:sz="4" w:space="0" w:color="auto"/>
              <w:right w:val="single" w:sz="4" w:space="0" w:color="auto"/>
            </w:tcBorders>
            <w:noWrap/>
            <w:vAlign w:val="bottom"/>
            <w:hideMark/>
          </w:tcPr>
          <w:p w14:paraId="42FC97B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327 </w:t>
            </w:r>
          </w:p>
        </w:tc>
        <w:tc>
          <w:tcPr>
            <w:tcW w:w="1035" w:type="dxa"/>
            <w:tcBorders>
              <w:top w:val="single" w:sz="4" w:space="0" w:color="auto"/>
              <w:left w:val="nil"/>
              <w:bottom w:val="single" w:sz="4" w:space="0" w:color="auto"/>
              <w:right w:val="single" w:sz="4" w:space="0" w:color="auto"/>
            </w:tcBorders>
            <w:noWrap/>
            <w:vAlign w:val="bottom"/>
            <w:hideMark/>
          </w:tcPr>
          <w:p w14:paraId="6F557AC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40.9%</w:t>
            </w:r>
          </w:p>
        </w:tc>
      </w:tr>
      <w:tr w:rsidR="00926445" w:rsidRPr="00926445" w14:paraId="03ABB91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563044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172 </w:t>
            </w:r>
          </w:p>
        </w:tc>
        <w:tc>
          <w:tcPr>
            <w:tcW w:w="986" w:type="dxa"/>
            <w:tcBorders>
              <w:top w:val="single" w:sz="4" w:space="0" w:color="auto"/>
              <w:left w:val="nil"/>
              <w:bottom w:val="single" w:sz="4" w:space="0" w:color="auto"/>
              <w:right w:val="single" w:sz="4" w:space="0" w:color="auto"/>
            </w:tcBorders>
            <w:noWrap/>
            <w:vAlign w:val="bottom"/>
            <w:hideMark/>
          </w:tcPr>
          <w:p w14:paraId="32A8FF3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25.5%</w:t>
            </w:r>
          </w:p>
        </w:tc>
        <w:tc>
          <w:tcPr>
            <w:tcW w:w="1140" w:type="dxa"/>
            <w:tcBorders>
              <w:top w:val="single" w:sz="4" w:space="0" w:color="auto"/>
              <w:left w:val="nil"/>
              <w:bottom w:val="single" w:sz="4" w:space="0" w:color="auto"/>
              <w:right w:val="single" w:sz="4" w:space="0" w:color="auto"/>
            </w:tcBorders>
            <w:noWrap/>
            <w:vAlign w:val="bottom"/>
            <w:hideMark/>
          </w:tcPr>
          <w:p w14:paraId="1854143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174 </w:t>
            </w:r>
          </w:p>
        </w:tc>
        <w:tc>
          <w:tcPr>
            <w:tcW w:w="940" w:type="dxa"/>
            <w:tcBorders>
              <w:top w:val="single" w:sz="4" w:space="0" w:color="auto"/>
              <w:left w:val="nil"/>
              <w:bottom w:val="single" w:sz="4" w:space="0" w:color="auto"/>
              <w:right w:val="single" w:sz="4" w:space="0" w:color="auto"/>
            </w:tcBorders>
            <w:noWrap/>
            <w:vAlign w:val="bottom"/>
            <w:hideMark/>
          </w:tcPr>
          <w:p w14:paraId="6C9821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25.8%</w:t>
            </w:r>
          </w:p>
        </w:tc>
        <w:tc>
          <w:tcPr>
            <w:tcW w:w="1045" w:type="dxa"/>
            <w:tcBorders>
              <w:top w:val="single" w:sz="4" w:space="0" w:color="auto"/>
              <w:left w:val="nil"/>
              <w:bottom w:val="single" w:sz="4" w:space="0" w:color="auto"/>
              <w:right w:val="single" w:sz="4" w:space="0" w:color="auto"/>
            </w:tcBorders>
            <w:noWrap/>
            <w:vAlign w:val="bottom"/>
            <w:hideMark/>
          </w:tcPr>
          <w:p w14:paraId="2350BD5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329 </w:t>
            </w:r>
          </w:p>
        </w:tc>
        <w:tc>
          <w:tcPr>
            <w:tcW w:w="1035" w:type="dxa"/>
            <w:tcBorders>
              <w:top w:val="single" w:sz="4" w:space="0" w:color="auto"/>
              <w:left w:val="nil"/>
              <w:bottom w:val="single" w:sz="4" w:space="0" w:color="auto"/>
              <w:right w:val="single" w:sz="4" w:space="0" w:color="auto"/>
            </w:tcBorders>
            <w:noWrap/>
            <w:vAlign w:val="bottom"/>
            <w:hideMark/>
          </w:tcPr>
          <w:p w14:paraId="6B7BB3C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48.7%</w:t>
            </w:r>
          </w:p>
        </w:tc>
      </w:tr>
      <w:tr w:rsidR="00926445" w:rsidRPr="00926445" w14:paraId="743329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536BF2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986" w:type="dxa"/>
            <w:tcBorders>
              <w:top w:val="single" w:sz="4" w:space="0" w:color="auto"/>
              <w:left w:val="nil"/>
              <w:bottom w:val="single" w:sz="4" w:space="0" w:color="auto"/>
              <w:right w:val="single" w:sz="4" w:space="0" w:color="auto"/>
            </w:tcBorders>
            <w:noWrap/>
            <w:vAlign w:val="bottom"/>
            <w:hideMark/>
          </w:tcPr>
          <w:p w14:paraId="7050AA9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31.2%</w:t>
            </w:r>
          </w:p>
        </w:tc>
        <w:tc>
          <w:tcPr>
            <w:tcW w:w="1140" w:type="dxa"/>
            <w:tcBorders>
              <w:top w:val="single" w:sz="4" w:space="0" w:color="auto"/>
              <w:left w:val="nil"/>
              <w:bottom w:val="single" w:sz="4" w:space="0" w:color="auto"/>
              <w:right w:val="single" w:sz="4" w:space="0" w:color="auto"/>
            </w:tcBorders>
            <w:noWrap/>
            <w:vAlign w:val="bottom"/>
            <w:hideMark/>
          </w:tcPr>
          <w:p w14:paraId="61AC3D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240 </w:t>
            </w:r>
          </w:p>
        </w:tc>
        <w:tc>
          <w:tcPr>
            <w:tcW w:w="940" w:type="dxa"/>
            <w:tcBorders>
              <w:top w:val="single" w:sz="4" w:space="0" w:color="auto"/>
              <w:left w:val="nil"/>
              <w:bottom w:val="single" w:sz="4" w:space="0" w:color="auto"/>
              <w:right w:val="single" w:sz="4" w:space="0" w:color="auto"/>
            </w:tcBorders>
            <w:noWrap/>
            <w:vAlign w:val="bottom"/>
            <w:hideMark/>
          </w:tcPr>
          <w:p w14:paraId="27B723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37D449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349 </w:t>
            </w:r>
          </w:p>
        </w:tc>
        <w:tc>
          <w:tcPr>
            <w:tcW w:w="1035" w:type="dxa"/>
            <w:tcBorders>
              <w:top w:val="single" w:sz="4" w:space="0" w:color="auto"/>
              <w:left w:val="nil"/>
              <w:bottom w:val="single" w:sz="4" w:space="0" w:color="auto"/>
              <w:right w:val="single" w:sz="4" w:space="0" w:color="auto"/>
            </w:tcBorders>
            <w:noWrap/>
            <w:vAlign w:val="bottom"/>
            <w:hideMark/>
          </w:tcPr>
          <w:p w14:paraId="66054B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40.8%</w:t>
            </w:r>
          </w:p>
        </w:tc>
      </w:tr>
      <w:tr w:rsidR="00926445" w:rsidRPr="00926445" w14:paraId="3B580B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9024C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184FBF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66BCF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30FCE2B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09258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1035" w:type="dxa"/>
            <w:tcBorders>
              <w:top w:val="single" w:sz="4" w:space="0" w:color="auto"/>
              <w:left w:val="nil"/>
              <w:bottom w:val="single" w:sz="4" w:space="0" w:color="auto"/>
              <w:right w:val="single" w:sz="4" w:space="0" w:color="auto"/>
            </w:tcBorders>
            <w:noWrap/>
            <w:vAlign w:val="bottom"/>
            <w:hideMark/>
          </w:tcPr>
          <w:p w14:paraId="394F8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38.7%</w:t>
            </w:r>
          </w:p>
        </w:tc>
      </w:tr>
      <w:tr w:rsidR="00926445" w:rsidRPr="00926445" w14:paraId="6FDDC1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87E79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238 </w:t>
            </w:r>
          </w:p>
        </w:tc>
        <w:tc>
          <w:tcPr>
            <w:tcW w:w="986" w:type="dxa"/>
            <w:tcBorders>
              <w:top w:val="single" w:sz="4" w:space="0" w:color="auto"/>
              <w:left w:val="nil"/>
              <w:bottom w:val="single" w:sz="4" w:space="0" w:color="auto"/>
              <w:right w:val="single" w:sz="4" w:space="0" w:color="auto"/>
            </w:tcBorders>
            <w:noWrap/>
            <w:vAlign w:val="bottom"/>
            <w:hideMark/>
          </w:tcPr>
          <w:p w14:paraId="58CBBF6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32.0%</w:t>
            </w:r>
          </w:p>
        </w:tc>
        <w:tc>
          <w:tcPr>
            <w:tcW w:w="1140" w:type="dxa"/>
            <w:tcBorders>
              <w:top w:val="single" w:sz="4" w:space="0" w:color="auto"/>
              <w:left w:val="nil"/>
              <w:bottom w:val="single" w:sz="4" w:space="0" w:color="auto"/>
              <w:right w:val="single" w:sz="4" w:space="0" w:color="auto"/>
            </w:tcBorders>
            <w:noWrap/>
            <w:vAlign w:val="bottom"/>
            <w:hideMark/>
          </w:tcPr>
          <w:p w14:paraId="1B7BAE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940" w:type="dxa"/>
            <w:tcBorders>
              <w:top w:val="single" w:sz="4" w:space="0" w:color="auto"/>
              <w:left w:val="nil"/>
              <w:bottom w:val="single" w:sz="4" w:space="0" w:color="auto"/>
              <w:right w:val="single" w:sz="4" w:space="0" w:color="auto"/>
            </w:tcBorders>
            <w:noWrap/>
            <w:vAlign w:val="bottom"/>
            <w:hideMark/>
          </w:tcPr>
          <w:p w14:paraId="72DAF4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c>
          <w:tcPr>
            <w:tcW w:w="1045" w:type="dxa"/>
            <w:tcBorders>
              <w:top w:val="single" w:sz="4" w:space="0" w:color="auto"/>
              <w:left w:val="nil"/>
              <w:bottom w:val="single" w:sz="4" w:space="0" w:color="auto"/>
              <w:right w:val="single" w:sz="4" w:space="0" w:color="auto"/>
            </w:tcBorders>
            <w:noWrap/>
            <w:vAlign w:val="bottom"/>
            <w:hideMark/>
          </w:tcPr>
          <w:p w14:paraId="54D9162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1035" w:type="dxa"/>
            <w:tcBorders>
              <w:top w:val="single" w:sz="4" w:space="0" w:color="auto"/>
              <w:left w:val="nil"/>
              <w:bottom w:val="single" w:sz="4" w:space="0" w:color="auto"/>
              <w:right w:val="single" w:sz="4" w:space="0" w:color="auto"/>
            </w:tcBorders>
            <w:noWrap/>
            <w:vAlign w:val="bottom"/>
            <w:hideMark/>
          </w:tcPr>
          <w:p w14:paraId="273323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26.7%</w:t>
            </w:r>
          </w:p>
        </w:tc>
      </w:tr>
      <w:tr w:rsidR="00926445" w:rsidRPr="00926445" w14:paraId="03A72FE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382DE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86" w:type="dxa"/>
            <w:tcBorders>
              <w:top w:val="single" w:sz="4" w:space="0" w:color="auto"/>
              <w:left w:val="nil"/>
              <w:bottom w:val="single" w:sz="4" w:space="0" w:color="auto"/>
              <w:right w:val="single" w:sz="4" w:space="0" w:color="auto"/>
            </w:tcBorders>
            <w:noWrap/>
            <w:vAlign w:val="bottom"/>
            <w:hideMark/>
          </w:tcPr>
          <w:p w14:paraId="7EAEBF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28.4%</w:t>
            </w:r>
          </w:p>
        </w:tc>
        <w:tc>
          <w:tcPr>
            <w:tcW w:w="1140" w:type="dxa"/>
            <w:tcBorders>
              <w:top w:val="single" w:sz="4" w:space="0" w:color="auto"/>
              <w:left w:val="nil"/>
              <w:bottom w:val="single" w:sz="4" w:space="0" w:color="auto"/>
              <w:right w:val="single" w:sz="4" w:space="0" w:color="auto"/>
            </w:tcBorders>
            <w:noWrap/>
            <w:vAlign w:val="bottom"/>
            <w:hideMark/>
          </w:tcPr>
          <w:p w14:paraId="10EAF6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940" w:type="dxa"/>
            <w:tcBorders>
              <w:top w:val="single" w:sz="4" w:space="0" w:color="auto"/>
              <w:left w:val="nil"/>
              <w:bottom w:val="single" w:sz="4" w:space="0" w:color="auto"/>
              <w:right w:val="single" w:sz="4" w:space="0" w:color="auto"/>
            </w:tcBorders>
            <w:noWrap/>
            <w:vAlign w:val="bottom"/>
            <w:hideMark/>
          </w:tcPr>
          <w:p w14:paraId="210346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15B0390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 </w:t>
            </w:r>
          </w:p>
        </w:tc>
        <w:tc>
          <w:tcPr>
            <w:tcW w:w="1035" w:type="dxa"/>
            <w:tcBorders>
              <w:top w:val="single" w:sz="4" w:space="0" w:color="auto"/>
              <w:left w:val="nil"/>
              <w:bottom w:val="single" w:sz="4" w:space="0" w:color="auto"/>
              <w:right w:val="single" w:sz="4" w:space="0" w:color="auto"/>
            </w:tcBorders>
            <w:noWrap/>
            <w:vAlign w:val="bottom"/>
            <w:hideMark/>
          </w:tcPr>
          <w:p w14:paraId="2487AA9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1F4ECD6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7EBE8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247 </w:t>
            </w:r>
          </w:p>
        </w:tc>
        <w:tc>
          <w:tcPr>
            <w:tcW w:w="986" w:type="dxa"/>
            <w:tcBorders>
              <w:top w:val="single" w:sz="4" w:space="0" w:color="auto"/>
              <w:left w:val="nil"/>
              <w:bottom w:val="single" w:sz="4" w:space="0" w:color="auto"/>
              <w:right w:val="single" w:sz="4" w:space="0" w:color="auto"/>
            </w:tcBorders>
            <w:noWrap/>
            <w:vAlign w:val="bottom"/>
            <w:hideMark/>
          </w:tcPr>
          <w:p w14:paraId="004FB3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28.5%</w:t>
            </w:r>
          </w:p>
        </w:tc>
        <w:tc>
          <w:tcPr>
            <w:tcW w:w="1140" w:type="dxa"/>
            <w:tcBorders>
              <w:top w:val="single" w:sz="4" w:space="0" w:color="auto"/>
              <w:left w:val="nil"/>
              <w:bottom w:val="single" w:sz="4" w:space="0" w:color="auto"/>
              <w:right w:val="single" w:sz="4" w:space="0" w:color="auto"/>
            </w:tcBorders>
            <w:noWrap/>
            <w:vAlign w:val="bottom"/>
            <w:hideMark/>
          </w:tcPr>
          <w:p w14:paraId="0CAFC9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234 </w:t>
            </w:r>
          </w:p>
        </w:tc>
        <w:tc>
          <w:tcPr>
            <w:tcW w:w="940" w:type="dxa"/>
            <w:tcBorders>
              <w:top w:val="single" w:sz="4" w:space="0" w:color="auto"/>
              <w:left w:val="nil"/>
              <w:bottom w:val="single" w:sz="4" w:space="0" w:color="auto"/>
              <w:right w:val="single" w:sz="4" w:space="0" w:color="auto"/>
            </w:tcBorders>
            <w:noWrap/>
            <w:vAlign w:val="bottom"/>
            <w:hideMark/>
          </w:tcPr>
          <w:p w14:paraId="4ECF64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27.0%</w:t>
            </w:r>
          </w:p>
        </w:tc>
        <w:tc>
          <w:tcPr>
            <w:tcW w:w="1045" w:type="dxa"/>
            <w:tcBorders>
              <w:top w:val="single" w:sz="4" w:space="0" w:color="auto"/>
              <w:left w:val="nil"/>
              <w:bottom w:val="single" w:sz="4" w:space="0" w:color="auto"/>
              <w:right w:val="single" w:sz="4" w:space="0" w:color="auto"/>
            </w:tcBorders>
            <w:noWrap/>
            <w:vAlign w:val="bottom"/>
            <w:hideMark/>
          </w:tcPr>
          <w:p w14:paraId="054B39F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385 </w:t>
            </w:r>
          </w:p>
        </w:tc>
        <w:tc>
          <w:tcPr>
            <w:tcW w:w="1035" w:type="dxa"/>
            <w:tcBorders>
              <w:top w:val="single" w:sz="4" w:space="0" w:color="auto"/>
              <w:left w:val="nil"/>
              <w:bottom w:val="single" w:sz="4" w:space="0" w:color="auto"/>
              <w:right w:val="single" w:sz="4" w:space="0" w:color="auto"/>
            </w:tcBorders>
            <w:noWrap/>
            <w:vAlign w:val="bottom"/>
            <w:hideMark/>
          </w:tcPr>
          <w:p w14:paraId="31FBADF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74FFEBF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09D2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245 </w:t>
            </w:r>
          </w:p>
        </w:tc>
        <w:tc>
          <w:tcPr>
            <w:tcW w:w="986" w:type="dxa"/>
            <w:tcBorders>
              <w:top w:val="single" w:sz="4" w:space="0" w:color="auto"/>
              <w:left w:val="nil"/>
              <w:bottom w:val="single" w:sz="4" w:space="0" w:color="auto"/>
              <w:right w:val="single" w:sz="4" w:space="0" w:color="auto"/>
            </w:tcBorders>
            <w:noWrap/>
            <w:vAlign w:val="bottom"/>
            <w:hideMark/>
          </w:tcPr>
          <w:p w14:paraId="6BE39E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140" w:type="dxa"/>
            <w:tcBorders>
              <w:top w:val="single" w:sz="4" w:space="0" w:color="auto"/>
              <w:left w:val="nil"/>
              <w:bottom w:val="single" w:sz="4" w:space="0" w:color="auto"/>
              <w:right w:val="single" w:sz="4" w:space="0" w:color="auto"/>
            </w:tcBorders>
            <w:noWrap/>
            <w:vAlign w:val="bottom"/>
            <w:hideMark/>
          </w:tcPr>
          <w:p w14:paraId="165585E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 </w:t>
            </w:r>
          </w:p>
        </w:tc>
        <w:tc>
          <w:tcPr>
            <w:tcW w:w="940" w:type="dxa"/>
            <w:tcBorders>
              <w:top w:val="single" w:sz="4" w:space="0" w:color="auto"/>
              <w:left w:val="nil"/>
              <w:bottom w:val="single" w:sz="4" w:space="0" w:color="auto"/>
              <w:right w:val="single" w:sz="4" w:space="0" w:color="auto"/>
            </w:tcBorders>
            <w:noWrap/>
            <w:vAlign w:val="bottom"/>
            <w:hideMark/>
          </w:tcPr>
          <w:p w14:paraId="69FFB10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31.5%</w:t>
            </w:r>
          </w:p>
        </w:tc>
        <w:tc>
          <w:tcPr>
            <w:tcW w:w="1045" w:type="dxa"/>
            <w:tcBorders>
              <w:top w:val="single" w:sz="4" w:space="0" w:color="auto"/>
              <w:left w:val="nil"/>
              <w:bottom w:val="single" w:sz="4" w:space="0" w:color="auto"/>
              <w:right w:val="single" w:sz="4" w:space="0" w:color="auto"/>
            </w:tcBorders>
            <w:noWrap/>
            <w:vAlign w:val="bottom"/>
            <w:hideMark/>
          </w:tcPr>
          <w:p w14:paraId="11377B3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339 </w:t>
            </w:r>
          </w:p>
        </w:tc>
        <w:tc>
          <w:tcPr>
            <w:tcW w:w="1035" w:type="dxa"/>
            <w:tcBorders>
              <w:top w:val="single" w:sz="4" w:space="0" w:color="auto"/>
              <w:left w:val="nil"/>
              <w:bottom w:val="single" w:sz="4" w:space="0" w:color="auto"/>
              <w:right w:val="single" w:sz="4" w:space="0" w:color="auto"/>
            </w:tcBorders>
            <w:noWrap/>
            <w:vAlign w:val="bottom"/>
            <w:hideMark/>
          </w:tcPr>
          <w:p w14:paraId="187FAC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r>
      <w:tr w:rsidR="00926445" w:rsidRPr="00926445" w14:paraId="36AC911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5D87AA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265 </w:t>
            </w:r>
          </w:p>
        </w:tc>
        <w:tc>
          <w:tcPr>
            <w:tcW w:w="986" w:type="dxa"/>
            <w:tcBorders>
              <w:top w:val="single" w:sz="4" w:space="0" w:color="auto"/>
              <w:left w:val="nil"/>
              <w:bottom w:val="single" w:sz="4" w:space="0" w:color="auto"/>
              <w:right w:val="single" w:sz="4" w:space="0" w:color="auto"/>
            </w:tcBorders>
            <w:noWrap/>
            <w:vAlign w:val="bottom"/>
            <w:hideMark/>
          </w:tcPr>
          <w:p w14:paraId="5CE601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140" w:type="dxa"/>
            <w:tcBorders>
              <w:top w:val="single" w:sz="4" w:space="0" w:color="auto"/>
              <w:left w:val="nil"/>
              <w:bottom w:val="single" w:sz="4" w:space="0" w:color="auto"/>
              <w:right w:val="single" w:sz="4" w:space="0" w:color="auto"/>
            </w:tcBorders>
            <w:noWrap/>
            <w:vAlign w:val="bottom"/>
            <w:hideMark/>
          </w:tcPr>
          <w:p w14:paraId="7EE2EA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263 </w:t>
            </w:r>
          </w:p>
        </w:tc>
        <w:tc>
          <w:tcPr>
            <w:tcW w:w="940" w:type="dxa"/>
            <w:tcBorders>
              <w:top w:val="single" w:sz="4" w:space="0" w:color="auto"/>
              <w:left w:val="nil"/>
              <w:bottom w:val="single" w:sz="4" w:space="0" w:color="auto"/>
              <w:right w:val="single" w:sz="4" w:space="0" w:color="auto"/>
            </w:tcBorders>
            <w:noWrap/>
            <w:vAlign w:val="bottom"/>
            <w:hideMark/>
          </w:tcPr>
          <w:p w14:paraId="6257BB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045" w:type="dxa"/>
            <w:tcBorders>
              <w:top w:val="single" w:sz="4" w:space="0" w:color="auto"/>
              <w:left w:val="nil"/>
              <w:bottom w:val="single" w:sz="4" w:space="0" w:color="auto"/>
              <w:right w:val="single" w:sz="4" w:space="0" w:color="auto"/>
            </w:tcBorders>
            <w:noWrap/>
            <w:vAlign w:val="bottom"/>
            <w:hideMark/>
          </w:tcPr>
          <w:p w14:paraId="5AD0748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 </w:t>
            </w:r>
          </w:p>
        </w:tc>
        <w:tc>
          <w:tcPr>
            <w:tcW w:w="1035" w:type="dxa"/>
            <w:tcBorders>
              <w:top w:val="single" w:sz="4" w:space="0" w:color="auto"/>
              <w:left w:val="nil"/>
              <w:bottom w:val="single" w:sz="4" w:space="0" w:color="auto"/>
              <w:right w:val="single" w:sz="4" w:space="0" w:color="auto"/>
            </w:tcBorders>
            <w:noWrap/>
            <w:vAlign w:val="bottom"/>
            <w:hideMark/>
          </w:tcPr>
          <w:p w14:paraId="0A13DA5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37.1%</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w:t>
      </w:r>
      <w:proofErr w:type="gramStart"/>
      <w:r w:rsidR="0041359F" w:rsidRPr="0041359F">
        <w:rPr>
          <w:rFonts w:cs="標楷體" w:hint="eastAsia"/>
          <w:color w:val="auto"/>
          <w:szCs w:val="27"/>
        </w:rPr>
        <w:t>期間，</w:t>
      </w:r>
      <w:proofErr w:type="gramEnd"/>
      <w:r w:rsidR="0041359F" w:rsidRPr="0041359F">
        <w:rPr>
          <w:rFonts w:cs="標楷體" w:hint="eastAsia"/>
          <w:color w:val="auto"/>
          <w:szCs w:val="27"/>
        </w:rPr>
        <w:t>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乘客中，「五次以上」乘客占比較高，多數月份約介於四成上下，顯示高頻搭乘者為重要使用族群之一；相較之下，「僅一次」及「二至四次」乘客人數多數月份則維持於相對接近之範圍，整體變動幅度較小。</w:t>
      </w:r>
    </w:p>
    <w:p w14:paraId="7E338378" w14:textId="3D6DB5ED"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進一步觀察，「五次以上」乘客人數於分析期間波動較為明顯，最高值出現在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4</w:t>
      </w:r>
      <w:r w:rsidRPr="0041359F">
        <w:rPr>
          <w:rFonts w:cs="標楷體" w:hint="eastAsia"/>
          <w:color w:val="auto"/>
          <w:szCs w:val="27"/>
        </w:rPr>
        <w:t>月，為</w:t>
      </w:r>
      <w:r w:rsidRPr="0041359F">
        <w:rPr>
          <w:rFonts w:cs="標楷體" w:hint="eastAsia"/>
          <w:color w:val="auto"/>
          <w:szCs w:val="27"/>
        </w:rPr>
        <w:t>385</w:t>
      </w:r>
      <w:r w:rsidRPr="0041359F">
        <w:rPr>
          <w:rFonts w:cs="標楷體" w:hint="eastAsia"/>
          <w:color w:val="auto"/>
          <w:szCs w:val="27"/>
        </w:rPr>
        <w:t>人，最低值則出現在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月，為</w:t>
      </w:r>
      <w:r w:rsidRPr="0041359F">
        <w:rPr>
          <w:rFonts w:cs="標楷體" w:hint="eastAsia"/>
          <w:color w:val="auto"/>
          <w:szCs w:val="27"/>
        </w:rPr>
        <w:t>199</w:t>
      </w:r>
      <w:r w:rsidRPr="0041359F">
        <w:rPr>
          <w:rFonts w:cs="標楷體" w:hint="eastAsia"/>
          <w:color w:val="auto"/>
          <w:szCs w:val="27"/>
        </w:rPr>
        <w:t>人；「二至四次」乘客亦於</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月升至</w:t>
      </w:r>
      <w:r w:rsidRPr="0041359F">
        <w:rPr>
          <w:rFonts w:cs="標楷體" w:hint="eastAsia"/>
          <w:color w:val="auto"/>
          <w:szCs w:val="27"/>
        </w:rPr>
        <w:t>307</w:t>
      </w:r>
      <w:r w:rsidRPr="0041359F">
        <w:rPr>
          <w:rFonts w:cs="標楷體" w:hint="eastAsia"/>
          <w:color w:val="auto"/>
          <w:szCs w:val="27"/>
        </w:rPr>
        <w:t>人，顯示不同搭乘頻率族群於部分月份可能出現明顯結構變化。此類變化可能與寒暑假、春節、返鄉及通勤需求等因素有關，但尚未呈現一致之固定季節規律。</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70" w:name="_toc_manual_21"/>
      <w:r w:rsidRPr="00610647">
        <w:rPr>
          <w:rFonts w:eastAsia="標楷體" w:hint="eastAsia"/>
          <w:b/>
          <w:color w:val="auto"/>
          <w:sz w:val="24"/>
          <w:szCs w:val="27"/>
        </w:rPr>
        <w:t xml:space="preserve"> </w:t>
      </w:r>
      <w:bookmarkStart w:id="71" w:name="_Toc238609242"/>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東縣公路客運平均每日使用次數及其族群分布</w:t>
      </w:r>
      <w:bookmarkEnd w:id="70"/>
      <w:bookmarkEnd w:id="71"/>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6199F0F2">
            <wp:extent cx="5274310" cy="1758315"/>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315"/>
                    </a:xfrm>
                    <a:prstGeom prst="rect">
                      <a:avLst/>
                    </a:prstGeom>
                  </pic:spPr>
                </pic:pic>
              </a:graphicData>
            </a:graphic>
          </wp:inline>
        </w:drawing>
      </w:r>
    </w:p>
    <w:p w14:paraId="0DB49A93" w14:textId="4A94542D" w:rsidR="00E618A5" w:rsidRPr="00926445" w:rsidRDefault="00926445" w:rsidP="00ED7EB8">
      <w:pPr>
        <w:pStyle w:val="af7"/>
        <w:spacing w:beforeLines="50" w:before="180" w:afterLines="50" w:after="180" w:line="240" w:lineRule="atLeast"/>
        <w:jc w:val="center"/>
        <w:rPr>
          <w:rFonts w:cs="標楷體"/>
          <w:sz w:val="24"/>
          <w:szCs w:val="32"/>
        </w:rPr>
      </w:pPr>
      <w:bookmarkStart w:id="72" w:name="_Ref239705486"/>
      <w:r w:rsidRPr="00926445">
        <w:rPr>
          <w:rFonts w:hint="eastAsia"/>
          <w:sz w:val="24"/>
          <w:szCs w:val="24"/>
        </w:rPr>
        <w:t>圖</w:t>
      </w:r>
      <w:r w:rsidRPr="0092644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4</w:t>
      </w:r>
      <w:r w:rsidR="00990B83">
        <w:rPr>
          <w:sz w:val="24"/>
          <w:szCs w:val="24"/>
        </w:rPr>
        <w:fldChar w:fldCharType="end"/>
      </w:r>
      <w:bookmarkEnd w:id="72"/>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4C2B2557" w:rsidR="00926445" w:rsidRPr="00926445" w:rsidRDefault="00926445" w:rsidP="00ED7EB8">
      <w:pPr>
        <w:pStyle w:val="af7"/>
        <w:keepNext/>
        <w:spacing w:beforeLines="50" w:before="180" w:afterLines="50" w:after="180" w:line="240" w:lineRule="atLeast"/>
        <w:jc w:val="center"/>
        <w:rPr>
          <w:sz w:val="24"/>
          <w:szCs w:val="24"/>
        </w:rPr>
      </w:pPr>
      <w:bookmarkStart w:id="73" w:name="_Ref239705498"/>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73"/>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5"/>
        <w:gridCol w:w="2765"/>
        <w:gridCol w:w="2766"/>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DA7C4A" w:rsidRPr="0041359F" w14:paraId="5B575480" w14:textId="77777777" w:rsidTr="00DA7C4A">
        <w:trPr>
          <w:trHeight w:val="380"/>
          <w:jc w:val="center"/>
        </w:trPr>
        <w:tc>
          <w:tcPr>
            <w:tcW w:w="1666" w:type="pct"/>
            <w:noWrap/>
            <w:vAlign w:val="center"/>
            <w:hideMark/>
          </w:tcPr>
          <w:p w14:paraId="74DDF2B1" w14:textId="7C9DE94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01B45AD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4.62</w:t>
            </w:r>
          </w:p>
        </w:tc>
        <w:tc>
          <w:tcPr>
            <w:tcW w:w="1667" w:type="pct"/>
            <w:noWrap/>
            <w:vAlign w:val="center"/>
            <w:hideMark/>
          </w:tcPr>
          <w:p w14:paraId="7F0E1C0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0.154</w:t>
            </w:r>
          </w:p>
        </w:tc>
      </w:tr>
      <w:tr w:rsidR="00DA7C4A" w:rsidRPr="0041359F" w14:paraId="470FEC78" w14:textId="77777777" w:rsidTr="00DA7C4A">
        <w:trPr>
          <w:trHeight w:val="380"/>
          <w:jc w:val="center"/>
        </w:trPr>
        <w:tc>
          <w:tcPr>
            <w:tcW w:w="1666" w:type="pct"/>
            <w:noWrap/>
            <w:vAlign w:val="center"/>
            <w:hideMark/>
          </w:tcPr>
          <w:p w14:paraId="40519661" w14:textId="35F83BA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1502E5F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4.05</w:t>
            </w:r>
          </w:p>
        </w:tc>
        <w:tc>
          <w:tcPr>
            <w:tcW w:w="1667" w:type="pct"/>
            <w:noWrap/>
            <w:vAlign w:val="center"/>
            <w:hideMark/>
          </w:tcPr>
          <w:p w14:paraId="2B3C658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2FA40D3D" w14:textId="77777777" w:rsidTr="00DA7C4A">
        <w:trPr>
          <w:trHeight w:val="380"/>
          <w:jc w:val="center"/>
        </w:trPr>
        <w:tc>
          <w:tcPr>
            <w:tcW w:w="1666" w:type="pct"/>
            <w:noWrap/>
            <w:vAlign w:val="center"/>
            <w:hideMark/>
          </w:tcPr>
          <w:p w14:paraId="48EF9E2C" w14:textId="0A8206A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2B93CB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4.18</w:t>
            </w:r>
          </w:p>
        </w:tc>
        <w:tc>
          <w:tcPr>
            <w:tcW w:w="1667" w:type="pct"/>
            <w:noWrap/>
            <w:vAlign w:val="center"/>
            <w:hideMark/>
          </w:tcPr>
          <w:p w14:paraId="5FE0017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0.135</w:t>
            </w:r>
          </w:p>
        </w:tc>
      </w:tr>
      <w:tr w:rsidR="00DA7C4A" w:rsidRPr="0041359F" w14:paraId="1A613184" w14:textId="77777777" w:rsidTr="00DA7C4A">
        <w:trPr>
          <w:trHeight w:val="380"/>
          <w:jc w:val="center"/>
        </w:trPr>
        <w:tc>
          <w:tcPr>
            <w:tcW w:w="1666" w:type="pct"/>
            <w:noWrap/>
            <w:vAlign w:val="center"/>
            <w:hideMark/>
          </w:tcPr>
          <w:p w14:paraId="439CB80C" w14:textId="17BF51A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6E4D8AD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5.26</w:t>
            </w:r>
          </w:p>
        </w:tc>
        <w:tc>
          <w:tcPr>
            <w:tcW w:w="1667" w:type="pct"/>
            <w:noWrap/>
            <w:vAlign w:val="center"/>
            <w:hideMark/>
          </w:tcPr>
          <w:p w14:paraId="2FD5065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0.175</w:t>
            </w:r>
          </w:p>
        </w:tc>
      </w:tr>
      <w:tr w:rsidR="00DA7C4A" w:rsidRPr="0041359F" w14:paraId="63C07CB2" w14:textId="77777777" w:rsidTr="00DA7C4A">
        <w:trPr>
          <w:trHeight w:val="380"/>
          <w:jc w:val="center"/>
        </w:trPr>
        <w:tc>
          <w:tcPr>
            <w:tcW w:w="1666" w:type="pct"/>
            <w:noWrap/>
            <w:vAlign w:val="center"/>
            <w:hideMark/>
          </w:tcPr>
          <w:p w14:paraId="1DB55CBD" w14:textId="547EEDB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51B3729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4.91</w:t>
            </w:r>
          </w:p>
        </w:tc>
        <w:tc>
          <w:tcPr>
            <w:tcW w:w="1667" w:type="pct"/>
            <w:noWrap/>
            <w:vAlign w:val="center"/>
            <w:hideMark/>
          </w:tcPr>
          <w:p w14:paraId="6C3FB99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0.158</w:t>
            </w:r>
          </w:p>
        </w:tc>
      </w:tr>
      <w:tr w:rsidR="00DA7C4A" w:rsidRPr="0041359F" w14:paraId="090D6ECC" w14:textId="77777777" w:rsidTr="00DA7C4A">
        <w:trPr>
          <w:trHeight w:val="380"/>
          <w:jc w:val="center"/>
        </w:trPr>
        <w:tc>
          <w:tcPr>
            <w:tcW w:w="1666" w:type="pct"/>
            <w:noWrap/>
            <w:vAlign w:val="center"/>
            <w:hideMark/>
          </w:tcPr>
          <w:p w14:paraId="6A7CAF93" w14:textId="4111061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4C687E5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4.82</w:t>
            </w:r>
          </w:p>
        </w:tc>
        <w:tc>
          <w:tcPr>
            <w:tcW w:w="1667" w:type="pct"/>
            <w:noWrap/>
            <w:vAlign w:val="center"/>
            <w:hideMark/>
          </w:tcPr>
          <w:p w14:paraId="5FC44EB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34A0173A" w14:textId="77777777" w:rsidTr="00DA7C4A">
        <w:trPr>
          <w:trHeight w:val="380"/>
          <w:jc w:val="center"/>
        </w:trPr>
        <w:tc>
          <w:tcPr>
            <w:tcW w:w="1666" w:type="pct"/>
            <w:noWrap/>
            <w:vAlign w:val="center"/>
            <w:hideMark/>
          </w:tcPr>
          <w:p w14:paraId="63603C2F" w14:textId="7B7E712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7DF1BA2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5.25</w:t>
            </w:r>
          </w:p>
        </w:tc>
        <w:tc>
          <w:tcPr>
            <w:tcW w:w="1667" w:type="pct"/>
            <w:noWrap/>
            <w:vAlign w:val="center"/>
            <w:hideMark/>
          </w:tcPr>
          <w:p w14:paraId="3D7E62C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63597955" w14:textId="77777777" w:rsidTr="00DA7C4A">
        <w:trPr>
          <w:trHeight w:val="380"/>
          <w:jc w:val="center"/>
        </w:trPr>
        <w:tc>
          <w:tcPr>
            <w:tcW w:w="1666" w:type="pct"/>
            <w:noWrap/>
            <w:vAlign w:val="center"/>
            <w:hideMark/>
          </w:tcPr>
          <w:p w14:paraId="7CA7E8FA" w14:textId="02664F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0A1C8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4.34</w:t>
            </w:r>
          </w:p>
        </w:tc>
        <w:tc>
          <w:tcPr>
            <w:tcW w:w="1667" w:type="pct"/>
            <w:noWrap/>
            <w:vAlign w:val="center"/>
            <w:hideMark/>
          </w:tcPr>
          <w:p w14:paraId="69830B68" w14:textId="4DD70C8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w:t>
            </w:r>
            <w:r w:rsidRPr="0041359F">
              <w:rPr>
                <w:rFonts w:cs="Times New Roman" w:hint="eastAsia"/>
                <w:color w:val="000000"/>
                <w:kern w:val="0"/>
                <w14:ligatures w14:val="none"/>
              </w:rPr>
              <w:t>0</w:t>
            </w:r>
          </w:p>
        </w:tc>
      </w:tr>
      <w:tr w:rsidR="00DA7C4A" w:rsidRPr="0041359F" w14:paraId="7711E545" w14:textId="77777777" w:rsidTr="00DA7C4A">
        <w:trPr>
          <w:trHeight w:val="380"/>
          <w:jc w:val="center"/>
        </w:trPr>
        <w:tc>
          <w:tcPr>
            <w:tcW w:w="1666" w:type="pct"/>
            <w:noWrap/>
            <w:vAlign w:val="center"/>
            <w:hideMark/>
          </w:tcPr>
          <w:p w14:paraId="7A90A8F0" w14:textId="14D2E83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1AADF11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4.46</w:t>
            </w:r>
          </w:p>
        </w:tc>
        <w:tc>
          <w:tcPr>
            <w:tcW w:w="1667" w:type="pct"/>
            <w:noWrap/>
            <w:vAlign w:val="center"/>
            <w:hideMark/>
          </w:tcPr>
          <w:p w14:paraId="1E0669B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0.159</w:t>
            </w:r>
          </w:p>
        </w:tc>
      </w:tr>
      <w:tr w:rsidR="00DA7C4A" w:rsidRPr="0041359F" w14:paraId="1F114567" w14:textId="77777777" w:rsidTr="00DA7C4A">
        <w:trPr>
          <w:trHeight w:val="380"/>
          <w:jc w:val="center"/>
        </w:trPr>
        <w:tc>
          <w:tcPr>
            <w:tcW w:w="1666" w:type="pct"/>
            <w:noWrap/>
            <w:vAlign w:val="center"/>
            <w:hideMark/>
          </w:tcPr>
          <w:p w14:paraId="049581D4" w14:textId="1D33003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76A25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5.33</w:t>
            </w:r>
          </w:p>
        </w:tc>
        <w:tc>
          <w:tcPr>
            <w:tcW w:w="1667" w:type="pct"/>
            <w:noWrap/>
            <w:vAlign w:val="center"/>
            <w:hideMark/>
          </w:tcPr>
          <w:p w14:paraId="4DADC95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0.172</w:t>
            </w:r>
          </w:p>
        </w:tc>
      </w:tr>
      <w:tr w:rsidR="00DA7C4A" w:rsidRPr="0041359F" w14:paraId="52952EB4" w14:textId="77777777" w:rsidTr="00DA7C4A">
        <w:trPr>
          <w:trHeight w:val="380"/>
          <w:jc w:val="center"/>
        </w:trPr>
        <w:tc>
          <w:tcPr>
            <w:tcW w:w="1666" w:type="pct"/>
            <w:noWrap/>
            <w:vAlign w:val="center"/>
            <w:hideMark/>
          </w:tcPr>
          <w:p w14:paraId="74A0487F" w14:textId="2348EB8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440A264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4.89</w:t>
            </w:r>
          </w:p>
        </w:tc>
        <w:tc>
          <w:tcPr>
            <w:tcW w:w="1667" w:type="pct"/>
            <w:noWrap/>
            <w:vAlign w:val="center"/>
            <w:hideMark/>
          </w:tcPr>
          <w:p w14:paraId="546C1CA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0.163</w:t>
            </w:r>
          </w:p>
        </w:tc>
      </w:tr>
      <w:tr w:rsidR="00DA7C4A" w:rsidRPr="0041359F" w14:paraId="64D51EF3" w14:textId="77777777" w:rsidTr="00DA7C4A">
        <w:trPr>
          <w:trHeight w:val="380"/>
          <w:jc w:val="center"/>
        </w:trPr>
        <w:tc>
          <w:tcPr>
            <w:tcW w:w="1666" w:type="pct"/>
            <w:noWrap/>
            <w:vAlign w:val="center"/>
            <w:hideMark/>
          </w:tcPr>
          <w:p w14:paraId="402D9405" w14:textId="4B80A81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2F945B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5.24</w:t>
            </w:r>
          </w:p>
        </w:tc>
        <w:tc>
          <w:tcPr>
            <w:tcW w:w="1667" w:type="pct"/>
            <w:noWrap/>
            <w:vAlign w:val="center"/>
            <w:hideMark/>
          </w:tcPr>
          <w:p w14:paraId="69866B7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7456E92B" w14:textId="77777777" w:rsidTr="00DA7C4A">
        <w:trPr>
          <w:trHeight w:val="380"/>
          <w:jc w:val="center"/>
        </w:trPr>
        <w:tc>
          <w:tcPr>
            <w:tcW w:w="1666" w:type="pct"/>
            <w:noWrap/>
            <w:vAlign w:val="center"/>
            <w:hideMark/>
          </w:tcPr>
          <w:p w14:paraId="5F113A00" w14:textId="1C39104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32EAF72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4.98</w:t>
            </w:r>
          </w:p>
        </w:tc>
        <w:tc>
          <w:tcPr>
            <w:tcW w:w="1667" w:type="pct"/>
            <w:noWrap/>
            <w:vAlign w:val="center"/>
            <w:hideMark/>
          </w:tcPr>
          <w:p w14:paraId="7B18753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0.166</w:t>
            </w:r>
          </w:p>
        </w:tc>
      </w:tr>
      <w:tr w:rsidR="00DA7C4A" w:rsidRPr="0041359F" w14:paraId="66998174" w14:textId="77777777" w:rsidTr="00DA7C4A">
        <w:trPr>
          <w:trHeight w:val="380"/>
          <w:jc w:val="center"/>
        </w:trPr>
        <w:tc>
          <w:tcPr>
            <w:tcW w:w="1666" w:type="pct"/>
            <w:noWrap/>
            <w:vAlign w:val="center"/>
            <w:hideMark/>
          </w:tcPr>
          <w:p w14:paraId="453C1D6B" w14:textId="026C8F0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2E41630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3.99</w:t>
            </w:r>
          </w:p>
        </w:tc>
        <w:tc>
          <w:tcPr>
            <w:tcW w:w="1667" w:type="pct"/>
            <w:noWrap/>
            <w:vAlign w:val="center"/>
            <w:hideMark/>
          </w:tcPr>
          <w:p w14:paraId="1D8085C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0.129</w:t>
            </w:r>
          </w:p>
        </w:tc>
      </w:tr>
      <w:tr w:rsidR="00DA7C4A" w:rsidRPr="0041359F" w14:paraId="0FE15B1B" w14:textId="77777777" w:rsidTr="00DA7C4A">
        <w:trPr>
          <w:trHeight w:val="380"/>
          <w:jc w:val="center"/>
        </w:trPr>
        <w:tc>
          <w:tcPr>
            <w:tcW w:w="1666" w:type="pct"/>
            <w:noWrap/>
            <w:vAlign w:val="center"/>
            <w:hideMark/>
          </w:tcPr>
          <w:p w14:paraId="2A082EA3" w14:textId="5F64F3F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16F1E1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3.73</w:t>
            </w:r>
          </w:p>
        </w:tc>
        <w:tc>
          <w:tcPr>
            <w:tcW w:w="1667" w:type="pct"/>
            <w:noWrap/>
            <w:vAlign w:val="center"/>
            <w:hideMark/>
          </w:tcPr>
          <w:p w14:paraId="58640359" w14:textId="524F78B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w:t>
            </w:r>
            <w:r w:rsidRPr="0041359F">
              <w:rPr>
                <w:rFonts w:cs="Times New Roman" w:hint="eastAsia"/>
                <w:color w:val="000000"/>
                <w:kern w:val="0"/>
                <w14:ligatures w14:val="none"/>
              </w:rPr>
              <w:t>0</w:t>
            </w:r>
          </w:p>
        </w:tc>
      </w:tr>
      <w:tr w:rsidR="00DA7C4A" w:rsidRPr="0041359F" w14:paraId="3981E5C6" w14:textId="77777777" w:rsidTr="00DA7C4A">
        <w:trPr>
          <w:trHeight w:val="380"/>
          <w:jc w:val="center"/>
        </w:trPr>
        <w:tc>
          <w:tcPr>
            <w:tcW w:w="1666" w:type="pct"/>
            <w:noWrap/>
            <w:vAlign w:val="center"/>
            <w:hideMark/>
          </w:tcPr>
          <w:p w14:paraId="5370D241" w14:textId="3C671E4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2A3EF15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5.53</w:t>
            </w:r>
          </w:p>
        </w:tc>
        <w:tc>
          <w:tcPr>
            <w:tcW w:w="1667" w:type="pct"/>
            <w:noWrap/>
            <w:vAlign w:val="center"/>
            <w:hideMark/>
          </w:tcPr>
          <w:p w14:paraId="4BBD556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0.184</w:t>
            </w:r>
          </w:p>
        </w:tc>
      </w:tr>
      <w:tr w:rsidR="00DA7C4A" w:rsidRPr="0041359F" w14:paraId="61986D51" w14:textId="77777777" w:rsidTr="00DA7C4A">
        <w:trPr>
          <w:trHeight w:val="380"/>
          <w:jc w:val="center"/>
        </w:trPr>
        <w:tc>
          <w:tcPr>
            <w:tcW w:w="1666" w:type="pct"/>
            <w:noWrap/>
            <w:vAlign w:val="center"/>
            <w:hideMark/>
          </w:tcPr>
          <w:p w14:paraId="4758ADDA" w14:textId="29553EF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301264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5.35</w:t>
            </w:r>
          </w:p>
        </w:tc>
        <w:tc>
          <w:tcPr>
            <w:tcW w:w="1667" w:type="pct"/>
            <w:noWrap/>
            <w:vAlign w:val="center"/>
            <w:hideMark/>
          </w:tcPr>
          <w:p w14:paraId="4CAB458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0.173</w:t>
            </w:r>
          </w:p>
        </w:tc>
      </w:tr>
      <w:tr w:rsidR="00DA7C4A" w:rsidRPr="0041359F" w14:paraId="1FD494B8" w14:textId="77777777" w:rsidTr="00DA7C4A">
        <w:trPr>
          <w:trHeight w:val="380"/>
          <w:jc w:val="center"/>
        </w:trPr>
        <w:tc>
          <w:tcPr>
            <w:tcW w:w="1666" w:type="pct"/>
            <w:noWrap/>
            <w:vAlign w:val="center"/>
            <w:hideMark/>
          </w:tcPr>
          <w:p w14:paraId="2FA6AB9F" w14:textId="61AE3E2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2812BB8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3.93</w:t>
            </w:r>
          </w:p>
        </w:tc>
        <w:tc>
          <w:tcPr>
            <w:tcW w:w="1667" w:type="pct"/>
            <w:noWrap/>
            <w:vAlign w:val="center"/>
            <w:hideMark/>
          </w:tcPr>
          <w:p w14:paraId="71B09F1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44B95045" w14:textId="77777777" w:rsidTr="00DA7C4A">
        <w:trPr>
          <w:trHeight w:val="380"/>
          <w:jc w:val="center"/>
        </w:trPr>
        <w:tc>
          <w:tcPr>
            <w:tcW w:w="1666" w:type="pct"/>
            <w:noWrap/>
            <w:vAlign w:val="center"/>
            <w:hideMark/>
          </w:tcPr>
          <w:p w14:paraId="395A1C74" w14:textId="2B1705A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51025E2A" w14:textId="61BAB21A"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w:t>
            </w:r>
            <w:r w:rsidRPr="0041359F">
              <w:rPr>
                <w:rFonts w:cs="Times New Roman" w:hint="eastAsia"/>
                <w:color w:val="000000"/>
                <w:kern w:val="0"/>
                <w14:ligatures w14:val="none"/>
              </w:rPr>
              <w:t>0</w:t>
            </w:r>
          </w:p>
        </w:tc>
        <w:tc>
          <w:tcPr>
            <w:tcW w:w="1667" w:type="pct"/>
            <w:noWrap/>
            <w:vAlign w:val="center"/>
            <w:hideMark/>
          </w:tcPr>
          <w:p w14:paraId="62E34AC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0.168</w:t>
            </w:r>
          </w:p>
        </w:tc>
      </w:tr>
      <w:tr w:rsidR="00DA7C4A" w:rsidRPr="0041359F" w14:paraId="1753CB87" w14:textId="77777777" w:rsidTr="00DA7C4A">
        <w:trPr>
          <w:trHeight w:val="380"/>
          <w:jc w:val="center"/>
        </w:trPr>
        <w:tc>
          <w:tcPr>
            <w:tcW w:w="1666" w:type="pct"/>
            <w:noWrap/>
            <w:vAlign w:val="center"/>
            <w:hideMark/>
          </w:tcPr>
          <w:p w14:paraId="144950F1" w14:textId="63144BD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BB2FA4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4.55</w:t>
            </w:r>
          </w:p>
        </w:tc>
        <w:tc>
          <w:tcPr>
            <w:tcW w:w="1667" w:type="pct"/>
            <w:noWrap/>
            <w:vAlign w:val="center"/>
            <w:hideMark/>
          </w:tcPr>
          <w:p w14:paraId="7C384F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0.147</w:t>
            </w:r>
          </w:p>
        </w:tc>
      </w:tr>
      <w:tr w:rsidR="00DA7C4A" w:rsidRPr="0041359F" w14:paraId="00AD4677" w14:textId="77777777" w:rsidTr="00DA7C4A">
        <w:trPr>
          <w:trHeight w:val="380"/>
          <w:jc w:val="center"/>
        </w:trPr>
        <w:tc>
          <w:tcPr>
            <w:tcW w:w="1666" w:type="pct"/>
            <w:noWrap/>
            <w:vAlign w:val="center"/>
            <w:hideMark/>
          </w:tcPr>
          <w:p w14:paraId="04B3AD39" w14:textId="6A76AC2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7C09198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3.44</w:t>
            </w:r>
          </w:p>
        </w:tc>
        <w:tc>
          <w:tcPr>
            <w:tcW w:w="1667" w:type="pct"/>
            <w:noWrap/>
            <w:vAlign w:val="center"/>
            <w:hideMark/>
          </w:tcPr>
          <w:p w14:paraId="042453B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0.123</w:t>
            </w:r>
          </w:p>
        </w:tc>
      </w:tr>
      <w:tr w:rsidR="00DA7C4A" w:rsidRPr="0041359F" w14:paraId="1AD4D425" w14:textId="77777777" w:rsidTr="00DA7C4A">
        <w:trPr>
          <w:trHeight w:val="380"/>
          <w:jc w:val="center"/>
        </w:trPr>
        <w:tc>
          <w:tcPr>
            <w:tcW w:w="1666" w:type="pct"/>
            <w:noWrap/>
            <w:vAlign w:val="center"/>
            <w:hideMark/>
          </w:tcPr>
          <w:p w14:paraId="1274FDAD" w14:textId="592C5D22"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2D34A36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5.18</w:t>
            </w:r>
          </w:p>
        </w:tc>
        <w:tc>
          <w:tcPr>
            <w:tcW w:w="1667" w:type="pct"/>
            <w:noWrap/>
            <w:vAlign w:val="center"/>
            <w:hideMark/>
          </w:tcPr>
          <w:p w14:paraId="576D655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0.167</w:t>
            </w:r>
          </w:p>
        </w:tc>
      </w:tr>
      <w:tr w:rsidR="00DA7C4A" w:rsidRPr="0041359F" w14:paraId="3CD63D37" w14:textId="77777777" w:rsidTr="00DA7C4A">
        <w:trPr>
          <w:trHeight w:val="380"/>
          <w:jc w:val="center"/>
        </w:trPr>
        <w:tc>
          <w:tcPr>
            <w:tcW w:w="1666" w:type="pct"/>
            <w:noWrap/>
            <w:vAlign w:val="center"/>
            <w:hideMark/>
          </w:tcPr>
          <w:p w14:paraId="71DB4709" w14:textId="77C217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04411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4.84</w:t>
            </w:r>
          </w:p>
        </w:tc>
        <w:tc>
          <w:tcPr>
            <w:tcW w:w="1667" w:type="pct"/>
            <w:noWrap/>
            <w:vAlign w:val="center"/>
            <w:hideMark/>
          </w:tcPr>
          <w:p w14:paraId="50D9567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5BD7B05B" w14:textId="77777777" w:rsidTr="00DA7C4A">
        <w:trPr>
          <w:trHeight w:val="380"/>
          <w:jc w:val="center"/>
        </w:trPr>
        <w:tc>
          <w:tcPr>
            <w:tcW w:w="1666" w:type="pct"/>
            <w:noWrap/>
            <w:vAlign w:val="center"/>
            <w:hideMark/>
          </w:tcPr>
          <w:p w14:paraId="01F72CBE" w14:textId="70142B1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027C2CA0" w14:textId="4890452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w:t>
            </w:r>
            <w:r w:rsidRPr="0041359F">
              <w:rPr>
                <w:rFonts w:cs="Times New Roman" w:hint="eastAsia"/>
                <w:color w:val="000000"/>
                <w:kern w:val="0"/>
                <w14:ligatures w14:val="none"/>
              </w:rPr>
              <w:t>0</w:t>
            </w:r>
          </w:p>
        </w:tc>
        <w:tc>
          <w:tcPr>
            <w:tcW w:w="1667" w:type="pct"/>
            <w:noWrap/>
            <w:vAlign w:val="center"/>
            <w:hideMark/>
          </w:tcPr>
          <w:p w14:paraId="70C8A10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0.155</w:t>
            </w:r>
          </w:p>
        </w:tc>
      </w:tr>
      <w:tr w:rsidR="00DA7C4A" w:rsidRPr="0041359F" w14:paraId="53F67F3A" w14:textId="77777777" w:rsidTr="00DA7C4A">
        <w:trPr>
          <w:trHeight w:val="380"/>
          <w:jc w:val="center"/>
        </w:trPr>
        <w:tc>
          <w:tcPr>
            <w:tcW w:w="1666" w:type="pct"/>
            <w:noWrap/>
            <w:vAlign w:val="center"/>
            <w:hideMark/>
          </w:tcPr>
          <w:p w14:paraId="7C958B9D" w14:textId="45B0950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101A103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4.86</w:t>
            </w:r>
          </w:p>
        </w:tc>
        <w:tc>
          <w:tcPr>
            <w:tcW w:w="1667" w:type="pct"/>
            <w:noWrap/>
            <w:vAlign w:val="center"/>
            <w:hideMark/>
          </w:tcPr>
          <w:p w14:paraId="52EC72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0.162</w:t>
            </w:r>
          </w:p>
        </w:tc>
      </w:tr>
    </w:tbl>
    <w:p w14:paraId="1141A3E7" w14:textId="39275ACB"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0.19</w:t>
      </w:r>
      <w:r w:rsidR="0041359F" w:rsidRPr="0041359F">
        <w:rPr>
          <w:rFonts w:cs="標楷體" w:hint="eastAsia"/>
          <w:color w:val="auto"/>
          <w:szCs w:val="27"/>
        </w:rPr>
        <w:t>次</w:t>
      </w:r>
      <w:proofErr w:type="gramStart"/>
      <w:r w:rsidR="0041359F" w:rsidRPr="0041359F">
        <w:rPr>
          <w:rFonts w:cs="標楷體" w:hint="eastAsia"/>
          <w:color w:val="auto"/>
          <w:szCs w:val="27"/>
        </w:rPr>
        <w:t>之間</w:t>
      </w:r>
      <w:proofErr w:type="gramEnd"/>
      <w:r w:rsidR="0041359F" w:rsidRPr="0041359F">
        <w:rPr>
          <w:rFonts w:cs="標楷體" w:hint="eastAsia"/>
          <w:color w:val="auto"/>
          <w:szCs w:val="27"/>
        </w:rPr>
        <w:t>，整體</w:t>
      </w:r>
      <w:proofErr w:type="gramStart"/>
      <w:r w:rsidR="0041359F" w:rsidRPr="0041359F">
        <w:rPr>
          <w:rFonts w:cs="標楷體" w:hint="eastAsia"/>
          <w:color w:val="auto"/>
          <w:szCs w:val="27"/>
        </w:rPr>
        <w:t>呈現月別波</w:t>
      </w:r>
      <w:proofErr w:type="gramEnd"/>
      <w:r w:rsidR="0041359F" w:rsidRPr="0041359F">
        <w:rPr>
          <w:rFonts w:cs="標楷體" w:hint="eastAsia"/>
          <w:color w:val="auto"/>
          <w:szCs w:val="27"/>
        </w:rPr>
        <w:t>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月明顯回升，其中</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9</w:t>
      </w:r>
      <w:r w:rsidR="0041359F" w:rsidRPr="0041359F">
        <w:rPr>
          <w:rFonts w:cs="標楷體" w:hint="eastAsia"/>
          <w:color w:val="auto"/>
          <w:szCs w:val="27"/>
        </w:rPr>
        <w:t>月為分析期間最高值，</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8</w:t>
      </w:r>
      <w:r w:rsidR="0041359F" w:rsidRPr="0041359F">
        <w:rPr>
          <w:rFonts w:cs="標楷體" w:hint="eastAsia"/>
          <w:color w:val="auto"/>
          <w:szCs w:val="27"/>
        </w:rPr>
        <w:t>月則為最低值。</w:t>
      </w:r>
      <w:r w:rsidR="0041359F" w:rsidRPr="0041359F">
        <w:rPr>
          <w:rFonts w:cs="標楷體" w:hint="eastAsia"/>
          <w:color w:val="auto"/>
          <w:szCs w:val="27"/>
        </w:rPr>
        <w:t>115</w:t>
      </w:r>
      <w:r w:rsidR="0041359F" w:rsidRPr="0041359F">
        <w:rPr>
          <w:rFonts w:cs="標楷體" w:hint="eastAsia"/>
          <w:color w:val="auto"/>
          <w:szCs w:val="27"/>
        </w:rPr>
        <w:t>年上半年平均每日使用次數仍呈現一定程度起伏，至</w:t>
      </w:r>
      <w:r w:rsidR="0041359F" w:rsidRPr="0041359F">
        <w:rPr>
          <w:rFonts w:cs="標楷體" w:hint="eastAsia"/>
          <w:color w:val="auto"/>
          <w:szCs w:val="27"/>
        </w:rPr>
        <w:t>6</w:t>
      </w:r>
      <w:r w:rsidR="0041359F" w:rsidRPr="0041359F">
        <w:rPr>
          <w:rFonts w:cs="標楷體" w:hint="eastAsia"/>
          <w:color w:val="auto"/>
          <w:szCs w:val="27"/>
        </w:rPr>
        <w:t>月回升至約</w:t>
      </w:r>
      <w:r w:rsidR="0041359F" w:rsidRPr="0041359F">
        <w:rPr>
          <w:rFonts w:cs="標楷體" w:hint="eastAsia"/>
          <w:color w:val="auto"/>
          <w:szCs w:val="27"/>
        </w:rPr>
        <w:t>0.16</w:t>
      </w:r>
      <w:r w:rsidR="0041359F" w:rsidRPr="0041359F">
        <w:rPr>
          <w:rFonts w:cs="標楷體" w:hint="eastAsia"/>
          <w:color w:val="auto"/>
          <w:szCs w:val="27"/>
        </w:rPr>
        <w:t>次。整體而言，</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東縣公路客運使用頻率可能受到季節性旅運需求及特定月份變化影響，但整體仍維持於相對</w:t>
      </w:r>
      <w:r w:rsidR="0041359F" w:rsidRPr="0041359F">
        <w:rPr>
          <w:rFonts w:cs="標楷體" w:hint="eastAsia"/>
          <w:color w:val="auto"/>
          <w:szCs w:val="27"/>
        </w:rPr>
        <w:lastRenderedPageBreak/>
        <w:t>穩定之範圍內。</w:t>
      </w:r>
    </w:p>
    <w:p w14:paraId="57F57102"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3E90D3C4" wp14:editId="6C8199D2">
            <wp:extent cx="5274310" cy="1758315"/>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315"/>
                    </a:xfrm>
                    <a:prstGeom prst="rect">
                      <a:avLst/>
                    </a:prstGeom>
                  </pic:spPr>
                </pic:pic>
              </a:graphicData>
            </a:graphic>
          </wp:inline>
        </w:drawing>
      </w:r>
    </w:p>
    <w:p w14:paraId="208FAEDB" w14:textId="28CADC5A" w:rsidR="00ED7EB8" w:rsidRDefault="00ED7EB8" w:rsidP="00ED7EB8">
      <w:pPr>
        <w:pStyle w:val="af7"/>
        <w:spacing w:beforeLines="50" w:before="180" w:afterLines="50" w:after="180" w:line="240" w:lineRule="atLeast"/>
        <w:jc w:val="center"/>
        <w:rPr>
          <w:sz w:val="24"/>
          <w:szCs w:val="24"/>
        </w:rPr>
      </w:pPr>
      <w:bookmarkStart w:id="74" w:name="_Ref239705788"/>
      <w:r w:rsidRPr="00ED7EB8">
        <w:rPr>
          <w:rFonts w:hint="eastAsia"/>
          <w:sz w:val="24"/>
          <w:szCs w:val="24"/>
        </w:rPr>
        <w:t>圖</w:t>
      </w:r>
      <w:r w:rsidRPr="00ED7EB8">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5</w:t>
      </w:r>
      <w:r w:rsidR="00990B83">
        <w:rPr>
          <w:sz w:val="24"/>
          <w:szCs w:val="24"/>
        </w:rPr>
        <w:fldChar w:fldCharType="end"/>
      </w:r>
      <w:bookmarkEnd w:id="74"/>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35E40C2E" w:rsidR="00ED7EB8" w:rsidRDefault="00ED7EB8" w:rsidP="00ED7EB8">
      <w:pPr>
        <w:pStyle w:val="af7"/>
        <w:keepNext/>
        <w:spacing w:beforeLines="50" w:before="180" w:afterLines="50" w:after="180" w:line="240" w:lineRule="atLeast"/>
        <w:jc w:val="center"/>
        <w:rPr>
          <w:sz w:val="24"/>
          <w:szCs w:val="24"/>
        </w:rPr>
      </w:pPr>
      <w:bookmarkStart w:id="75" w:name="_Ref239705799"/>
      <w:r w:rsidRPr="00ED7EB8">
        <w:rPr>
          <w:rFonts w:hint="eastAsia"/>
          <w:sz w:val="24"/>
          <w:szCs w:val="24"/>
        </w:rPr>
        <w:t>表</w:t>
      </w:r>
      <w:r w:rsidRPr="00ED7EB8">
        <w:rPr>
          <w:rFonts w:hint="eastAsia"/>
          <w:sz w:val="24"/>
          <w:szCs w:val="24"/>
        </w:rPr>
        <w:t xml:space="preserve"> </w:t>
      </w:r>
      <w:r>
        <w:rPr>
          <w:sz w:val="24"/>
          <w:szCs w:val="24"/>
        </w:rPr>
        <w:fldChar w:fldCharType="begin"/>
      </w:r>
      <w:r>
        <w:rPr>
          <w:sz w:val="24"/>
          <w:szCs w:val="24"/>
        </w:rPr>
        <w:instrText xml:space="preserve"> </w:instrText>
      </w:r>
      <w:r>
        <w:rPr>
          <w:rFonts w:hint="eastAsia"/>
          <w:sz w:val="24"/>
          <w:szCs w:val="24"/>
        </w:rPr>
        <w:instrText>STYLEREF 2 \s</w:instrText>
      </w:r>
      <w:r>
        <w:rPr>
          <w:sz w:val="24"/>
          <w:szCs w:val="24"/>
        </w:rPr>
        <w:instrText xml:space="preserve"> </w:instrText>
      </w:r>
      <w:r>
        <w:rPr>
          <w:sz w:val="24"/>
          <w:szCs w:val="24"/>
        </w:rPr>
        <w:fldChar w:fldCharType="separate"/>
      </w:r>
      <w:r w:rsidR="00EC1F40">
        <w:rPr>
          <w:noProof/>
          <w:sz w:val="24"/>
          <w:szCs w:val="24"/>
        </w:rPr>
        <w:t>3.2</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w:instrText>
      </w:r>
      <w:r>
        <w:rPr>
          <w:rFonts w:hint="eastAsia"/>
          <w:sz w:val="24"/>
          <w:szCs w:val="24"/>
        </w:rPr>
        <w:instrText>表</w:instrText>
      </w:r>
      <w:r>
        <w:rPr>
          <w:rFonts w:hint="eastAsia"/>
          <w:sz w:val="24"/>
          <w:szCs w:val="24"/>
        </w:rPr>
        <w:instrText xml:space="preserve"> \* ARABIC \s 2</w:instrText>
      </w:r>
      <w:r>
        <w:rPr>
          <w:sz w:val="24"/>
          <w:szCs w:val="24"/>
        </w:rPr>
        <w:instrText xml:space="preserve"> </w:instrText>
      </w:r>
      <w:r>
        <w:rPr>
          <w:sz w:val="24"/>
          <w:szCs w:val="24"/>
        </w:rPr>
        <w:fldChar w:fldCharType="separate"/>
      </w:r>
      <w:r w:rsidR="00EC1F40">
        <w:rPr>
          <w:noProof/>
          <w:sz w:val="24"/>
          <w:szCs w:val="24"/>
        </w:rPr>
        <w:t>5</w:t>
      </w:r>
      <w:r>
        <w:rPr>
          <w:sz w:val="24"/>
          <w:szCs w:val="24"/>
        </w:rPr>
        <w:fldChar w:fldCharType="end"/>
      </w:r>
      <w:bookmarkEnd w:id="75"/>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6C0D77">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bl>
    <w:p w14:paraId="22622BE7"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35.8%</w:t>
      </w:r>
      <w:r w:rsidR="00DA7C4A" w:rsidRPr="00DA7C4A">
        <w:rPr>
          <w:rFonts w:cs="標楷體" w:hint="eastAsia"/>
          <w:color w:val="auto"/>
          <w:szCs w:val="27"/>
        </w:rPr>
        <w:t>及</w:t>
      </w:r>
      <w:r w:rsidR="00DA7C4A" w:rsidRPr="00DA7C4A">
        <w:rPr>
          <w:rFonts w:cs="標楷體" w:hint="eastAsia"/>
          <w:color w:val="auto"/>
          <w:szCs w:val="27"/>
        </w:rPr>
        <w:t>24.3%</w:t>
      </w:r>
      <w:r w:rsidR="00DA7C4A" w:rsidRPr="00DA7C4A">
        <w:rPr>
          <w:rFonts w:cs="標楷體" w:hint="eastAsia"/>
          <w:color w:val="auto"/>
          <w:szCs w:val="27"/>
        </w:rPr>
        <w:t>。三類乘客人數均呈現一定程度</w:t>
      </w:r>
      <w:proofErr w:type="gramStart"/>
      <w:r w:rsidR="00DA7C4A" w:rsidRPr="00DA7C4A">
        <w:rPr>
          <w:rFonts w:cs="標楷體" w:hint="eastAsia"/>
          <w:color w:val="auto"/>
          <w:szCs w:val="27"/>
        </w:rPr>
        <w:t>之月別波動</w:t>
      </w:r>
      <w:proofErr w:type="gramEnd"/>
      <w:r w:rsidR="00DA7C4A" w:rsidRPr="00DA7C4A">
        <w:rPr>
          <w:rFonts w:cs="標楷體" w:hint="eastAsia"/>
          <w:color w:val="auto"/>
          <w:szCs w:val="27"/>
        </w:rPr>
        <w:t>，分析期間尚未呈現明確固定週期。</w:t>
      </w:r>
    </w:p>
    <w:p w14:paraId="146667D7"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3,574</w:t>
      </w:r>
      <w:r w:rsidRPr="00DA7C4A">
        <w:rPr>
          <w:rFonts w:cs="標楷體" w:hint="eastAsia"/>
          <w:color w:val="auto"/>
          <w:szCs w:val="27"/>
        </w:rPr>
        <w:t>人至</w:t>
      </w:r>
      <w:r w:rsidRPr="00DA7C4A">
        <w:rPr>
          <w:rFonts w:cs="標楷體" w:hint="eastAsia"/>
          <w:color w:val="auto"/>
          <w:szCs w:val="27"/>
        </w:rPr>
        <w:t>6,815</w:t>
      </w:r>
      <w:r w:rsidRPr="00DA7C4A">
        <w:rPr>
          <w:rFonts w:cs="標楷體" w:hint="eastAsia"/>
          <w:color w:val="auto"/>
          <w:szCs w:val="27"/>
        </w:rPr>
        <w:t>人，占比介於</w:t>
      </w:r>
      <w:r w:rsidRPr="00DA7C4A">
        <w:rPr>
          <w:rFonts w:cs="標楷體" w:hint="eastAsia"/>
          <w:color w:val="auto"/>
          <w:szCs w:val="27"/>
        </w:rPr>
        <w:t>32.2%</w:t>
      </w:r>
      <w:r w:rsidRPr="00DA7C4A">
        <w:rPr>
          <w:rFonts w:cs="標楷體" w:hint="eastAsia"/>
          <w:color w:val="auto"/>
          <w:szCs w:val="27"/>
        </w:rPr>
        <w:t>至</w:t>
      </w:r>
      <w:r w:rsidRPr="00DA7C4A">
        <w:rPr>
          <w:rFonts w:cs="標楷體" w:hint="eastAsia"/>
          <w:color w:val="auto"/>
          <w:szCs w:val="27"/>
        </w:rPr>
        <w:t>39.7%</w:t>
      </w:r>
      <w:r w:rsidRPr="00DA7C4A">
        <w:rPr>
          <w:rFonts w:cs="標楷體" w:hint="eastAsia"/>
          <w:color w:val="auto"/>
          <w:szCs w:val="27"/>
        </w:rPr>
        <w:t>，</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1.6%</w:t>
      </w:r>
      <w:r w:rsidRPr="00DA7C4A">
        <w:rPr>
          <w:rFonts w:cs="標楷體" w:hint="eastAsia"/>
          <w:color w:val="auto"/>
          <w:szCs w:val="27"/>
        </w:rPr>
        <w:t>；「二至四次」乘客人數介於</w:t>
      </w:r>
      <w:r w:rsidRPr="00DA7C4A">
        <w:rPr>
          <w:rFonts w:cs="標楷體" w:hint="eastAsia"/>
          <w:color w:val="auto"/>
          <w:szCs w:val="27"/>
        </w:rPr>
        <w:t>3,486</w:t>
      </w:r>
      <w:r w:rsidRPr="00DA7C4A">
        <w:rPr>
          <w:rFonts w:cs="標楷體" w:hint="eastAsia"/>
          <w:color w:val="auto"/>
          <w:szCs w:val="27"/>
        </w:rPr>
        <w:t>人至</w:t>
      </w:r>
      <w:r w:rsidRPr="00DA7C4A">
        <w:rPr>
          <w:rFonts w:cs="標楷體" w:hint="eastAsia"/>
          <w:color w:val="auto"/>
          <w:szCs w:val="27"/>
        </w:rPr>
        <w:t>7,926</w:t>
      </w:r>
      <w:r w:rsidRPr="00DA7C4A">
        <w:rPr>
          <w:rFonts w:cs="標楷體" w:hint="eastAsia"/>
          <w:color w:val="auto"/>
          <w:szCs w:val="27"/>
        </w:rPr>
        <w:t>人，占比介於</w:t>
      </w:r>
      <w:r w:rsidRPr="00DA7C4A">
        <w:rPr>
          <w:rFonts w:cs="標楷體" w:hint="eastAsia"/>
          <w:color w:val="auto"/>
          <w:szCs w:val="27"/>
        </w:rPr>
        <w:t>37.5%</w:t>
      </w:r>
      <w:r w:rsidRPr="00DA7C4A">
        <w:rPr>
          <w:rFonts w:cs="標楷體" w:hint="eastAsia"/>
          <w:color w:val="auto"/>
          <w:szCs w:val="27"/>
        </w:rPr>
        <w:t>至</w:t>
      </w:r>
      <w:r w:rsidRPr="00DA7C4A">
        <w:rPr>
          <w:rFonts w:cs="標楷體" w:hint="eastAsia"/>
          <w:color w:val="auto"/>
          <w:szCs w:val="27"/>
        </w:rPr>
        <w:t>42.3%</w:t>
      </w:r>
      <w:r w:rsidRPr="00DA7C4A">
        <w:rPr>
          <w:rFonts w:cs="標楷體" w:hint="eastAsia"/>
          <w:color w:val="auto"/>
          <w:szCs w:val="27"/>
        </w:rPr>
        <w:t>，同期減少約</w:t>
      </w:r>
      <w:r w:rsidRPr="00DA7C4A">
        <w:rPr>
          <w:rFonts w:cs="標楷體" w:hint="eastAsia"/>
          <w:color w:val="auto"/>
          <w:szCs w:val="27"/>
        </w:rPr>
        <w:t>3.8%</w:t>
      </w:r>
      <w:r w:rsidRPr="00DA7C4A">
        <w:rPr>
          <w:rFonts w:cs="標楷體" w:hint="eastAsia"/>
          <w:color w:val="auto"/>
          <w:szCs w:val="27"/>
        </w:rPr>
        <w:t>，惟仍為平均占比最高之族群。</w:t>
      </w:r>
    </w:p>
    <w:p w14:paraId="20E4747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1,999</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100EFEBA"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人，整體規模大致持平，並以「僅一次」及「二至四次」之低、中頻乘客為主要使用族群。值得注意的是，</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月三類乘客人數均降至分析期間最低水準，總人數僅</w:t>
      </w:r>
      <w:r w:rsidRPr="00DA7C4A">
        <w:rPr>
          <w:rFonts w:cs="標楷體" w:hint="eastAsia"/>
          <w:color w:val="auto"/>
          <w:szCs w:val="27"/>
        </w:rPr>
        <w:t>9,059</w:t>
      </w:r>
      <w:r w:rsidRPr="00DA7C4A">
        <w:rPr>
          <w:rFonts w:cs="標楷體" w:hint="eastAsia"/>
          <w:color w:val="auto"/>
          <w:szCs w:val="27"/>
        </w:rPr>
        <w:t>人，惟同年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17,059</w:t>
      </w:r>
      <w:r w:rsidRPr="00DA7C4A">
        <w:rPr>
          <w:rFonts w:cs="標楷體" w:hint="eastAsia"/>
          <w:color w:val="auto"/>
          <w:szCs w:val="27"/>
        </w:rPr>
        <w:t>人，顯示該月份較屬單月異常低點，尚未形成持續性下降趨勢。</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13FD8CB3">
            <wp:extent cx="5274310" cy="1758315"/>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315"/>
                    </a:xfrm>
                    <a:prstGeom prst="rect">
                      <a:avLst/>
                    </a:prstGeom>
                  </pic:spPr>
                </pic:pic>
              </a:graphicData>
            </a:graphic>
          </wp:inline>
        </w:drawing>
      </w:r>
    </w:p>
    <w:p w14:paraId="30AE1B32" w14:textId="12EF407F" w:rsidR="00ED7EB8" w:rsidRPr="00ED7EB8" w:rsidRDefault="00ED7EB8" w:rsidP="00ED7EB8">
      <w:pPr>
        <w:pStyle w:val="af7"/>
        <w:spacing w:beforeLines="50" w:before="180" w:afterLines="50" w:after="180" w:line="240" w:lineRule="atLeast"/>
        <w:jc w:val="center"/>
        <w:rPr>
          <w:rFonts w:cs="標楷體"/>
          <w:sz w:val="24"/>
          <w:szCs w:val="32"/>
        </w:rPr>
      </w:pPr>
      <w:bookmarkStart w:id="76" w:name="_Ref239706022"/>
      <w:r w:rsidRPr="00ED7EB8">
        <w:rPr>
          <w:rFonts w:hint="eastAsia"/>
          <w:sz w:val="24"/>
          <w:szCs w:val="24"/>
        </w:rPr>
        <w:t>圖</w:t>
      </w:r>
      <w:r w:rsidRPr="00ED7EB8">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3.2</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6</w:t>
      </w:r>
      <w:r w:rsidR="00990B83">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3FFAA41C" w:rsidR="00ED7EB8" w:rsidRPr="00ED7EB8" w:rsidRDefault="00ED7EB8" w:rsidP="00DA7C4A">
      <w:pPr>
        <w:pStyle w:val="af7"/>
        <w:keepNext/>
        <w:keepLines/>
        <w:spacing w:beforeLines="50" w:before="180" w:afterLines="50" w:after="180" w:line="240" w:lineRule="atLeast"/>
        <w:jc w:val="center"/>
        <w:rPr>
          <w:sz w:val="24"/>
          <w:szCs w:val="24"/>
        </w:rPr>
      </w:pPr>
      <w:bookmarkStart w:id="77" w:name="_Ref239706031"/>
      <w:r w:rsidRPr="00ED7EB8">
        <w:rPr>
          <w:rFonts w:hint="eastAsia"/>
          <w:sz w:val="24"/>
          <w:szCs w:val="24"/>
        </w:rPr>
        <w:lastRenderedPageBreak/>
        <w:t>表</w:t>
      </w:r>
      <w:r w:rsidRPr="00ED7EB8">
        <w:rPr>
          <w:rFonts w:hint="eastAsia"/>
          <w:sz w:val="24"/>
          <w:szCs w:val="24"/>
        </w:rPr>
        <w:t xml:space="preserve"> </w:t>
      </w:r>
      <w:r w:rsidRPr="00ED7EB8">
        <w:rPr>
          <w:sz w:val="24"/>
          <w:szCs w:val="24"/>
        </w:rPr>
        <w:fldChar w:fldCharType="begin"/>
      </w:r>
      <w:r w:rsidRPr="00ED7EB8">
        <w:rPr>
          <w:sz w:val="24"/>
          <w:szCs w:val="24"/>
        </w:rPr>
        <w:instrText xml:space="preserve"> </w:instrText>
      </w:r>
      <w:r w:rsidRPr="00ED7EB8">
        <w:rPr>
          <w:rFonts w:hint="eastAsia"/>
          <w:sz w:val="24"/>
          <w:szCs w:val="24"/>
        </w:rPr>
        <w:instrText>STYLEREF 2 \s</w:instrText>
      </w:r>
      <w:r w:rsidRPr="00ED7EB8">
        <w:rPr>
          <w:sz w:val="24"/>
          <w:szCs w:val="24"/>
        </w:rPr>
        <w:instrText xml:space="preserve"> </w:instrText>
      </w:r>
      <w:r w:rsidRPr="00ED7EB8">
        <w:rPr>
          <w:sz w:val="24"/>
          <w:szCs w:val="24"/>
        </w:rPr>
        <w:fldChar w:fldCharType="separate"/>
      </w:r>
      <w:r w:rsidR="00EC1F40">
        <w:rPr>
          <w:noProof/>
          <w:sz w:val="24"/>
          <w:szCs w:val="24"/>
        </w:rPr>
        <w:t>3.2</w:t>
      </w:r>
      <w:r w:rsidRPr="00ED7EB8">
        <w:rPr>
          <w:sz w:val="24"/>
          <w:szCs w:val="24"/>
        </w:rPr>
        <w:fldChar w:fldCharType="end"/>
      </w:r>
      <w:r w:rsidRPr="00ED7EB8">
        <w:rPr>
          <w:sz w:val="24"/>
          <w:szCs w:val="24"/>
        </w:rPr>
        <w:t>.</w:t>
      </w:r>
      <w:r w:rsidRPr="00ED7EB8">
        <w:rPr>
          <w:sz w:val="24"/>
          <w:szCs w:val="24"/>
        </w:rPr>
        <w:fldChar w:fldCharType="begin"/>
      </w:r>
      <w:r w:rsidRPr="00ED7EB8">
        <w:rPr>
          <w:sz w:val="24"/>
          <w:szCs w:val="24"/>
        </w:rPr>
        <w:instrText xml:space="preserve"> </w:instrText>
      </w:r>
      <w:r w:rsidRPr="00ED7EB8">
        <w:rPr>
          <w:rFonts w:hint="eastAsia"/>
          <w:sz w:val="24"/>
          <w:szCs w:val="24"/>
        </w:rPr>
        <w:instrText xml:space="preserve">SEQ </w:instrText>
      </w:r>
      <w:r w:rsidRPr="00ED7EB8">
        <w:rPr>
          <w:rFonts w:hint="eastAsia"/>
          <w:sz w:val="24"/>
          <w:szCs w:val="24"/>
        </w:rPr>
        <w:instrText>表</w:instrText>
      </w:r>
      <w:r w:rsidRPr="00ED7EB8">
        <w:rPr>
          <w:rFonts w:hint="eastAsia"/>
          <w:sz w:val="24"/>
          <w:szCs w:val="24"/>
        </w:rPr>
        <w:instrText xml:space="preserve"> \* ARABIC \s 2</w:instrText>
      </w:r>
      <w:r w:rsidRPr="00ED7EB8">
        <w:rPr>
          <w:sz w:val="24"/>
          <w:szCs w:val="24"/>
        </w:rPr>
        <w:instrText xml:space="preserve"> </w:instrText>
      </w:r>
      <w:r w:rsidRPr="00ED7EB8">
        <w:rPr>
          <w:sz w:val="24"/>
          <w:szCs w:val="24"/>
        </w:rPr>
        <w:fldChar w:fldCharType="separate"/>
      </w:r>
      <w:r w:rsidR="00EC1F40">
        <w:rPr>
          <w:noProof/>
          <w:sz w:val="24"/>
          <w:szCs w:val="24"/>
        </w:rPr>
        <w:t>6</w:t>
      </w:r>
      <w:r w:rsidRPr="00ED7EB8">
        <w:rPr>
          <w:sz w:val="24"/>
          <w:szCs w:val="24"/>
        </w:rPr>
        <w:fldChar w:fldCharType="end"/>
      </w:r>
      <w:bookmarkEnd w:id="77"/>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6C0D77">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5A05C5B8" w14:textId="77777777" w:rsidR="00ED7EB8" w:rsidRPr="00ED7EB8" w:rsidRDefault="00ED7EB8" w:rsidP="00DA7C4A">
            <w:pPr>
              <w:keepNext/>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A7F1AC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32421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81D6BD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393EB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E28BBB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4BB63A6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28EBD3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7A2414D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553FA3F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058309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90DE7C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80C9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CE87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66275E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FA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7D4F17C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5E4FFE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580CCB0"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39427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14B6E6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47AF19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236B8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6FED59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7FA114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D059A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90BE69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789AB6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6247FB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7E77F19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5A7D6C4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8AFC2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863AD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48B827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719434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370D8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3E0DDA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F0D1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0925BC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6C0D77">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69224F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5FA1214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43874D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38AE7E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194594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D632AF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00734C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DB154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6FFB9E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3B8C900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1A7DB7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404F9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2DE7626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20B605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A771B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6CF3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6CB6C23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3A4689A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3F1B5B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178B7D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5D6AFA3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BCDC8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64E90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664D98E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49EF8F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06512F8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73996DD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6018A1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F0630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B7B8E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7E23F3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444E9D9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700173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7986D09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43FD6BF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E3D229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64922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6F47F5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695A7B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26503F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6F91623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3771EAC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51C718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F3C48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26BDA9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552A248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4CC927F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5C0DFF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2011842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8205945"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0D6BC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39EBB4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2689C3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223CC2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0FF95D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6C7E167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B00034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A8A7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4C8CB5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4D0A17D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1741CA2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1F530B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465A50D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C6A2D4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58A8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244B0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6E1ED75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3037F8E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6E5476B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395BC25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578F6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9BBCD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1DA838D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5999FE9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03C93A0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59C30C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AD4EF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733486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6E33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7FB3B3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2C01848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51456F2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6FC5212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789598A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190BF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ED23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178A037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24B3B75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1D8C2B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2574DE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0F8A720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CA0F1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AB221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7EBEE9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7CFEAF9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51A261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D94DF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335B8A1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B79317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36C2C9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67F7DF8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2B46C76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55CD5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657DE8B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2A56C9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44E57B8"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87D76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1260698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BD66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5819576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3C33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3A1464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88CD4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9382BA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2AF09A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6B75A6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1B876C5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3553783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5E374A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AFDA44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93192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193972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561A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39DF436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45292E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57E49A3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E7AB8AF"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0BF1B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4644885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4E2E63E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64BBF5B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19CDD13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07E0B24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1B4F0A4"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580A91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53E44F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78C5AB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525DC6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728E1D9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51130A7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67.1%</w:t>
            </w:r>
          </w:p>
        </w:tc>
      </w:tr>
    </w:tbl>
    <w:p w14:paraId="5CAA7328"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w:t>
      </w:r>
      <w:r w:rsidR="00DA7C4A" w:rsidRPr="00DA7C4A">
        <w:rPr>
          <w:rFonts w:cs="標楷體" w:hint="eastAsia"/>
          <w:color w:val="auto"/>
          <w:szCs w:val="27"/>
        </w:rPr>
        <w:t>TPASS</w:t>
      </w:r>
      <w:r w:rsidR="00DA7C4A" w:rsidRPr="00DA7C4A">
        <w:rPr>
          <w:rFonts w:cs="標楷體" w:hint="eastAsia"/>
          <w:color w:val="auto"/>
          <w:szCs w:val="27"/>
        </w:rPr>
        <w:t>乘客以「五次以上」搭乘者為主要族群，平均占比約為</w:t>
      </w:r>
      <w:r w:rsidR="00DA7C4A" w:rsidRPr="00DA7C4A">
        <w:rPr>
          <w:rFonts w:cs="標楷體" w:hint="eastAsia"/>
          <w:color w:val="auto"/>
          <w:szCs w:val="27"/>
        </w:rPr>
        <w:t>66.0%</w:t>
      </w:r>
      <w:r w:rsidR="00DA7C4A" w:rsidRPr="00DA7C4A">
        <w:rPr>
          <w:rFonts w:cs="標楷體" w:hint="eastAsia"/>
          <w:color w:val="auto"/>
          <w:szCs w:val="27"/>
        </w:rPr>
        <w:t>；「二至四次」及「僅一次」平均占比分別約為</w:t>
      </w:r>
      <w:r w:rsidR="00DA7C4A" w:rsidRPr="00DA7C4A">
        <w:rPr>
          <w:rFonts w:cs="標楷體" w:hint="eastAsia"/>
          <w:color w:val="auto"/>
          <w:szCs w:val="27"/>
        </w:rPr>
        <w:t>25.0%</w:t>
      </w:r>
      <w:r w:rsidR="00DA7C4A" w:rsidRPr="00DA7C4A">
        <w:rPr>
          <w:rFonts w:cs="標楷體" w:hint="eastAsia"/>
          <w:color w:val="auto"/>
          <w:szCs w:val="27"/>
        </w:rPr>
        <w:t>及</w:t>
      </w:r>
      <w:r w:rsidR="00DA7C4A" w:rsidRPr="00DA7C4A">
        <w:rPr>
          <w:rFonts w:cs="標楷體" w:hint="eastAsia"/>
          <w:color w:val="auto"/>
          <w:szCs w:val="27"/>
        </w:rPr>
        <w:t>9.0%</w:t>
      </w:r>
      <w:r w:rsidR="00DA7C4A" w:rsidRPr="00DA7C4A">
        <w:rPr>
          <w:rFonts w:cs="標楷體" w:hint="eastAsia"/>
          <w:color w:val="auto"/>
          <w:szCs w:val="27"/>
        </w:rPr>
        <w:t>。整體乘客人數由</w:t>
      </w:r>
      <w:r w:rsidR="00DA7C4A" w:rsidRPr="00DA7C4A">
        <w:rPr>
          <w:rFonts w:cs="標楷體" w:hint="eastAsia"/>
          <w:color w:val="auto"/>
          <w:szCs w:val="27"/>
        </w:rPr>
        <w:t>113</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1,380</w:t>
      </w:r>
      <w:r w:rsidR="00DA7C4A" w:rsidRPr="00DA7C4A">
        <w:rPr>
          <w:rFonts w:cs="標楷體" w:hint="eastAsia"/>
          <w:color w:val="auto"/>
          <w:szCs w:val="27"/>
        </w:rPr>
        <w:t>人增加至</w:t>
      </w:r>
      <w:r w:rsidR="00DA7C4A" w:rsidRPr="00DA7C4A">
        <w:rPr>
          <w:rFonts w:cs="標楷體" w:hint="eastAsia"/>
          <w:color w:val="auto"/>
          <w:szCs w:val="27"/>
        </w:rPr>
        <w:t>115</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2,334</w:t>
      </w:r>
      <w:r w:rsidR="00DA7C4A" w:rsidRPr="00DA7C4A">
        <w:rPr>
          <w:rFonts w:cs="標楷體" w:hint="eastAsia"/>
          <w:color w:val="auto"/>
          <w:szCs w:val="27"/>
        </w:rPr>
        <w:t>人，增幅約</w:t>
      </w:r>
      <w:r w:rsidR="00DA7C4A" w:rsidRPr="00DA7C4A">
        <w:rPr>
          <w:rFonts w:cs="標楷體" w:hint="eastAsia"/>
          <w:color w:val="auto"/>
          <w:szCs w:val="27"/>
        </w:rPr>
        <w:t>69.1%</w:t>
      </w:r>
      <w:r w:rsidR="00DA7C4A" w:rsidRPr="00DA7C4A">
        <w:rPr>
          <w:rFonts w:cs="標楷體" w:hint="eastAsia"/>
          <w:color w:val="auto"/>
          <w:szCs w:val="27"/>
        </w:rPr>
        <w:t>，顯示分析期間</w:t>
      </w:r>
      <w:r w:rsidR="00DA7C4A" w:rsidRPr="00DA7C4A">
        <w:rPr>
          <w:rFonts w:cs="標楷體" w:hint="eastAsia"/>
          <w:color w:val="auto"/>
          <w:szCs w:val="27"/>
        </w:rPr>
        <w:t>TPASS</w:t>
      </w:r>
      <w:r w:rsidR="00DA7C4A" w:rsidRPr="00DA7C4A">
        <w:rPr>
          <w:rFonts w:cs="標楷體" w:hint="eastAsia"/>
          <w:color w:val="auto"/>
          <w:szCs w:val="27"/>
        </w:rPr>
        <w:t>乘客</w:t>
      </w:r>
      <w:proofErr w:type="gramStart"/>
      <w:r w:rsidR="00DA7C4A" w:rsidRPr="00DA7C4A">
        <w:rPr>
          <w:rFonts w:cs="標楷體" w:hint="eastAsia"/>
          <w:color w:val="auto"/>
          <w:szCs w:val="27"/>
        </w:rPr>
        <w:t>規模較期初</w:t>
      </w:r>
      <w:proofErr w:type="gramEnd"/>
      <w:r w:rsidR="00DA7C4A" w:rsidRPr="00DA7C4A">
        <w:rPr>
          <w:rFonts w:cs="標楷體" w:hint="eastAsia"/>
          <w:color w:val="auto"/>
          <w:szCs w:val="27"/>
        </w:rPr>
        <w:t>明顯增加，惟各月份仍呈現一定程度之波動。</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Pr="00DA7C4A">
        <w:rPr>
          <w:rFonts w:cs="標楷體" w:hint="eastAsia"/>
          <w:color w:val="auto"/>
          <w:szCs w:val="27"/>
        </w:rPr>
        <w:t>。其中</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月降至</w:t>
      </w:r>
      <w:r w:rsidRPr="00DA7C4A">
        <w:rPr>
          <w:rFonts w:cs="標楷體" w:hint="eastAsia"/>
          <w:color w:val="auto"/>
          <w:szCs w:val="27"/>
        </w:rPr>
        <w:t>635</w:t>
      </w:r>
      <w:r w:rsidRPr="00DA7C4A">
        <w:rPr>
          <w:rFonts w:cs="標楷體" w:hint="eastAsia"/>
          <w:color w:val="auto"/>
          <w:szCs w:val="27"/>
        </w:rPr>
        <w:t>人之低點，惟同年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1,615</w:t>
      </w:r>
      <w:r w:rsidRPr="00DA7C4A">
        <w:rPr>
          <w:rFonts w:cs="標楷體" w:hint="eastAsia"/>
          <w:color w:val="auto"/>
          <w:szCs w:val="27"/>
        </w:rPr>
        <w:t>人，顯示高頻乘客雖為主要使用族群，其月別人數仍存在明顯波動。</w:t>
      </w:r>
    </w:p>
    <w:p w14:paraId="5C76D64E" w14:textId="0F8F1FB7"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w:t>
      </w:r>
      <w:proofErr w:type="gramStart"/>
      <w:r w:rsidRPr="00DA7C4A">
        <w:rPr>
          <w:rFonts w:cs="標楷體" w:hint="eastAsia"/>
          <w:color w:val="auto"/>
          <w:szCs w:val="27"/>
        </w:rPr>
        <w:t>臺</w:t>
      </w:r>
      <w:proofErr w:type="gramEnd"/>
      <w:r w:rsidRPr="00DA7C4A">
        <w:rPr>
          <w:rFonts w:cs="標楷體" w:hint="eastAsia"/>
          <w:color w:val="auto"/>
          <w:szCs w:val="27"/>
        </w:rPr>
        <w:t>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乘客規模較分析初期有所擴大，且以「五次以上」高頻乘客為主要組成；「僅一次」及「二至四次」乘客之相對增幅亦較為明顯，顯示低、中頻使用族群規模亦有所增加。惟各搭乘頻率族群仍</w:t>
      </w:r>
      <w:proofErr w:type="gramStart"/>
      <w:r w:rsidRPr="00DA7C4A">
        <w:rPr>
          <w:rFonts w:cs="標楷體" w:hint="eastAsia"/>
          <w:color w:val="auto"/>
          <w:szCs w:val="27"/>
        </w:rPr>
        <w:t>存在月別波動</w:t>
      </w:r>
      <w:proofErr w:type="gramEnd"/>
      <w:r w:rsidRPr="00DA7C4A">
        <w:rPr>
          <w:rFonts w:cs="標楷體" w:hint="eastAsia"/>
          <w:color w:val="auto"/>
          <w:szCs w:val="27"/>
        </w:rPr>
        <w:t>，後續可持續追蹤不同使用頻率乘客之人數及結構變化。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78" w:name="_toc_manual_22"/>
      <w:r w:rsidRPr="00610647">
        <w:rPr>
          <w:rFonts w:eastAsia="標楷體" w:hint="eastAsia"/>
          <w:b/>
          <w:color w:val="auto"/>
          <w:sz w:val="24"/>
          <w:szCs w:val="27"/>
        </w:rPr>
        <w:t xml:space="preserve"> </w:t>
      </w:r>
      <w:bookmarkStart w:id="79" w:name="_Toc238609243"/>
      <w:r w:rsidR="00E618A5" w:rsidRPr="00610647">
        <w:rPr>
          <w:rFonts w:eastAsia="標楷體"/>
          <w:b/>
          <w:color w:val="auto"/>
          <w:sz w:val="24"/>
          <w:szCs w:val="27"/>
        </w:rPr>
        <w:t>小結</w:t>
      </w:r>
      <w:bookmarkEnd w:id="78"/>
      <w:bookmarkEnd w:id="79"/>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w:t>
      </w:r>
      <w:proofErr w:type="gramStart"/>
      <w:r w:rsidRPr="00DA7C4A">
        <w:rPr>
          <w:rFonts w:cstheme="majorBidi" w:hint="eastAsia"/>
          <w:bCs/>
        </w:rPr>
        <w:t>臺</w:t>
      </w:r>
      <w:proofErr w:type="gramEnd"/>
      <w:r w:rsidRPr="00DA7C4A">
        <w:rPr>
          <w:rFonts w:cstheme="majorBidi" w:hint="eastAsia"/>
          <w:bCs/>
        </w:rPr>
        <w:t>東兩縣公路客運之平均每日使用次數及乘客搭乘結構分析可知，兩地雖</w:t>
      </w:r>
      <w:proofErr w:type="gramStart"/>
      <w:r w:rsidRPr="00DA7C4A">
        <w:rPr>
          <w:rFonts w:cstheme="majorBidi" w:hint="eastAsia"/>
          <w:bCs/>
        </w:rPr>
        <w:t>同屬花</w:t>
      </w:r>
      <w:proofErr w:type="gramEnd"/>
      <w:r w:rsidRPr="00DA7C4A">
        <w:rPr>
          <w:rFonts w:cstheme="majorBidi" w:hint="eastAsia"/>
          <w:bCs/>
        </w:rPr>
        <w:t>東地區，但在使用頻率、乘客組成</w:t>
      </w:r>
      <w:proofErr w:type="gramStart"/>
      <w:r w:rsidRPr="00DA7C4A">
        <w:rPr>
          <w:rFonts w:cstheme="majorBidi" w:hint="eastAsia"/>
          <w:bCs/>
        </w:rPr>
        <w:t>及月別變</w:t>
      </w:r>
      <w:proofErr w:type="gramEnd"/>
      <w:r w:rsidRPr="00DA7C4A">
        <w:rPr>
          <w:rFonts w:cstheme="majorBidi" w:hint="eastAsia"/>
          <w:bCs/>
        </w:rPr>
        <w:t>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w:t>
      </w:r>
      <w:proofErr w:type="gramStart"/>
      <w:r w:rsidRPr="00DA7C4A">
        <w:rPr>
          <w:rFonts w:cstheme="majorBidi" w:hint="eastAsia"/>
          <w:bCs/>
        </w:rPr>
        <w:t>存在月別波動</w:t>
      </w:r>
      <w:proofErr w:type="gramEnd"/>
      <w:r w:rsidRPr="00DA7C4A">
        <w:rPr>
          <w:rFonts w:cstheme="majorBidi" w:hint="eastAsia"/>
          <w:bCs/>
        </w:rPr>
        <w:t>，反映公路客運需求可能受到不同時期旅運型態變化影響，後續可持續觀察各類乘客之使用結構與變化。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proofErr w:type="gramStart"/>
      <w:r w:rsidRPr="00DA7C4A">
        <w:rPr>
          <w:rFonts w:cstheme="majorBidi" w:hint="eastAsia"/>
          <w:bCs/>
        </w:rPr>
        <w:t>臺</w:t>
      </w:r>
      <w:proofErr w:type="gramEnd"/>
      <w:r w:rsidRPr="00DA7C4A">
        <w:rPr>
          <w:rFonts w:cstheme="majorBidi" w:hint="eastAsia"/>
          <w:bCs/>
        </w:rPr>
        <w:t>東縣公路客運平均每日使用次數</w:t>
      </w:r>
      <w:proofErr w:type="gramStart"/>
      <w:r w:rsidRPr="00DA7C4A">
        <w:rPr>
          <w:rFonts w:cstheme="majorBidi" w:hint="eastAsia"/>
          <w:bCs/>
        </w:rPr>
        <w:t>之月別波</w:t>
      </w:r>
      <w:proofErr w:type="gramEnd"/>
      <w:r w:rsidRPr="00DA7C4A">
        <w:rPr>
          <w:rFonts w:cstheme="majorBidi" w:hint="eastAsia"/>
          <w:bCs/>
        </w:rPr>
        <w:t>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w:t>
      </w:r>
      <w:proofErr w:type="gramStart"/>
      <w:r w:rsidRPr="00DA7C4A">
        <w:rPr>
          <w:rFonts w:cstheme="majorBidi" w:hint="eastAsia"/>
          <w:bCs/>
        </w:rPr>
        <w:t>臺</w:t>
      </w:r>
      <w:proofErr w:type="gramEnd"/>
      <w:r w:rsidRPr="00DA7C4A">
        <w:rPr>
          <w:rFonts w:cstheme="majorBidi" w:hint="eastAsia"/>
          <w:bCs/>
        </w:rPr>
        <w:t>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w:t>
      </w:r>
      <w:proofErr w:type="gramStart"/>
      <w:r w:rsidRPr="00DA7C4A">
        <w:rPr>
          <w:rFonts w:cstheme="majorBidi" w:hint="eastAsia"/>
          <w:bCs/>
        </w:rPr>
        <w:t>臺</w:t>
      </w:r>
      <w:proofErr w:type="gramEnd"/>
      <w:r w:rsidRPr="00DA7C4A">
        <w:rPr>
          <w:rFonts w:cstheme="majorBidi" w:hint="eastAsia"/>
          <w:bCs/>
        </w:rPr>
        <w:t>東縣則呈現較明顯</w:t>
      </w:r>
      <w:proofErr w:type="gramStart"/>
      <w:r w:rsidRPr="00DA7C4A">
        <w:rPr>
          <w:rFonts w:cstheme="majorBidi" w:hint="eastAsia"/>
          <w:bCs/>
        </w:rPr>
        <w:t>之月別波</w:t>
      </w:r>
      <w:proofErr w:type="gramEnd"/>
      <w:r w:rsidRPr="00DA7C4A">
        <w:rPr>
          <w:rFonts w:cstheme="majorBidi" w:hint="eastAsia"/>
          <w:bCs/>
        </w:rPr>
        <w:t>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80" w:name="_toc_manual_23"/>
      <w:r w:rsidRPr="00DA7C4A">
        <w:rPr>
          <w:rFonts w:ascii="Times New Roman" w:eastAsia="標楷體" w:hAnsi="Times New Roman" w:hint="eastAsia"/>
          <w:b/>
          <w:color w:val="auto"/>
          <w:sz w:val="28"/>
          <w:szCs w:val="28"/>
        </w:rPr>
        <w:lastRenderedPageBreak/>
        <w:t xml:space="preserve"> </w:t>
      </w:r>
      <w:bookmarkStart w:id="81" w:name="_Toc238609244"/>
      <w:r w:rsidR="000D6762" w:rsidRPr="00DA7C4A">
        <w:rPr>
          <w:rFonts w:ascii="Times New Roman" w:eastAsia="標楷體" w:hAnsi="Times New Roman"/>
          <w:b/>
          <w:color w:val="auto"/>
          <w:sz w:val="28"/>
          <w:szCs w:val="28"/>
        </w:rPr>
        <w:t>平均轉乘次數趨勢分析</w:t>
      </w:r>
      <w:bookmarkEnd w:id="80"/>
      <w:bookmarkEnd w:id="81"/>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w:t>
      </w:r>
      <w:proofErr w:type="gramStart"/>
      <w:r w:rsidRPr="00610647">
        <w:rPr>
          <w:rFonts w:ascii="Times New Roman" w:eastAsia="標楷體" w:hAnsi="Times New Roman" w:cs="Times New Roman"/>
        </w:rPr>
        <w:t>臺</w:t>
      </w:r>
      <w:proofErr w:type="gramEnd"/>
      <w:r w:rsidRPr="00610647">
        <w:rPr>
          <w:rFonts w:ascii="Times New Roman" w:eastAsia="標楷體" w:hAnsi="Times New Roman" w:cs="Times New Roman"/>
        </w:rPr>
        <w:t>東地區客運轉乘行為進行分析。考量票證資料部分紀錄係經彙整處理，且「原始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」可能大於</w:t>
      </w:r>
      <w:r w:rsidRPr="00610647">
        <w:rPr>
          <w:rFonts w:ascii="Times New Roman" w:eastAsia="標楷體" w:hAnsi="Times New Roman" w:cs="Times New Roman"/>
        </w:rPr>
        <w:t>1</w:t>
      </w:r>
      <w:r w:rsidRPr="00610647">
        <w:rPr>
          <w:rFonts w:ascii="Times New Roman" w:eastAsia="標楷體" w:hAnsi="Times New Roman" w:cs="Times New Roman"/>
        </w:rPr>
        <w:t>，無法完整還原各筆原始搭乘紀錄之先後順序，因此本研究以可追蹤之彙整後搭乘紀錄作為轉乘判定單位。分析期間為民國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w:t>
      </w:r>
      <w:proofErr w:type="gramStart"/>
      <w:r w:rsidRPr="00610647">
        <w:rPr>
          <w:rFonts w:ascii="Times New Roman" w:eastAsia="標楷體" w:hAnsi="Times New Roman" w:cs="Times New Roman"/>
        </w:rPr>
        <w:t>惟</w:t>
      </w:r>
      <w:proofErr w:type="gramEnd"/>
      <w:r w:rsidRPr="00610647">
        <w:rPr>
          <w:rFonts w:ascii="Times New Roman" w:eastAsia="標楷體" w:hAnsi="Times New Roman" w:cs="Times New Roman"/>
        </w:rPr>
        <w:t>前後搭乘路線相同者不列為轉乘。另因原始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無法反映各筆原始紀錄間之實際轉乘關係，</w:t>
      </w:r>
      <w:proofErr w:type="gramStart"/>
      <w:r w:rsidRPr="00610647">
        <w:rPr>
          <w:rFonts w:ascii="Times New Roman" w:eastAsia="標楷體" w:hAnsi="Times New Roman" w:cs="Times New Roman"/>
        </w:rPr>
        <w:t>故轉</w:t>
      </w:r>
      <w:proofErr w:type="gramEnd"/>
      <w:r w:rsidRPr="00610647">
        <w:rPr>
          <w:rFonts w:ascii="Times New Roman" w:eastAsia="標楷體" w:hAnsi="Times New Roman" w:cs="Times New Roman"/>
        </w:rPr>
        <w:t>乘事件數及搭乘紀錄</w:t>
      </w:r>
      <w:proofErr w:type="gramStart"/>
      <w:r w:rsidRPr="00610647">
        <w:rPr>
          <w:rFonts w:ascii="Times New Roman" w:eastAsia="標楷體" w:hAnsi="Times New Roman" w:cs="Times New Roman"/>
        </w:rPr>
        <w:t>數均不</w:t>
      </w:r>
      <w:proofErr w:type="gramEnd"/>
      <w:r w:rsidRPr="00610647">
        <w:rPr>
          <w:rFonts w:ascii="Times New Roman" w:eastAsia="標楷體" w:hAnsi="Times New Roman" w:cs="Times New Roman"/>
        </w:rPr>
        <w:t>以原始</w:t>
      </w:r>
      <w:proofErr w:type="gramStart"/>
      <w:r w:rsidRPr="00610647">
        <w:rPr>
          <w:rFonts w:ascii="Times New Roman" w:eastAsia="標楷體" w:hAnsi="Times New Roman" w:cs="Times New Roman"/>
        </w:rPr>
        <w:t>票證筆</w:t>
      </w:r>
      <w:proofErr w:type="gramEnd"/>
      <w:r w:rsidRPr="00610647">
        <w:rPr>
          <w:rFonts w:ascii="Times New Roman" w:eastAsia="標楷體" w:hAnsi="Times New Roman" w:cs="Times New Roman"/>
        </w:rPr>
        <w:t>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2" w:name="_toc_manual_24"/>
      <w:r w:rsidRPr="00610647">
        <w:rPr>
          <w:rFonts w:ascii="Times New Roman" w:eastAsia="標楷體" w:hAnsi="Times New Roman" w:hint="eastAsia"/>
          <w:b/>
          <w:color w:val="auto"/>
          <w:sz w:val="24"/>
          <w:szCs w:val="27"/>
        </w:rPr>
        <w:t xml:space="preserve"> </w:t>
      </w:r>
      <w:bookmarkStart w:id="83" w:name="_Toc238609245"/>
      <w:r w:rsidR="00E618A5" w:rsidRPr="00610647">
        <w:rPr>
          <w:rFonts w:ascii="Times New Roman" w:eastAsia="標楷體" w:hAnsi="Times New Roman"/>
          <w:b/>
          <w:color w:val="auto"/>
          <w:sz w:val="24"/>
          <w:szCs w:val="27"/>
        </w:rPr>
        <w:t>平均轉乘次數</w:t>
      </w:r>
      <w:bookmarkEnd w:id="82"/>
      <w:bookmarkEnd w:id="83"/>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4" w:name="_toc_manual_25"/>
      <w:r w:rsidRPr="00610647">
        <w:rPr>
          <w:rFonts w:eastAsia="標楷體" w:hint="eastAsia"/>
          <w:b/>
          <w:color w:val="auto"/>
          <w:sz w:val="24"/>
          <w:szCs w:val="27"/>
        </w:rPr>
        <w:t xml:space="preserve"> </w:t>
      </w:r>
      <w:bookmarkStart w:id="85" w:name="_Toc238609246"/>
      <w:r w:rsidR="00E618A5" w:rsidRPr="00610647">
        <w:rPr>
          <w:rFonts w:eastAsia="標楷體"/>
          <w:b/>
          <w:color w:val="auto"/>
          <w:sz w:val="24"/>
          <w:szCs w:val="27"/>
        </w:rPr>
        <w:t>花蓮縣客運平均轉乘次數</w:t>
      </w:r>
      <w:bookmarkEnd w:id="84"/>
      <w:bookmarkEnd w:id="85"/>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6622C008" w:rsidR="00BC7106" w:rsidRPr="00F44525" w:rsidRDefault="00F44525" w:rsidP="00BC43A4">
      <w:pPr>
        <w:pStyle w:val="af7"/>
        <w:spacing w:beforeLines="50" w:before="180" w:afterLines="50" w:after="180" w:line="240" w:lineRule="atLeast"/>
        <w:jc w:val="center"/>
        <w:rPr>
          <w:sz w:val="24"/>
          <w:szCs w:val="24"/>
        </w:rPr>
      </w:pPr>
      <w:bookmarkStart w:id="86" w:name="_Ref238923959"/>
      <w:r w:rsidRPr="00F44525">
        <w:rPr>
          <w:sz w:val="24"/>
          <w:szCs w:val="24"/>
        </w:rPr>
        <w:t>圖</w:t>
      </w:r>
      <w:r w:rsidRPr="00F44525">
        <w:rPr>
          <w:sz w:val="24"/>
          <w:szCs w:val="24"/>
        </w:rPr>
        <w:t xml:space="preserve"> </w:t>
      </w:r>
      <w:r w:rsidR="00990B83">
        <w:rPr>
          <w:sz w:val="24"/>
          <w:szCs w:val="24"/>
        </w:rPr>
        <w:fldChar w:fldCharType="begin"/>
      </w:r>
      <w:r w:rsidR="00990B83">
        <w:rPr>
          <w:sz w:val="24"/>
          <w:szCs w:val="24"/>
        </w:rPr>
        <w:instrText xml:space="preserve"> STYLEREF 2 \s </w:instrText>
      </w:r>
      <w:r w:rsidR="00990B83">
        <w:rPr>
          <w:sz w:val="24"/>
          <w:szCs w:val="24"/>
        </w:rPr>
        <w:fldChar w:fldCharType="separate"/>
      </w:r>
      <w:r w:rsidR="00990B83">
        <w:rPr>
          <w:noProof/>
          <w:sz w:val="24"/>
          <w:szCs w:val="24"/>
        </w:rPr>
        <w:t>4.1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SEQ </w:instrText>
      </w:r>
      <w:r w:rsidR="00990B83">
        <w:rPr>
          <w:sz w:val="24"/>
          <w:szCs w:val="24"/>
        </w:rPr>
        <w:instrText>圖</w:instrText>
      </w:r>
      <w:r w:rsidR="00990B83">
        <w:rPr>
          <w:sz w:val="24"/>
          <w:szCs w:val="24"/>
        </w:rPr>
        <w:instrText xml:space="preserve"> \* ARABIC \s 2 </w:instrText>
      </w:r>
      <w:r w:rsidR="00990B83">
        <w:rPr>
          <w:sz w:val="24"/>
          <w:szCs w:val="24"/>
        </w:rPr>
        <w:fldChar w:fldCharType="separate"/>
      </w:r>
      <w:r w:rsidR="00990B83">
        <w:rPr>
          <w:noProof/>
          <w:sz w:val="24"/>
          <w:szCs w:val="24"/>
        </w:rPr>
        <w:t>1</w:t>
      </w:r>
      <w:r w:rsidR="00990B83">
        <w:rPr>
          <w:sz w:val="24"/>
          <w:szCs w:val="24"/>
        </w:rPr>
        <w:fldChar w:fldCharType="end"/>
      </w:r>
      <w:bookmarkEnd w:id="86"/>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473EBE2B" w:rsidR="00F44525" w:rsidRPr="00F44525" w:rsidRDefault="00F44525" w:rsidP="00BC43A4">
      <w:pPr>
        <w:pStyle w:val="af7"/>
        <w:keepNext/>
        <w:spacing w:beforeLines="50" w:before="180" w:afterLines="50" w:after="180" w:line="240" w:lineRule="atLeast"/>
        <w:jc w:val="center"/>
        <w:rPr>
          <w:sz w:val="24"/>
          <w:szCs w:val="24"/>
        </w:rPr>
      </w:pPr>
      <w:bookmarkStart w:id="87" w:name="_Ref238924032"/>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bookmarkEnd w:id="87"/>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88"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88"/>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w:t>
      </w:r>
      <w:proofErr w:type="gramStart"/>
      <w:r w:rsidRPr="00CC68AE">
        <w:t>期間，</w:t>
      </w:r>
      <w:proofErr w:type="gramEnd"/>
      <w:r w:rsidRPr="00CC68AE">
        <w:t>花蓮縣客運整體平均轉乘次數約介於</w:t>
      </w:r>
      <w:r w:rsidRPr="00CC68AE">
        <w:t>0.036</w:t>
      </w:r>
      <w:r w:rsidR="0002287D">
        <w:rPr>
          <w:rFonts w:hint="eastAsia"/>
        </w:rPr>
        <w:t>至</w:t>
      </w:r>
      <w:r w:rsidRPr="00CC68AE">
        <w:t>0.052</w:t>
      </w:r>
      <w:r w:rsidRPr="00CC68AE">
        <w:t>次</w:t>
      </w:r>
      <w:proofErr w:type="gramStart"/>
      <w:r w:rsidRPr="00CC68AE">
        <w:t>之間，期</w:t>
      </w:r>
      <w:proofErr w:type="gramEnd"/>
      <w:r w:rsidRPr="00CC68AE">
        <w:t>間雖有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w:t>
      </w:r>
      <w:proofErr w:type="gramStart"/>
      <w:r w:rsidR="003F73FC" w:rsidRPr="00CC68AE">
        <w:t>之間，</w:t>
      </w:r>
      <w:proofErr w:type="gramEnd"/>
      <w:r w:rsidR="003F73FC" w:rsidRPr="00CC68AE">
        <w:t>而其他票種則約介於</w:t>
      </w:r>
      <w:r w:rsidR="003F73FC" w:rsidRPr="00CC68AE">
        <w:t>0.039</w:t>
      </w:r>
      <w:r w:rsidR="0002287D">
        <w:rPr>
          <w:rFonts w:hint="eastAsia"/>
        </w:rPr>
        <w:t>至</w:t>
      </w:r>
      <w:r w:rsidR="003F73FC" w:rsidRPr="00CC68AE">
        <w:t>0.059</w:t>
      </w:r>
      <w:r w:rsidR="003F73FC" w:rsidRPr="00CC68AE">
        <w:t>次</w:t>
      </w:r>
      <w:proofErr w:type="gramStart"/>
      <w:r w:rsidR="003F73FC" w:rsidRPr="00CC68AE">
        <w:t>之間</w:t>
      </w:r>
      <w:proofErr w:type="gramEnd"/>
      <w:r w:rsidR="003F73FC" w:rsidRPr="00CC68AE">
        <w:t>，且此差異在多數月份皆持續存在，顯示兩類旅客可能具有不同的</w:t>
      </w:r>
      <w:r w:rsidR="003F73FC" w:rsidRPr="00CC68AE">
        <w:lastRenderedPageBreak/>
        <w:t>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w:t>
      </w:r>
      <w:proofErr w:type="gramStart"/>
      <w:r w:rsidRPr="00CC68AE">
        <w:t>種間則呈現</w:t>
      </w:r>
      <w:proofErr w:type="gramEnd"/>
      <w:r w:rsidRPr="00CC68AE">
        <w:t>較持續的轉乘行為差異。</w:t>
      </w:r>
    </w:p>
    <w:p w14:paraId="2EBC9246" w14:textId="5DCEF014" w:rsidR="00E618A5" w:rsidRPr="00610647" w:rsidRDefault="00E618A5" w:rsidP="00BB53D5">
      <w:pPr>
        <w:pStyle w:val="3"/>
        <w:numPr>
          <w:ilvl w:val="2"/>
          <w:numId w:val="10"/>
        </w:numPr>
        <w:spacing w:beforeLines="50" w:before="180" w:afterLines="50" w:after="180" w:line="400" w:lineRule="exact"/>
        <w:rPr>
          <w:rFonts w:eastAsia="標楷體"/>
          <w:b/>
          <w:color w:val="auto"/>
          <w:sz w:val="24"/>
          <w:szCs w:val="27"/>
        </w:rPr>
      </w:pPr>
      <w:bookmarkStart w:id="89" w:name="_toc_manual_26"/>
      <w:bookmarkStart w:id="90" w:name="_Toc238609247"/>
      <w:proofErr w:type="gramStart"/>
      <w:r w:rsidRPr="00610647">
        <w:rPr>
          <w:rFonts w:eastAsia="標楷體"/>
          <w:b/>
          <w:color w:val="auto"/>
          <w:sz w:val="24"/>
          <w:szCs w:val="27"/>
        </w:rPr>
        <w:t>臺</w:t>
      </w:r>
      <w:proofErr w:type="gramEnd"/>
      <w:r w:rsidRPr="00610647">
        <w:rPr>
          <w:rFonts w:eastAsia="標楷體"/>
          <w:b/>
          <w:color w:val="auto"/>
          <w:sz w:val="24"/>
          <w:szCs w:val="27"/>
        </w:rPr>
        <w:t>東縣客運平均轉乘次數</w:t>
      </w:r>
      <w:bookmarkEnd w:id="89"/>
      <w:bookmarkEnd w:id="90"/>
    </w:p>
    <w:p w14:paraId="43050E22" w14:textId="77777777" w:rsidR="00F44525" w:rsidRDefault="00F44525" w:rsidP="00F44525">
      <w:pPr>
        <w:keepNext/>
        <w:spacing w:after="0" w:line="0" w:lineRule="atLeast"/>
      </w:pPr>
      <w:r>
        <w:rPr>
          <w:noProof/>
        </w:rPr>
        <w:drawing>
          <wp:inline distT="0" distB="0" distL="0" distR="0" wp14:anchorId="6ED18D1C" wp14:editId="7CACDC8D">
            <wp:extent cx="5274310" cy="1758103"/>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a:stretch>
                      <a:fillRect/>
                    </a:stretch>
                  </pic:blipFill>
                  <pic:spPr>
                    <a:xfrm>
                      <a:off x="0" y="0"/>
                      <a:ext cx="5274310" cy="1758103"/>
                    </a:xfrm>
                    <a:prstGeom prst="rect">
                      <a:avLst/>
                    </a:prstGeom>
                  </pic:spPr>
                </pic:pic>
              </a:graphicData>
            </a:graphic>
          </wp:inline>
        </w:drawing>
      </w:r>
    </w:p>
    <w:p w14:paraId="43A8B9C4" w14:textId="09C5D208" w:rsidR="00F44525" w:rsidRPr="00F44525" w:rsidRDefault="00F44525" w:rsidP="00BC43A4">
      <w:pPr>
        <w:pStyle w:val="af7"/>
        <w:spacing w:beforeLines="50" w:before="180" w:afterLines="50" w:after="180" w:line="240" w:lineRule="atLeast"/>
        <w:jc w:val="center"/>
        <w:rPr>
          <w:sz w:val="32"/>
          <w:szCs w:val="24"/>
        </w:rPr>
      </w:pPr>
      <w:bookmarkStart w:id="91" w:name="_Ref238924874"/>
      <w:r w:rsidRPr="00F44525">
        <w:rPr>
          <w:rFonts w:hint="eastAsia"/>
          <w:sz w:val="24"/>
          <w:szCs w:val="24"/>
        </w:rPr>
        <w:t>圖</w:t>
      </w:r>
      <w:r w:rsidRPr="00F44525">
        <w:rPr>
          <w:rFonts w:hint="eastAsia"/>
          <w:sz w:val="24"/>
          <w:szCs w:val="24"/>
        </w:rPr>
        <w:t xml:space="preserve"> </w:t>
      </w:r>
      <w:r w:rsidR="00990B83">
        <w:rPr>
          <w:sz w:val="24"/>
          <w:szCs w:val="24"/>
        </w:rPr>
        <w:fldChar w:fldCharType="begin"/>
      </w:r>
      <w:r w:rsidR="00990B83">
        <w:rPr>
          <w:sz w:val="24"/>
          <w:szCs w:val="24"/>
        </w:rPr>
        <w:instrText xml:space="preserve"> </w:instrText>
      </w:r>
      <w:r w:rsidR="00990B83">
        <w:rPr>
          <w:rFonts w:hint="eastAsia"/>
          <w:sz w:val="24"/>
          <w:szCs w:val="24"/>
        </w:rPr>
        <w:instrText>STYLEREF 2 \s</w:instrText>
      </w:r>
      <w:r w:rsidR="00990B83">
        <w:rPr>
          <w:sz w:val="24"/>
          <w:szCs w:val="24"/>
        </w:rPr>
        <w:instrText xml:space="preserve"> </w:instrText>
      </w:r>
      <w:r w:rsidR="00990B83">
        <w:rPr>
          <w:sz w:val="24"/>
          <w:szCs w:val="24"/>
        </w:rPr>
        <w:fldChar w:fldCharType="separate"/>
      </w:r>
      <w:r w:rsidR="00990B83">
        <w:rPr>
          <w:noProof/>
          <w:sz w:val="24"/>
          <w:szCs w:val="24"/>
        </w:rPr>
        <w:t>4.1</w:t>
      </w:r>
      <w:r w:rsidR="00990B83">
        <w:rPr>
          <w:sz w:val="24"/>
          <w:szCs w:val="24"/>
        </w:rPr>
        <w:fldChar w:fldCharType="end"/>
      </w:r>
      <w:r w:rsidR="00990B83">
        <w:rPr>
          <w:sz w:val="24"/>
          <w:szCs w:val="24"/>
        </w:rPr>
        <w:t>.</w:t>
      </w:r>
      <w:r w:rsidR="00990B83">
        <w:rPr>
          <w:sz w:val="24"/>
          <w:szCs w:val="24"/>
        </w:rPr>
        <w:fldChar w:fldCharType="begin"/>
      </w:r>
      <w:r w:rsidR="00990B83">
        <w:rPr>
          <w:sz w:val="24"/>
          <w:szCs w:val="24"/>
        </w:rPr>
        <w:instrText xml:space="preserve"> </w:instrText>
      </w:r>
      <w:r w:rsidR="00990B83">
        <w:rPr>
          <w:rFonts w:hint="eastAsia"/>
          <w:sz w:val="24"/>
          <w:szCs w:val="24"/>
        </w:rPr>
        <w:instrText xml:space="preserve">SEQ </w:instrText>
      </w:r>
      <w:r w:rsidR="00990B83">
        <w:rPr>
          <w:rFonts w:hint="eastAsia"/>
          <w:sz w:val="24"/>
          <w:szCs w:val="24"/>
        </w:rPr>
        <w:instrText>圖</w:instrText>
      </w:r>
      <w:r w:rsidR="00990B83">
        <w:rPr>
          <w:rFonts w:hint="eastAsia"/>
          <w:sz w:val="24"/>
          <w:szCs w:val="24"/>
        </w:rPr>
        <w:instrText xml:space="preserve"> \* ARABIC \s 2</w:instrText>
      </w:r>
      <w:r w:rsidR="00990B83">
        <w:rPr>
          <w:sz w:val="24"/>
          <w:szCs w:val="24"/>
        </w:rPr>
        <w:instrText xml:space="preserve"> </w:instrText>
      </w:r>
      <w:r w:rsidR="00990B83">
        <w:rPr>
          <w:sz w:val="24"/>
          <w:szCs w:val="24"/>
        </w:rPr>
        <w:fldChar w:fldCharType="separate"/>
      </w:r>
      <w:r w:rsidR="00990B83">
        <w:rPr>
          <w:noProof/>
          <w:sz w:val="24"/>
          <w:szCs w:val="24"/>
        </w:rPr>
        <w:t>2</w:t>
      </w:r>
      <w:r w:rsidR="00990B83">
        <w:rPr>
          <w:sz w:val="24"/>
          <w:szCs w:val="24"/>
        </w:rPr>
        <w:fldChar w:fldCharType="end"/>
      </w:r>
      <w:bookmarkEnd w:id="91"/>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r w:rsidR="00AB33EB">
        <w:rPr>
          <w:rStyle w:val="aff1"/>
          <w:sz w:val="24"/>
          <w:szCs w:val="24"/>
        </w:rPr>
        <w:footnoteReference w:id="3"/>
      </w:r>
    </w:p>
    <w:p w14:paraId="713F8B0D" w14:textId="2D9D9EC3" w:rsidR="00F44525" w:rsidRPr="00F44525" w:rsidRDefault="00F44525" w:rsidP="00BC43A4">
      <w:pPr>
        <w:pStyle w:val="af7"/>
        <w:keepNext/>
        <w:spacing w:beforeLines="50" w:before="180" w:afterLines="50" w:after="180" w:line="240" w:lineRule="atLeast"/>
        <w:jc w:val="center"/>
        <w:rPr>
          <w:sz w:val="24"/>
          <w:szCs w:val="24"/>
        </w:rPr>
      </w:pPr>
      <w:bookmarkStart w:id="92" w:name="_Ref238924918"/>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92"/>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C90EC0"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2E97EFD9" w:rsidR="00C90EC0" w:rsidRPr="00BC43A4" w:rsidRDefault="00C90EC0" w:rsidP="00C90EC0">
            <w:pPr>
              <w:ind w:right="112"/>
              <w:jc w:val="center"/>
              <w:rPr>
                <w:rFonts w:ascii="Times New Roman" w:eastAsia="標楷體" w:hAnsi="Times New Roman"/>
              </w:rPr>
            </w:pPr>
            <w:bookmarkStart w:id="93" w:name="表1"/>
            <w:r w:rsidRPr="00BC43A4">
              <w:rPr>
                <w:rFonts w:ascii="Times New Roman" w:eastAsia="標楷體" w:hAnsi="Times New Roman" w:cs="標楷體"/>
              </w:rPr>
              <w:t>月</w:t>
            </w:r>
            <w:r>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4454133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687147D8"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D7690C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589C368C" w:rsidR="00C90EC0" w:rsidRPr="00BC43A4" w:rsidRDefault="00C90EC0" w:rsidP="00C90EC0">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2B48DBE4" w14:textId="77777777" w:rsidR="00C90EC0" w:rsidRPr="00BC43A4" w:rsidRDefault="00C90EC0" w:rsidP="00C90EC0">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25289192" w:rsidR="00C90EC0" w:rsidRPr="00BC43A4" w:rsidRDefault="00C90EC0" w:rsidP="00C90EC0">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C90EC0" w:rsidRPr="00BC43A4" w14:paraId="115F498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6B97283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63271BF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4A565F9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6A74A8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C90EC0" w:rsidRPr="00BC43A4" w14:paraId="7F01F8C5"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42A9C101"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06C6E33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350E114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1777E27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C90EC0" w:rsidRPr="00BC43A4" w14:paraId="3FD2FC9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AC5C74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01F975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4C1800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333EEE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E51605C"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75A4FF7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0DC5F9C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02A719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19965B68"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C90EC0" w:rsidRPr="00BC43A4" w14:paraId="4980885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253044FC"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0FB2827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2C96A4D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3D4F0AAB"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C90EC0" w:rsidRPr="00BC43A4" w14:paraId="30355EA8"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215620C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504263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1334111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1A669E36"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C90EC0" w:rsidRPr="00BC43A4" w14:paraId="01675508"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67E6CCA8"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4A21D1C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5DEB09A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1DA5EFE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4CF36C74"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1B4785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41873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086909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1C91FD4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C90EC0" w:rsidRPr="00BC43A4" w14:paraId="1B77D9E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11EACB20"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681976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2DB4AD0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0501A80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C90EC0" w:rsidRPr="00BC43A4" w14:paraId="01FCC89A"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77D8C56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2D1A391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51B02C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3A62F925" w14:textId="209BD343"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09DA382E"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670F1B6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6145C7E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4A99C01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3B4232C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3C73C2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1106C65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0A4B97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0ACBDB8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45EA96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16B4EF8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43F77D8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4A09BAD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504ADCF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5121F2A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2A191D74"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16495EFE"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54619BD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142FBF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03D0382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C90EC0" w:rsidRPr="00BC43A4" w14:paraId="7A18374D"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5C64D2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810BF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4B95E82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0420D1AB" w14:textId="2F4AFA0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C90EC0" w:rsidRPr="00BC43A4" w14:paraId="6B4E56B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67F1A255"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2345C3C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64EA4BA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2A9CF71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C90EC0" w:rsidRPr="00BC43A4" w14:paraId="35ED1DE7"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6848DC8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1493BDC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635946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2B0F92B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03BE0B89"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12077AAD"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6944CFA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5CC51B6C"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483539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C90EC0" w:rsidRPr="00BC43A4" w14:paraId="3C93AA8B"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6F11EC73"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3080EE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531BFB6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54E1F48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376C5125"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3D676A04"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1000384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6265DEC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0C0C9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C90EC0" w:rsidRPr="00BC43A4" w14:paraId="3C6D06AF"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1F83714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1B5D0E6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1F69930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368980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06CDEAD2"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7D73F84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1B99B1F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0230B1F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3E3DF56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44977361"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7E9131B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448D6B4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630BE98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39B15B9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2AD8E37A"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6932521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5B9BCFC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3E24A6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37CBF7A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C90EC0" w:rsidRPr="00BC43A4" w14:paraId="50EB3CA3" w14:textId="77777777" w:rsidTr="006D1E8D">
        <w:trPr>
          <w:trHeight w:val="397"/>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4C23A7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3AA3475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05A8445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1FAE7B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r w:rsidR="00F41AAA" w:rsidRPr="00BC43A4" w14:paraId="55B5307E" w14:textId="77777777" w:rsidTr="00214676">
        <w:trPr>
          <w:trHeight w:val="442"/>
          <w:jc w:val="center"/>
        </w:trPr>
        <w:tc>
          <w:tcPr>
            <w:tcW w:w="8072" w:type="dxa"/>
            <w:gridSpan w:val="4"/>
            <w:tcBorders>
              <w:top w:val="single" w:sz="4" w:space="0" w:color="000000"/>
              <w:left w:val="single" w:sz="4" w:space="0" w:color="000000"/>
              <w:bottom w:val="single" w:sz="4" w:space="0" w:color="000000"/>
              <w:right w:val="single" w:sz="4" w:space="0" w:color="000000"/>
            </w:tcBorders>
            <w:vAlign w:val="center"/>
          </w:tcPr>
          <w:p w14:paraId="66AB53A8" w14:textId="072C28B9" w:rsidR="00F41AAA" w:rsidRPr="00F41AAA" w:rsidRDefault="00F41AAA" w:rsidP="00F41AAA">
            <w:pPr>
              <w:ind w:right="110"/>
              <w:rPr>
                <w:rFonts w:ascii="Times New Roman" w:eastAsia="標楷體" w:hAnsi="Times New Roman" w:cs="Times New Roman"/>
                <w:szCs w:val="26"/>
              </w:rPr>
            </w:pPr>
            <w:proofErr w:type="gramStart"/>
            <w:r w:rsidRPr="00F41AAA">
              <w:rPr>
                <w:rFonts w:ascii="Times New Roman" w:eastAsia="標楷體" w:hAnsi="Times New Roman" w:cs="Times New Roman"/>
                <w:szCs w:val="26"/>
              </w:rPr>
              <w:t>註</w:t>
            </w:r>
            <w:proofErr w:type="gramEnd"/>
            <w:r w:rsidRPr="00F41AAA">
              <w:rPr>
                <w:rFonts w:ascii="Times New Roman" w:eastAsia="標楷體" w:hAnsi="Times New Roman" w:cs="Times New Roman"/>
                <w:szCs w:val="26"/>
              </w:rPr>
              <w:t>：</w:t>
            </w:r>
            <w:r w:rsidR="006D1E8D" w:rsidRPr="006D1E8D">
              <w:rPr>
                <w:rFonts w:ascii="Times New Roman" w:eastAsia="標楷體" w:hAnsi="Times New Roman" w:cs="Times New Roman" w:hint="eastAsia"/>
                <w:szCs w:val="26"/>
              </w:rPr>
              <w:t xml:space="preserve">114 </w:t>
            </w:r>
            <w:r w:rsidR="006D1E8D" w:rsidRPr="006D1E8D">
              <w:rPr>
                <w:rFonts w:ascii="Times New Roman" w:eastAsia="標楷體" w:hAnsi="Times New Roman" w:cs="Times New Roman" w:hint="eastAsia"/>
                <w:szCs w:val="26"/>
              </w:rPr>
              <w:t>年</w:t>
            </w:r>
            <w:r w:rsidR="006D1E8D" w:rsidRPr="006D1E8D">
              <w:rPr>
                <w:rFonts w:ascii="Times New Roman" w:eastAsia="標楷體" w:hAnsi="Times New Roman" w:cs="Times New Roman" w:hint="eastAsia"/>
                <w:szCs w:val="26"/>
              </w:rPr>
              <w:t xml:space="preserve"> 11 </w:t>
            </w:r>
            <w:proofErr w:type="gramStart"/>
            <w:r w:rsidR="006D1E8D" w:rsidRPr="006D1E8D">
              <w:rPr>
                <w:rFonts w:ascii="Times New Roman" w:eastAsia="標楷體" w:hAnsi="Times New Roman" w:cs="Times New Roman" w:hint="eastAsia"/>
                <w:szCs w:val="26"/>
              </w:rPr>
              <w:t>月東台灣</w:t>
            </w:r>
            <w:proofErr w:type="gramEnd"/>
            <w:r w:rsidR="006D1E8D" w:rsidRPr="006D1E8D">
              <w:rPr>
                <w:rFonts w:ascii="Times New Roman" w:eastAsia="標楷體" w:hAnsi="Times New Roman" w:cs="Times New Roman" w:hint="eastAsia"/>
                <w:szCs w:val="26"/>
              </w:rPr>
              <w:t>客運未提交票證資料至平臺，該月</w:t>
            </w:r>
            <w:proofErr w:type="gramStart"/>
            <w:r w:rsidR="006D1E8D" w:rsidRPr="006D1E8D">
              <w:rPr>
                <w:rFonts w:ascii="Times New Roman" w:eastAsia="標楷體" w:hAnsi="Times New Roman" w:cs="Times New Roman" w:hint="eastAsia"/>
                <w:szCs w:val="26"/>
              </w:rPr>
              <w:t>僅含</w:t>
            </w:r>
            <w:proofErr w:type="gramEnd"/>
            <w:r w:rsidR="006D1E8D" w:rsidRPr="006D1E8D">
              <w:rPr>
                <w:rFonts w:ascii="Times New Roman" w:eastAsia="標楷體" w:hAnsi="Times New Roman" w:cs="Times New Roman" w:hint="eastAsia"/>
                <w:szCs w:val="26"/>
              </w:rPr>
              <w:t>統聯客運及興東客運資料，數值不宜與其他月份比較。</w:t>
            </w:r>
          </w:p>
        </w:tc>
      </w:tr>
    </w:tbl>
    <w:bookmarkEnd w:id="93"/>
    <w:p w14:paraId="2801F8B0" w14:textId="146F6F7A"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006F1577">
        <w:t>顯示，</w:t>
      </w:r>
      <w:proofErr w:type="gramStart"/>
      <w:r w:rsidR="006F1577">
        <w:t>臺</w:t>
      </w:r>
      <w:proofErr w:type="gramEnd"/>
      <w:r w:rsidR="006F1577">
        <w:t>東縣客運整體平均轉乘次數大致維持於</w:t>
      </w:r>
      <w:r w:rsidR="006F1577">
        <w:t xml:space="preserve"> 0.08 </w:t>
      </w:r>
      <w:r w:rsidR="006F1577">
        <w:t>至</w:t>
      </w:r>
      <w:r w:rsidR="006F1577">
        <w:t xml:space="preserve"> 0.12 </w:t>
      </w:r>
      <w:r w:rsidR="006F1577">
        <w:t>次</w:t>
      </w:r>
      <w:proofErr w:type="gramStart"/>
      <w:r w:rsidR="006F1577">
        <w:t>之間</w:t>
      </w:r>
      <w:proofErr w:type="gramEnd"/>
      <w:r w:rsidR="006F1577">
        <w:t>，整體變化幅度有限。</w:t>
      </w:r>
      <w:r w:rsidR="006F1577">
        <w:t>113</w:t>
      </w:r>
      <w:r w:rsidR="006F1577">
        <w:t>年</w:t>
      </w:r>
      <w:r w:rsidR="006F1577">
        <w:t>6</w:t>
      </w:r>
      <w:r w:rsidR="006F1577">
        <w:t>月為</w:t>
      </w:r>
      <w:r w:rsidR="006F1577">
        <w:t xml:space="preserve"> 0.106 </w:t>
      </w:r>
      <w:r w:rsidR="006F1577">
        <w:t>次與</w:t>
      </w:r>
      <w:r w:rsidR="006F1577">
        <w:t xml:space="preserve"> 114</w:t>
      </w:r>
      <w:r w:rsidR="006F1577">
        <w:t>年</w:t>
      </w:r>
      <w:r w:rsidR="006F1577">
        <w:t>7</w:t>
      </w:r>
      <w:r w:rsidR="006F1577">
        <w:t>月達</w:t>
      </w:r>
      <w:r w:rsidR="006F1577">
        <w:t xml:space="preserve"> 0.117 </w:t>
      </w:r>
      <w:r w:rsidR="006F1577">
        <w:t>次，為觀察期間相對高點。其後轉乘次數逐步下降，</w:t>
      </w:r>
      <w:r w:rsidR="006F1577">
        <w:t>114</w:t>
      </w:r>
      <w:r w:rsidR="006F1577">
        <w:t>年</w:t>
      </w:r>
      <w:r w:rsidR="006F1577">
        <w:t>9</w:t>
      </w:r>
      <w:r w:rsidR="006F1577">
        <w:t>月及</w:t>
      </w:r>
      <w:r w:rsidR="006F1577">
        <w:t>115</w:t>
      </w:r>
      <w:r w:rsidR="006F1577">
        <w:t>年</w:t>
      </w:r>
      <w:r w:rsidR="006F1577">
        <w:t>3</w:t>
      </w:r>
      <w:r w:rsidR="006F1577">
        <w:t>月分別降至</w:t>
      </w:r>
      <w:r w:rsidR="006F1577">
        <w:t xml:space="preserve"> 0.082 </w:t>
      </w:r>
      <w:r w:rsidR="006F1577">
        <w:t>次及</w:t>
      </w:r>
      <w:r w:rsidR="006F1577">
        <w:t xml:space="preserve"> 0.085 </w:t>
      </w:r>
      <w:r w:rsidR="006F1577">
        <w:t>次，為期間最低，之後略有回升，</w:t>
      </w:r>
      <w:r w:rsidR="006F1577">
        <w:t>115</w:t>
      </w:r>
      <w:r w:rsidR="006F1577">
        <w:t>年</w:t>
      </w:r>
      <w:r w:rsidR="006F1577">
        <w:t>6</w:t>
      </w:r>
      <w:r w:rsidR="006F1577">
        <w:t>月為</w:t>
      </w:r>
      <w:r w:rsidR="006F1577">
        <w:t xml:space="preserve"> 0.090 </w:t>
      </w:r>
      <w:r w:rsidR="006F1577">
        <w:t>次，整體未呈現明顯的長期上升趨勢。另</w:t>
      </w:r>
      <w:r w:rsidR="006F1577">
        <w:t xml:space="preserve"> 114 </w:t>
      </w:r>
      <w:r w:rsidR="006F1577">
        <w:t>年</w:t>
      </w:r>
      <w:r w:rsidR="006F1577">
        <w:t xml:space="preserve"> 11 </w:t>
      </w:r>
      <w:proofErr w:type="gramStart"/>
      <w:r w:rsidR="006F1577">
        <w:t>月東台灣</w:t>
      </w:r>
      <w:proofErr w:type="gramEnd"/>
      <w:r w:rsidR="006F1577">
        <w:t>客運未提交票證資料至平臺，該月數值僅反映其餘業者之乘客組成，不納入趨勢判讀</w:t>
      </w:r>
      <w:r w:rsidR="006F1577">
        <w:rPr>
          <w:rFonts w:hint="eastAsia"/>
        </w:rPr>
        <w:t>。</w:t>
      </w:r>
    </w:p>
    <w:p w14:paraId="321BE312" w14:textId="32E7BFE4"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006F1577">
        <w:t xml:space="preserve">TPASS </w:t>
      </w:r>
      <w:r w:rsidR="006F1577">
        <w:t>平均轉乘次數所有月份均低於其他票種，普遍維持在</w:t>
      </w:r>
      <w:r w:rsidR="006F1577">
        <w:t xml:space="preserve"> 0.10 </w:t>
      </w:r>
      <w:r w:rsidR="006F1577">
        <w:t>次以下，介於</w:t>
      </w:r>
      <w:r w:rsidR="006F1577">
        <w:t xml:space="preserve"> 0.055 </w:t>
      </w:r>
      <w:r w:rsidR="006F1577">
        <w:t>至</w:t>
      </w:r>
      <w:r w:rsidR="006F1577">
        <w:t xml:space="preserve"> 0.104 </w:t>
      </w:r>
      <w:r w:rsidR="006F1577">
        <w:t>次之間；其他票種則多維持於</w:t>
      </w:r>
      <w:r w:rsidR="006F1577">
        <w:t xml:space="preserve"> 0.10 </w:t>
      </w:r>
      <w:r w:rsidR="006F1577">
        <w:t>至</w:t>
      </w:r>
      <w:r w:rsidR="006F1577">
        <w:t xml:space="preserve"> 0.13 </w:t>
      </w:r>
      <w:r w:rsidR="006F1577">
        <w:t>次，</w:t>
      </w:r>
      <w:r w:rsidR="006F1577">
        <w:t>114</w:t>
      </w:r>
      <w:r w:rsidR="006F1577">
        <w:t>年</w:t>
      </w:r>
      <w:r w:rsidR="006F1577">
        <w:t>1</w:t>
      </w:r>
      <w:r w:rsidR="006F1577">
        <w:t>月達</w:t>
      </w:r>
      <w:r w:rsidR="006F1577">
        <w:t xml:space="preserve"> 0.125 </w:t>
      </w:r>
      <w:r w:rsidR="006F1577">
        <w:t>次，至</w:t>
      </w:r>
      <w:r w:rsidR="006F1577">
        <w:t xml:space="preserve"> 115</w:t>
      </w:r>
      <w:r w:rsidR="006F1577">
        <w:t>年</w:t>
      </w:r>
      <w:r w:rsidR="006F1577">
        <w:t>6</w:t>
      </w:r>
      <w:r w:rsidR="006F1577">
        <w:t>月仍有</w:t>
      </w:r>
      <w:r w:rsidR="006F1577">
        <w:t xml:space="preserve"> 0.107 </w:t>
      </w:r>
      <w:r w:rsidR="006F1577">
        <w:t>次。</w:t>
      </w:r>
      <w:r w:rsidR="006F1577">
        <w:t xml:space="preserve">TPASS </w:t>
      </w:r>
      <w:r w:rsidR="006F1577">
        <w:t>乘客之轉乘次數較低，可能</w:t>
      </w:r>
      <w:proofErr w:type="gramStart"/>
      <w:r w:rsidR="006F1577">
        <w:t>反映其旅次</w:t>
      </w:r>
      <w:proofErr w:type="gramEnd"/>
      <w:r w:rsidR="006F1577">
        <w:t>以單一路線之直達旅次為主，其他票種旅客之旅次型態則較為多元；</w:t>
      </w:r>
      <w:r w:rsidR="00A11509">
        <w:rPr>
          <w:rFonts w:hint="eastAsia"/>
        </w:rPr>
        <w:t>但</w:t>
      </w:r>
      <w:r w:rsidR="006F1577">
        <w:t>票證資料無法辨識旅次目的，此點尚待其他資料佐證</w:t>
      </w:r>
      <w:r w:rsidRPr="00BC43A4">
        <w:rPr>
          <w:rFonts w:hint="eastAsia"/>
        </w:rPr>
        <w:t>。</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4" w:name="_toc_manual_27"/>
      <w:r w:rsidRPr="00610647">
        <w:rPr>
          <w:rFonts w:eastAsia="標楷體" w:hint="eastAsia"/>
          <w:b/>
          <w:color w:val="auto"/>
          <w:sz w:val="24"/>
          <w:szCs w:val="27"/>
        </w:rPr>
        <w:lastRenderedPageBreak/>
        <w:t xml:space="preserve"> </w:t>
      </w:r>
      <w:bookmarkStart w:id="95" w:name="_Toc238609248"/>
      <w:r w:rsidR="00E618A5" w:rsidRPr="00610647">
        <w:rPr>
          <w:rFonts w:eastAsia="標楷體"/>
          <w:b/>
          <w:color w:val="auto"/>
          <w:sz w:val="24"/>
          <w:szCs w:val="27"/>
        </w:rPr>
        <w:t>小結</w:t>
      </w:r>
      <w:bookmarkEnd w:id="94"/>
      <w:bookmarkEnd w:id="95"/>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w:t>
      </w:r>
      <w:proofErr w:type="gramStart"/>
      <w:r w:rsidRPr="003B3456">
        <w:rPr>
          <w:rFonts w:hint="eastAsia"/>
          <w:szCs w:val="24"/>
        </w:rPr>
        <w:t>臺</w:t>
      </w:r>
      <w:proofErr w:type="gramEnd"/>
      <w:r w:rsidRPr="003B3456">
        <w:rPr>
          <w:rFonts w:hint="eastAsia"/>
          <w:szCs w:val="24"/>
        </w:rPr>
        <w:t>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w:t>
      </w:r>
      <w:proofErr w:type="gramStart"/>
      <w:r w:rsidRPr="003B3456">
        <w:rPr>
          <w:rFonts w:hint="eastAsia"/>
          <w:szCs w:val="24"/>
        </w:rPr>
        <w:t>之間</w:t>
      </w:r>
      <w:proofErr w:type="gramEnd"/>
      <w:r w:rsidRPr="003B3456">
        <w:rPr>
          <w:rFonts w:hint="eastAsia"/>
          <w:szCs w:val="24"/>
        </w:rPr>
        <w:t>，分析期間雖有小幅波動，但整體變化幅度相對有限。不同票種比較結果顯示，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proofErr w:type="gramStart"/>
      <w:r w:rsidRPr="003B3456">
        <w:rPr>
          <w:rFonts w:hint="eastAsia"/>
          <w:szCs w:val="24"/>
        </w:rPr>
        <w:t>臺</w:t>
      </w:r>
      <w:proofErr w:type="gramEnd"/>
      <w:r w:rsidRPr="003B3456">
        <w:rPr>
          <w:rFonts w:hint="eastAsia"/>
          <w:szCs w:val="24"/>
        </w:rPr>
        <w:t>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w:t>
      </w:r>
      <w:proofErr w:type="gramStart"/>
      <w:r w:rsidRPr="003B3456">
        <w:rPr>
          <w:rFonts w:hint="eastAsia"/>
          <w:szCs w:val="24"/>
        </w:rPr>
        <w:t>之間</w:t>
      </w:r>
      <w:proofErr w:type="gramEnd"/>
      <w:r w:rsidRPr="003B3456">
        <w:rPr>
          <w:rFonts w:hint="eastAsia"/>
          <w:szCs w:val="24"/>
        </w:rPr>
        <w:t>，且各月份波動幅度較為明顯。</w:t>
      </w:r>
      <w:r w:rsidRPr="003B3456">
        <w:rPr>
          <w:rFonts w:hint="eastAsia"/>
          <w:szCs w:val="24"/>
        </w:rPr>
        <w:t>TPASS</w:t>
      </w:r>
      <w:r w:rsidRPr="003B3456">
        <w:rPr>
          <w:rFonts w:hint="eastAsia"/>
          <w:szCs w:val="24"/>
        </w:rPr>
        <w:t>乘客平均轉乘次數同樣多低於其他票種，但部分月份差距有所縮小，顯示</w:t>
      </w:r>
      <w:proofErr w:type="gramStart"/>
      <w:r w:rsidRPr="003B3456">
        <w:rPr>
          <w:rFonts w:hint="eastAsia"/>
          <w:szCs w:val="24"/>
        </w:rPr>
        <w:t>臺</w:t>
      </w:r>
      <w:proofErr w:type="gramEnd"/>
      <w:r w:rsidRPr="003B3456">
        <w:rPr>
          <w:rFonts w:hint="eastAsia"/>
          <w:szCs w:val="24"/>
        </w:rPr>
        <w:t>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w:t>
      </w:r>
      <w:proofErr w:type="gramStart"/>
      <w:r w:rsidRPr="003B3456">
        <w:rPr>
          <w:rFonts w:hint="eastAsia"/>
          <w:szCs w:val="24"/>
        </w:rPr>
        <w:t>臺</w:t>
      </w:r>
      <w:proofErr w:type="gramEnd"/>
      <w:r w:rsidRPr="003B3456">
        <w:rPr>
          <w:rFonts w:hint="eastAsia"/>
          <w:szCs w:val="24"/>
        </w:rPr>
        <w:t>東地區平均轉乘次數高於花蓮地區，</w:t>
      </w:r>
      <w:proofErr w:type="gramStart"/>
      <w:r w:rsidRPr="003B3456">
        <w:rPr>
          <w:rFonts w:hint="eastAsia"/>
          <w:szCs w:val="24"/>
        </w:rPr>
        <w:t>且月別變</w:t>
      </w:r>
      <w:proofErr w:type="gramEnd"/>
      <w:r w:rsidRPr="003B3456">
        <w:rPr>
          <w:rFonts w:hint="eastAsia"/>
          <w:szCs w:val="24"/>
        </w:rPr>
        <w:t>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5A99A9" w14:textId="77777777" w:rsidR="00885FB0" w:rsidRDefault="00885FB0" w:rsidP="00F765B7">
      <w:pPr>
        <w:spacing w:after="0" w:line="240" w:lineRule="auto"/>
      </w:pPr>
      <w:r>
        <w:separator/>
      </w:r>
    </w:p>
  </w:endnote>
  <w:endnote w:type="continuationSeparator" w:id="0">
    <w:p w14:paraId="7E884027" w14:textId="77777777" w:rsidR="00885FB0" w:rsidRDefault="00885FB0"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5318571"/>
      <w:docPartObj>
        <w:docPartGallery w:val="Page Numbers (Bottom of Page)"/>
        <w:docPartUnique/>
      </w:docPartObj>
    </w:sdtPr>
    <w:sdtContent>
      <w:p w14:paraId="01DFE7CB" w14:textId="26F4F1B6" w:rsidR="00214676" w:rsidRDefault="00214676">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214676" w:rsidRDefault="00214676">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7411160"/>
      <w:docPartObj>
        <w:docPartGallery w:val="Page Numbers (Bottom of Page)"/>
        <w:docPartUnique/>
      </w:docPartObj>
    </w:sdtPr>
    <w:sdtContent>
      <w:p w14:paraId="5CCB46B8" w14:textId="77777777" w:rsidR="00214676" w:rsidRDefault="00214676">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214676" w:rsidRDefault="00214676">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CD05957" w14:textId="77777777" w:rsidR="00885FB0" w:rsidRDefault="00885FB0" w:rsidP="00F765B7">
      <w:pPr>
        <w:spacing w:after="0" w:line="240" w:lineRule="auto"/>
      </w:pPr>
      <w:r>
        <w:separator/>
      </w:r>
    </w:p>
  </w:footnote>
  <w:footnote w:type="continuationSeparator" w:id="0">
    <w:p w14:paraId="42D5C6D8" w14:textId="77777777" w:rsidR="00885FB0" w:rsidRDefault="00885FB0" w:rsidP="00F765B7">
      <w:pPr>
        <w:spacing w:after="0" w:line="240" w:lineRule="auto"/>
      </w:pPr>
      <w:r>
        <w:continuationSeparator/>
      </w:r>
    </w:p>
  </w:footnote>
  <w:footnote w:id="1">
    <w:p w14:paraId="3D78F0B6" w14:textId="561BF654" w:rsidR="00214676" w:rsidRPr="00AB33EB" w:rsidRDefault="00214676">
      <w:pPr>
        <w:pStyle w:val="aff"/>
      </w:pPr>
      <w:r>
        <w:rPr>
          <w:rStyle w:val="aff1"/>
        </w:rPr>
        <w:footnoteRef/>
      </w:r>
      <w:r>
        <w:t xml:space="preserve"> </w:t>
      </w:r>
      <w:r>
        <w:t>虛線為</w:t>
      </w:r>
      <w:r>
        <w:t xml:space="preserve"> 113 </w:t>
      </w:r>
      <w:r>
        <w:t>年</w:t>
      </w:r>
      <w:r>
        <w:t xml:space="preserve"> 11 </w:t>
      </w:r>
      <w:r>
        <w:t>月</w:t>
      </w:r>
      <w:r>
        <w:t xml:space="preserve"> 1123 </w:t>
      </w:r>
      <w:proofErr w:type="gramStart"/>
      <w:r>
        <w:t>路線改號為</w:t>
      </w:r>
      <w:proofErr w:type="gramEnd"/>
      <w:r>
        <w:t xml:space="preserve"> 311</w:t>
      </w:r>
      <w:r>
        <w:t>、</w:t>
      </w:r>
      <w:r>
        <w:t xml:space="preserve">311A </w:t>
      </w:r>
      <w:r>
        <w:t>之時點；</w:t>
      </w:r>
      <w:r>
        <w:t xml:space="preserve">1123 </w:t>
      </w:r>
      <w:r>
        <w:t>路線</w:t>
      </w:r>
      <w:proofErr w:type="gramStart"/>
      <w:r>
        <w:t>無站間</w:t>
      </w:r>
      <w:proofErr w:type="gramEnd"/>
      <w:r>
        <w:t>距離資料，</w:t>
      </w:r>
      <w:proofErr w:type="gramStart"/>
      <w:r>
        <w:t>改號前</w:t>
      </w:r>
      <w:proofErr w:type="gramEnd"/>
      <w:r>
        <w:t>未納入里程計算；</w:t>
      </w:r>
      <w:r>
        <w:rPr>
          <w:rFonts w:ascii="Cambria Math" w:hAnsi="Cambria Math" w:cs="Cambria Math"/>
        </w:rPr>
        <w:t>△</w:t>
      </w:r>
      <w:r>
        <w:t xml:space="preserve"> </w:t>
      </w:r>
      <w:r>
        <w:t>為太魯閣客運未提交資料之月份，</w:t>
      </w:r>
      <w:r>
        <w:t xml:space="preserve">115 </w:t>
      </w:r>
      <w:r>
        <w:t>年</w:t>
      </w:r>
      <w:r>
        <w:t xml:space="preserve"> 4 </w:t>
      </w:r>
      <w:r>
        <w:t>月至</w:t>
      </w:r>
      <w:r>
        <w:t xml:space="preserve"> 6 </w:t>
      </w:r>
      <w:r>
        <w:t>月</w:t>
      </w:r>
    </w:p>
  </w:footnote>
  <w:footnote w:id="2">
    <w:p w14:paraId="561FB1EF" w14:textId="6E4B53C0" w:rsidR="00214676" w:rsidRDefault="00214676">
      <w:pPr>
        <w:pStyle w:val="aff"/>
      </w:pPr>
      <w:r>
        <w:rPr>
          <w:rStyle w:val="aff1"/>
        </w:rPr>
        <w:footnoteRef/>
      </w:r>
      <w:r>
        <w:t xml:space="preserve"> </w:t>
      </w:r>
      <w:r>
        <w:rPr>
          <w:rFonts w:ascii="Cambria Math" w:hAnsi="Cambria Math" w:cs="Cambria Math"/>
        </w:rPr>
        <w:t>△</w:t>
      </w:r>
      <w:r>
        <w:t xml:space="preserve"> </w:t>
      </w:r>
      <w:r>
        <w:t>為東台灣客運未提交資料之月份，</w:t>
      </w:r>
      <w:r>
        <w:t xml:space="preserve">114 </w:t>
      </w:r>
      <w:r>
        <w:t>年</w:t>
      </w:r>
      <w:r>
        <w:t xml:space="preserve"> 11 </w:t>
      </w:r>
      <w:r>
        <w:t>月</w:t>
      </w:r>
    </w:p>
  </w:footnote>
  <w:footnote w:id="3">
    <w:p w14:paraId="05172466" w14:textId="56117232" w:rsidR="00214676" w:rsidRDefault="00214676">
      <w:pPr>
        <w:pStyle w:val="aff"/>
      </w:pPr>
      <w:r>
        <w:rPr>
          <w:rStyle w:val="aff1"/>
        </w:rPr>
        <w:footnoteRef/>
      </w:r>
      <w:r>
        <w:rPr>
          <w:rFonts w:ascii="Cambria Math" w:hAnsi="Cambria Math" w:cs="Cambria Math"/>
        </w:rPr>
        <w:t>△</w:t>
      </w:r>
      <w:r>
        <w:t xml:space="preserve"> </w:t>
      </w:r>
      <w:r>
        <w:t>為東台灣客運未提交資料之月份，</w:t>
      </w:r>
      <w:r>
        <w:t xml:space="preserve">114 </w:t>
      </w:r>
      <w:r>
        <w:t>年</w:t>
      </w:r>
      <w:r>
        <w:t xml:space="preserve"> 11 </w:t>
      </w:r>
      <w:r>
        <w:t>月</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abstractNumId w:val="5"/>
  </w:num>
  <w:num w:numId="2">
    <w:abstractNumId w:val="7"/>
  </w:num>
  <w:num w:numId="3">
    <w:abstractNumId w:val="12"/>
  </w:num>
  <w:num w:numId="4">
    <w:abstractNumId w:val="0"/>
  </w:num>
  <w:num w:numId="5">
    <w:abstractNumId w:val="17"/>
  </w:num>
  <w:num w:numId="6">
    <w:abstractNumId w:val="8"/>
  </w:num>
  <w:num w:numId="7">
    <w:abstractNumId w:val="1"/>
  </w:num>
  <w:num w:numId="8">
    <w:abstractNumId w:val="9"/>
  </w:num>
  <w:num w:numId="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abstractNumId w:val="16"/>
  </w:num>
  <w:num w:numId="11">
    <w:abstractNumId w:val="16"/>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grammar="clean"/>
  <w:defaultTabStop w:val="481"/>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2287D"/>
    <w:rsid w:val="00036121"/>
    <w:rsid w:val="0006404D"/>
    <w:rsid w:val="000D6762"/>
    <w:rsid w:val="000E58A2"/>
    <w:rsid w:val="000E7C3A"/>
    <w:rsid w:val="000F633B"/>
    <w:rsid w:val="00104338"/>
    <w:rsid w:val="001123B4"/>
    <w:rsid w:val="001160ED"/>
    <w:rsid w:val="00135476"/>
    <w:rsid w:val="00152057"/>
    <w:rsid w:val="00153F6B"/>
    <w:rsid w:val="0018070C"/>
    <w:rsid w:val="00183A3C"/>
    <w:rsid w:val="0019362B"/>
    <w:rsid w:val="001A21ED"/>
    <w:rsid w:val="001A5D72"/>
    <w:rsid w:val="001B60FA"/>
    <w:rsid w:val="00214676"/>
    <w:rsid w:val="00215B46"/>
    <w:rsid w:val="00233EE8"/>
    <w:rsid w:val="00293F9B"/>
    <w:rsid w:val="002D2313"/>
    <w:rsid w:val="0032275E"/>
    <w:rsid w:val="00332DC8"/>
    <w:rsid w:val="003456D5"/>
    <w:rsid w:val="00346120"/>
    <w:rsid w:val="00351C6A"/>
    <w:rsid w:val="003703B0"/>
    <w:rsid w:val="003B3456"/>
    <w:rsid w:val="003F282A"/>
    <w:rsid w:val="003F2D48"/>
    <w:rsid w:val="003F73FC"/>
    <w:rsid w:val="0041359F"/>
    <w:rsid w:val="00423927"/>
    <w:rsid w:val="004355E8"/>
    <w:rsid w:val="004711C9"/>
    <w:rsid w:val="00482886"/>
    <w:rsid w:val="00490174"/>
    <w:rsid w:val="004C3DB5"/>
    <w:rsid w:val="004C432E"/>
    <w:rsid w:val="004C6C87"/>
    <w:rsid w:val="004D4FF0"/>
    <w:rsid w:val="004E3744"/>
    <w:rsid w:val="004F5626"/>
    <w:rsid w:val="00510EE6"/>
    <w:rsid w:val="00515944"/>
    <w:rsid w:val="005466FA"/>
    <w:rsid w:val="005501DB"/>
    <w:rsid w:val="005510BD"/>
    <w:rsid w:val="005760CB"/>
    <w:rsid w:val="00577514"/>
    <w:rsid w:val="00581B0A"/>
    <w:rsid w:val="005B4B89"/>
    <w:rsid w:val="005B576D"/>
    <w:rsid w:val="005D0551"/>
    <w:rsid w:val="005D2C57"/>
    <w:rsid w:val="005F6BBA"/>
    <w:rsid w:val="006060CB"/>
    <w:rsid w:val="00610647"/>
    <w:rsid w:val="00647679"/>
    <w:rsid w:val="006549DB"/>
    <w:rsid w:val="0069485A"/>
    <w:rsid w:val="006957D7"/>
    <w:rsid w:val="006B22F0"/>
    <w:rsid w:val="006B54BA"/>
    <w:rsid w:val="006C0D77"/>
    <w:rsid w:val="006D1E8D"/>
    <w:rsid w:val="006D62B3"/>
    <w:rsid w:val="006E0B83"/>
    <w:rsid w:val="006E69EC"/>
    <w:rsid w:val="006F1577"/>
    <w:rsid w:val="006F1A11"/>
    <w:rsid w:val="00700EA8"/>
    <w:rsid w:val="0072022F"/>
    <w:rsid w:val="007212EF"/>
    <w:rsid w:val="00745C10"/>
    <w:rsid w:val="00750C25"/>
    <w:rsid w:val="007E48B6"/>
    <w:rsid w:val="007E76ED"/>
    <w:rsid w:val="007F042C"/>
    <w:rsid w:val="00803C67"/>
    <w:rsid w:val="0082460F"/>
    <w:rsid w:val="00846DD7"/>
    <w:rsid w:val="00885FB0"/>
    <w:rsid w:val="008C0F5A"/>
    <w:rsid w:val="008D5B6B"/>
    <w:rsid w:val="008E1DC4"/>
    <w:rsid w:val="00901F81"/>
    <w:rsid w:val="00905B17"/>
    <w:rsid w:val="00907CA9"/>
    <w:rsid w:val="009247BA"/>
    <w:rsid w:val="00926445"/>
    <w:rsid w:val="00936789"/>
    <w:rsid w:val="00940C86"/>
    <w:rsid w:val="00956CEF"/>
    <w:rsid w:val="00990B83"/>
    <w:rsid w:val="00990DC3"/>
    <w:rsid w:val="009B3A87"/>
    <w:rsid w:val="009E4E33"/>
    <w:rsid w:val="009F4731"/>
    <w:rsid w:val="009F660E"/>
    <w:rsid w:val="00A11509"/>
    <w:rsid w:val="00A157B2"/>
    <w:rsid w:val="00A56699"/>
    <w:rsid w:val="00A802A0"/>
    <w:rsid w:val="00AB33EB"/>
    <w:rsid w:val="00AE3960"/>
    <w:rsid w:val="00B25420"/>
    <w:rsid w:val="00B501F5"/>
    <w:rsid w:val="00B53E65"/>
    <w:rsid w:val="00B8157B"/>
    <w:rsid w:val="00B85D15"/>
    <w:rsid w:val="00B96111"/>
    <w:rsid w:val="00BB53D5"/>
    <w:rsid w:val="00BC43A4"/>
    <w:rsid w:val="00BC7106"/>
    <w:rsid w:val="00BD61BE"/>
    <w:rsid w:val="00BE4D76"/>
    <w:rsid w:val="00BE6854"/>
    <w:rsid w:val="00C03689"/>
    <w:rsid w:val="00C2103D"/>
    <w:rsid w:val="00C21189"/>
    <w:rsid w:val="00C25651"/>
    <w:rsid w:val="00C90EC0"/>
    <w:rsid w:val="00C927DE"/>
    <w:rsid w:val="00C94920"/>
    <w:rsid w:val="00C96867"/>
    <w:rsid w:val="00CA04E8"/>
    <w:rsid w:val="00CA16FF"/>
    <w:rsid w:val="00CB01EB"/>
    <w:rsid w:val="00CC68AE"/>
    <w:rsid w:val="00CD328E"/>
    <w:rsid w:val="00D30319"/>
    <w:rsid w:val="00D52BEE"/>
    <w:rsid w:val="00DA7C4A"/>
    <w:rsid w:val="00DD07AA"/>
    <w:rsid w:val="00DE74A7"/>
    <w:rsid w:val="00DF36B3"/>
    <w:rsid w:val="00E014BB"/>
    <w:rsid w:val="00E17511"/>
    <w:rsid w:val="00E27CEA"/>
    <w:rsid w:val="00E50442"/>
    <w:rsid w:val="00E53E4B"/>
    <w:rsid w:val="00E618A5"/>
    <w:rsid w:val="00EA2254"/>
    <w:rsid w:val="00EA5183"/>
    <w:rsid w:val="00EC1F40"/>
    <w:rsid w:val="00ED5331"/>
    <w:rsid w:val="00ED7E68"/>
    <w:rsid w:val="00ED7EB8"/>
    <w:rsid w:val="00EE2886"/>
    <w:rsid w:val="00F10B81"/>
    <w:rsid w:val="00F1261A"/>
    <w:rsid w:val="00F41AAA"/>
    <w:rsid w:val="00F44525"/>
    <w:rsid w:val="00F45293"/>
    <w:rsid w:val="00F765B7"/>
    <w:rsid w:val="00FB687E"/>
    <w:rsid w:val="00FE081F"/>
    <w:rsid w:val="00FE0F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 w:type="character" w:styleId="af8">
    <w:name w:val="annotation reference"/>
    <w:basedOn w:val="a0"/>
    <w:uiPriority w:val="99"/>
    <w:semiHidden/>
    <w:unhideWhenUsed/>
    <w:rsid w:val="00C94920"/>
    <w:rPr>
      <w:sz w:val="18"/>
      <w:szCs w:val="18"/>
    </w:rPr>
  </w:style>
  <w:style w:type="paragraph" w:styleId="af9">
    <w:name w:val="annotation text"/>
    <w:basedOn w:val="a"/>
    <w:link w:val="afa"/>
    <w:uiPriority w:val="99"/>
    <w:semiHidden/>
    <w:unhideWhenUsed/>
    <w:rsid w:val="00C94920"/>
  </w:style>
  <w:style w:type="character" w:customStyle="1" w:styleId="afa">
    <w:name w:val="註解文字 字元"/>
    <w:basedOn w:val="a0"/>
    <w:link w:val="af9"/>
    <w:uiPriority w:val="99"/>
    <w:semiHidden/>
    <w:rsid w:val="00C94920"/>
  </w:style>
  <w:style w:type="paragraph" w:styleId="afb">
    <w:name w:val="annotation subject"/>
    <w:basedOn w:val="af9"/>
    <w:next w:val="af9"/>
    <w:link w:val="afc"/>
    <w:uiPriority w:val="99"/>
    <w:semiHidden/>
    <w:unhideWhenUsed/>
    <w:rsid w:val="00C94920"/>
    <w:rPr>
      <w:b/>
      <w:bCs/>
    </w:rPr>
  </w:style>
  <w:style w:type="character" w:customStyle="1" w:styleId="afc">
    <w:name w:val="註解主旨 字元"/>
    <w:basedOn w:val="afa"/>
    <w:link w:val="afb"/>
    <w:uiPriority w:val="99"/>
    <w:semiHidden/>
    <w:rsid w:val="00C94920"/>
    <w:rPr>
      <w:b/>
      <w:bCs/>
    </w:rPr>
  </w:style>
  <w:style w:type="paragraph" w:styleId="afd">
    <w:name w:val="Balloon Text"/>
    <w:basedOn w:val="a"/>
    <w:link w:val="afe"/>
    <w:uiPriority w:val="99"/>
    <w:semiHidden/>
    <w:unhideWhenUsed/>
    <w:rsid w:val="00C94920"/>
    <w:pPr>
      <w:spacing w:after="0" w:line="240" w:lineRule="auto"/>
    </w:pPr>
    <w:rPr>
      <w:rFonts w:asciiTheme="majorHAnsi" w:eastAsiaTheme="majorEastAsia" w:hAnsiTheme="majorHAnsi" w:cstheme="majorBidi"/>
      <w:sz w:val="18"/>
      <w:szCs w:val="18"/>
    </w:rPr>
  </w:style>
  <w:style w:type="character" w:customStyle="1" w:styleId="afe">
    <w:name w:val="註解方塊文字 字元"/>
    <w:basedOn w:val="a0"/>
    <w:link w:val="afd"/>
    <w:uiPriority w:val="99"/>
    <w:semiHidden/>
    <w:rsid w:val="00C94920"/>
    <w:rPr>
      <w:rFonts w:asciiTheme="majorHAnsi" w:eastAsiaTheme="majorEastAsia" w:hAnsiTheme="majorHAnsi" w:cstheme="majorBidi"/>
      <w:sz w:val="18"/>
      <w:szCs w:val="18"/>
    </w:rPr>
  </w:style>
  <w:style w:type="paragraph" w:styleId="aff">
    <w:name w:val="footnote text"/>
    <w:basedOn w:val="a"/>
    <w:link w:val="aff0"/>
    <w:uiPriority w:val="99"/>
    <w:semiHidden/>
    <w:unhideWhenUsed/>
    <w:rsid w:val="00AB33EB"/>
    <w:pPr>
      <w:snapToGrid w:val="0"/>
    </w:pPr>
    <w:rPr>
      <w:sz w:val="20"/>
      <w:szCs w:val="20"/>
    </w:rPr>
  </w:style>
  <w:style w:type="character" w:customStyle="1" w:styleId="aff0">
    <w:name w:val="註腳文字 字元"/>
    <w:basedOn w:val="a0"/>
    <w:link w:val="aff"/>
    <w:uiPriority w:val="99"/>
    <w:semiHidden/>
    <w:rsid w:val="00AB33EB"/>
    <w:rPr>
      <w:sz w:val="20"/>
      <w:szCs w:val="20"/>
    </w:rPr>
  </w:style>
  <w:style w:type="character" w:styleId="aff1">
    <w:name w:val="footnote reference"/>
    <w:basedOn w:val="a0"/>
    <w:uiPriority w:val="99"/>
    <w:semiHidden/>
    <w:unhideWhenUsed/>
    <w:rsid w:val="00AB33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7723991">
      <w:bodyDiv w:val="1"/>
      <w:marLeft w:val="0"/>
      <w:marRight w:val="0"/>
      <w:marTop w:val="0"/>
      <w:marBottom w:val="0"/>
      <w:divBdr>
        <w:top w:val="none" w:sz="0" w:space="0" w:color="auto"/>
        <w:left w:val="none" w:sz="0" w:space="0" w:color="auto"/>
        <w:bottom w:val="none" w:sz="0" w:space="0" w:color="auto"/>
        <w:right w:val="none" w:sz="0" w:space="0" w:color="auto"/>
      </w:divBdr>
    </w:div>
    <w:div w:id="452599225">
      <w:bodyDiv w:val="1"/>
      <w:marLeft w:val="0"/>
      <w:marRight w:val="0"/>
      <w:marTop w:val="0"/>
      <w:marBottom w:val="0"/>
      <w:divBdr>
        <w:top w:val="none" w:sz="0" w:space="0" w:color="auto"/>
        <w:left w:val="none" w:sz="0" w:space="0" w:color="auto"/>
        <w:bottom w:val="none" w:sz="0" w:space="0" w:color="auto"/>
        <w:right w:val="none" w:sz="0" w:space="0" w:color="auto"/>
      </w:divBdr>
    </w:div>
    <w:div w:id="479420998">
      <w:bodyDiv w:val="1"/>
      <w:marLeft w:val="0"/>
      <w:marRight w:val="0"/>
      <w:marTop w:val="0"/>
      <w:marBottom w:val="0"/>
      <w:divBdr>
        <w:top w:val="none" w:sz="0" w:space="0" w:color="auto"/>
        <w:left w:val="none" w:sz="0" w:space="0" w:color="auto"/>
        <w:bottom w:val="none" w:sz="0" w:space="0" w:color="auto"/>
        <w:right w:val="none" w:sz="0" w:space="0" w:color="auto"/>
      </w:divBdr>
    </w:div>
    <w:div w:id="664943503">
      <w:bodyDiv w:val="1"/>
      <w:marLeft w:val="0"/>
      <w:marRight w:val="0"/>
      <w:marTop w:val="0"/>
      <w:marBottom w:val="0"/>
      <w:divBdr>
        <w:top w:val="none" w:sz="0" w:space="0" w:color="auto"/>
        <w:left w:val="none" w:sz="0" w:space="0" w:color="auto"/>
        <w:bottom w:val="none" w:sz="0" w:space="0" w:color="auto"/>
        <w:right w:val="none" w:sz="0" w:space="0" w:color="auto"/>
      </w:divBdr>
    </w:div>
    <w:div w:id="732705724">
      <w:bodyDiv w:val="1"/>
      <w:marLeft w:val="0"/>
      <w:marRight w:val="0"/>
      <w:marTop w:val="0"/>
      <w:marBottom w:val="0"/>
      <w:divBdr>
        <w:top w:val="none" w:sz="0" w:space="0" w:color="auto"/>
        <w:left w:val="none" w:sz="0" w:space="0" w:color="auto"/>
        <w:bottom w:val="none" w:sz="0" w:space="0" w:color="auto"/>
        <w:right w:val="none" w:sz="0" w:space="0" w:color="auto"/>
      </w:divBdr>
    </w:div>
    <w:div w:id="841552067">
      <w:bodyDiv w:val="1"/>
      <w:marLeft w:val="0"/>
      <w:marRight w:val="0"/>
      <w:marTop w:val="0"/>
      <w:marBottom w:val="0"/>
      <w:divBdr>
        <w:top w:val="none" w:sz="0" w:space="0" w:color="auto"/>
        <w:left w:val="none" w:sz="0" w:space="0" w:color="auto"/>
        <w:bottom w:val="none" w:sz="0" w:space="0" w:color="auto"/>
        <w:right w:val="none" w:sz="0" w:space="0" w:color="auto"/>
      </w:divBdr>
    </w:div>
    <w:div w:id="1016155600">
      <w:bodyDiv w:val="1"/>
      <w:marLeft w:val="0"/>
      <w:marRight w:val="0"/>
      <w:marTop w:val="0"/>
      <w:marBottom w:val="0"/>
      <w:divBdr>
        <w:top w:val="none" w:sz="0" w:space="0" w:color="auto"/>
        <w:left w:val="none" w:sz="0" w:space="0" w:color="auto"/>
        <w:bottom w:val="none" w:sz="0" w:space="0" w:color="auto"/>
        <w:right w:val="none" w:sz="0" w:space="0" w:color="auto"/>
      </w:divBdr>
    </w:div>
    <w:div w:id="1079596752">
      <w:bodyDiv w:val="1"/>
      <w:marLeft w:val="0"/>
      <w:marRight w:val="0"/>
      <w:marTop w:val="0"/>
      <w:marBottom w:val="0"/>
      <w:divBdr>
        <w:top w:val="none" w:sz="0" w:space="0" w:color="auto"/>
        <w:left w:val="none" w:sz="0" w:space="0" w:color="auto"/>
        <w:bottom w:val="none" w:sz="0" w:space="0" w:color="auto"/>
        <w:right w:val="none" w:sz="0" w:space="0" w:color="auto"/>
      </w:divBdr>
    </w:div>
    <w:div w:id="1098453829">
      <w:bodyDiv w:val="1"/>
      <w:marLeft w:val="0"/>
      <w:marRight w:val="0"/>
      <w:marTop w:val="0"/>
      <w:marBottom w:val="0"/>
      <w:divBdr>
        <w:top w:val="none" w:sz="0" w:space="0" w:color="auto"/>
        <w:left w:val="none" w:sz="0" w:space="0" w:color="auto"/>
        <w:bottom w:val="none" w:sz="0" w:space="0" w:color="auto"/>
        <w:right w:val="none" w:sz="0" w:space="0" w:color="auto"/>
      </w:divBdr>
    </w:div>
    <w:div w:id="1244610105">
      <w:bodyDiv w:val="1"/>
      <w:marLeft w:val="0"/>
      <w:marRight w:val="0"/>
      <w:marTop w:val="0"/>
      <w:marBottom w:val="0"/>
      <w:divBdr>
        <w:top w:val="none" w:sz="0" w:space="0" w:color="auto"/>
        <w:left w:val="none" w:sz="0" w:space="0" w:color="auto"/>
        <w:bottom w:val="none" w:sz="0" w:space="0" w:color="auto"/>
        <w:right w:val="none" w:sz="0" w:space="0" w:color="auto"/>
      </w:divBdr>
    </w:div>
    <w:div w:id="1372419455">
      <w:bodyDiv w:val="1"/>
      <w:marLeft w:val="0"/>
      <w:marRight w:val="0"/>
      <w:marTop w:val="0"/>
      <w:marBottom w:val="0"/>
      <w:divBdr>
        <w:top w:val="none" w:sz="0" w:space="0" w:color="auto"/>
        <w:left w:val="none" w:sz="0" w:space="0" w:color="auto"/>
        <w:bottom w:val="none" w:sz="0" w:space="0" w:color="auto"/>
        <w:right w:val="none" w:sz="0" w:space="0" w:color="auto"/>
      </w:divBdr>
    </w:div>
    <w:div w:id="1483084755">
      <w:bodyDiv w:val="1"/>
      <w:marLeft w:val="0"/>
      <w:marRight w:val="0"/>
      <w:marTop w:val="0"/>
      <w:marBottom w:val="0"/>
      <w:divBdr>
        <w:top w:val="none" w:sz="0" w:space="0" w:color="auto"/>
        <w:left w:val="none" w:sz="0" w:space="0" w:color="auto"/>
        <w:bottom w:val="none" w:sz="0" w:space="0" w:color="auto"/>
        <w:right w:val="none" w:sz="0" w:space="0" w:color="auto"/>
      </w:divBdr>
    </w:div>
    <w:div w:id="1500659221">
      <w:bodyDiv w:val="1"/>
      <w:marLeft w:val="0"/>
      <w:marRight w:val="0"/>
      <w:marTop w:val="0"/>
      <w:marBottom w:val="0"/>
      <w:divBdr>
        <w:top w:val="none" w:sz="0" w:space="0" w:color="auto"/>
        <w:left w:val="none" w:sz="0" w:space="0" w:color="auto"/>
        <w:bottom w:val="none" w:sz="0" w:space="0" w:color="auto"/>
        <w:right w:val="none" w:sz="0" w:space="0" w:color="auto"/>
      </w:divBdr>
    </w:div>
    <w:div w:id="1552688584">
      <w:bodyDiv w:val="1"/>
      <w:marLeft w:val="0"/>
      <w:marRight w:val="0"/>
      <w:marTop w:val="0"/>
      <w:marBottom w:val="0"/>
      <w:divBdr>
        <w:top w:val="none" w:sz="0" w:space="0" w:color="auto"/>
        <w:left w:val="none" w:sz="0" w:space="0" w:color="auto"/>
        <w:bottom w:val="none" w:sz="0" w:space="0" w:color="auto"/>
        <w:right w:val="none" w:sz="0" w:space="0" w:color="auto"/>
      </w:divBdr>
    </w:div>
    <w:div w:id="1573390064">
      <w:bodyDiv w:val="1"/>
      <w:marLeft w:val="0"/>
      <w:marRight w:val="0"/>
      <w:marTop w:val="0"/>
      <w:marBottom w:val="0"/>
      <w:divBdr>
        <w:top w:val="none" w:sz="0" w:space="0" w:color="auto"/>
        <w:left w:val="none" w:sz="0" w:space="0" w:color="auto"/>
        <w:bottom w:val="none" w:sz="0" w:space="0" w:color="auto"/>
        <w:right w:val="none" w:sz="0" w:space="0" w:color="auto"/>
      </w:divBdr>
    </w:div>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 w:id="1614822121">
      <w:bodyDiv w:val="1"/>
      <w:marLeft w:val="0"/>
      <w:marRight w:val="0"/>
      <w:marTop w:val="0"/>
      <w:marBottom w:val="0"/>
      <w:divBdr>
        <w:top w:val="none" w:sz="0" w:space="0" w:color="auto"/>
        <w:left w:val="none" w:sz="0" w:space="0" w:color="auto"/>
        <w:bottom w:val="none" w:sz="0" w:space="0" w:color="auto"/>
        <w:right w:val="none" w:sz="0" w:space="0" w:color="auto"/>
      </w:divBdr>
    </w:div>
    <w:div w:id="1664697136">
      <w:bodyDiv w:val="1"/>
      <w:marLeft w:val="0"/>
      <w:marRight w:val="0"/>
      <w:marTop w:val="0"/>
      <w:marBottom w:val="0"/>
      <w:divBdr>
        <w:top w:val="none" w:sz="0" w:space="0" w:color="auto"/>
        <w:left w:val="none" w:sz="0" w:space="0" w:color="auto"/>
        <w:bottom w:val="none" w:sz="0" w:space="0" w:color="auto"/>
        <w:right w:val="none" w:sz="0" w:space="0" w:color="auto"/>
      </w:divBdr>
    </w:div>
    <w:div w:id="1738698368">
      <w:bodyDiv w:val="1"/>
      <w:marLeft w:val="0"/>
      <w:marRight w:val="0"/>
      <w:marTop w:val="0"/>
      <w:marBottom w:val="0"/>
      <w:divBdr>
        <w:top w:val="none" w:sz="0" w:space="0" w:color="auto"/>
        <w:left w:val="none" w:sz="0" w:space="0" w:color="auto"/>
        <w:bottom w:val="none" w:sz="0" w:space="0" w:color="auto"/>
        <w:right w:val="none" w:sz="0" w:space="0" w:color="auto"/>
      </w:divBdr>
    </w:div>
    <w:div w:id="2005886970">
      <w:bodyDiv w:val="1"/>
      <w:marLeft w:val="0"/>
      <w:marRight w:val="0"/>
      <w:marTop w:val="0"/>
      <w:marBottom w:val="0"/>
      <w:divBdr>
        <w:top w:val="none" w:sz="0" w:space="0" w:color="auto"/>
        <w:left w:val="none" w:sz="0" w:space="0" w:color="auto"/>
        <w:bottom w:val="none" w:sz="0" w:space="0" w:color="auto"/>
        <w:right w:val="none" w:sz="0" w:space="0" w:color="auto"/>
      </w:divBdr>
    </w:div>
    <w:div w:id="2011444704">
      <w:bodyDiv w:val="1"/>
      <w:marLeft w:val="0"/>
      <w:marRight w:val="0"/>
      <w:marTop w:val="0"/>
      <w:marBottom w:val="0"/>
      <w:divBdr>
        <w:top w:val="none" w:sz="0" w:space="0" w:color="auto"/>
        <w:left w:val="none" w:sz="0" w:space="0" w:color="auto"/>
        <w:bottom w:val="none" w:sz="0" w:space="0" w:color="auto"/>
        <w:right w:val="none" w:sz="0" w:space="0" w:color="auto"/>
      </w:divBdr>
    </w:div>
    <w:div w:id="2030134220">
      <w:bodyDiv w:val="1"/>
      <w:marLeft w:val="0"/>
      <w:marRight w:val="0"/>
      <w:marTop w:val="0"/>
      <w:marBottom w:val="0"/>
      <w:divBdr>
        <w:top w:val="none" w:sz="0" w:space="0" w:color="auto"/>
        <w:left w:val="none" w:sz="0" w:space="0" w:color="auto"/>
        <w:bottom w:val="none" w:sz="0" w:space="0" w:color="auto"/>
        <w:right w:val="none" w:sz="0" w:space="0" w:color="auto"/>
      </w:divBdr>
    </w:div>
    <w:div w:id="2046252806">
      <w:bodyDiv w:val="1"/>
      <w:marLeft w:val="0"/>
      <w:marRight w:val="0"/>
      <w:marTop w:val="0"/>
      <w:marBottom w:val="0"/>
      <w:divBdr>
        <w:top w:val="none" w:sz="0" w:space="0" w:color="auto"/>
        <w:left w:val="none" w:sz="0" w:space="0" w:color="auto"/>
        <w:bottom w:val="none" w:sz="0" w:space="0" w:color="auto"/>
        <w:right w:val="none" w:sz="0" w:space="0" w:color="auto"/>
      </w:divBdr>
    </w:div>
    <w:div w:id="2047294796">
      <w:bodyDiv w:val="1"/>
      <w:marLeft w:val="0"/>
      <w:marRight w:val="0"/>
      <w:marTop w:val="0"/>
      <w:marBottom w:val="0"/>
      <w:divBdr>
        <w:top w:val="none" w:sz="0" w:space="0" w:color="auto"/>
        <w:left w:val="none" w:sz="0" w:space="0" w:color="auto"/>
        <w:bottom w:val="none" w:sz="0" w:space="0" w:color="auto"/>
        <w:right w:val="none" w:sz="0" w:space="0" w:color="auto"/>
      </w:divBdr>
    </w:div>
    <w:div w:id="2063940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142FB-CB20-4A22-9210-00694F9DD4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13161</TotalTime>
  <Pages>38</Pages>
  <Words>4694</Words>
  <Characters>26762</Characters>
  <Application>Microsoft Office Word</Application>
  <DocSecurity>0</DocSecurity>
  <Lines>223</Lines>
  <Paragraphs>62</Paragraphs>
  <ScaleCrop>false</ScaleCrop>
  <Company/>
  <LinksUpToDate>false</LinksUpToDate>
  <CharactersWithSpaces>31394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鍾艾岑</cp:lastModifiedBy>
  <cp:revision>85</cp:revision>
  <cp:lastPrinted>2026-09-07T13:06:00Z</cp:lastPrinted>
  <dcterms:created xsi:type="dcterms:W3CDTF">2026-08-25T17:33:00Z</dcterms:created>
  <dcterms:modified xsi:type="dcterms:W3CDTF">2026-10-07T05:37:00Z</dcterms:modified>
</cp:coreProperties>
</file>