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3995" w14:textId="1C6B7C00" w:rsidR="00346120" w:rsidRPr="001A5D72" w:rsidRDefault="00346120" w:rsidP="001A5D72">
      <w:pPr>
        <w:pStyle w:val="a9"/>
        <w:numPr>
          <w:ilvl w:val="0"/>
          <w:numId w:val="1"/>
        </w:numPr>
        <w:jc w:val="center"/>
        <w:rPr>
          <w:rFonts w:ascii="標楷體" w:eastAsia="標楷體" w:hAnsi="標楷體"/>
          <w:b/>
          <w:bCs/>
          <w:sz w:val="27"/>
          <w:szCs w:val="27"/>
        </w:rPr>
      </w:pPr>
      <w:r w:rsidRPr="001A5D72">
        <w:rPr>
          <w:rFonts w:ascii="標楷體" w:eastAsia="標楷體" w:hAnsi="標楷體" w:hint="eastAsia"/>
          <w:b/>
          <w:bCs/>
          <w:sz w:val="27"/>
          <w:szCs w:val="27"/>
        </w:rPr>
        <w:t>花東TPASS</w:t>
      </w:r>
      <w:r w:rsidR="00215B46">
        <w:rPr>
          <w:rFonts w:ascii="標楷體" w:eastAsia="標楷體" w:hAnsi="標楷體" w:hint="eastAsia"/>
          <w:b/>
          <w:bCs/>
          <w:sz w:val="27"/>
          <w:szCs w:val="27"/>
        </w:rPr>
        <w:t xml:space="preserve"> 使用比例分析</w:t>
      </w:r>
      <w:r w:rsidR="00215B46" w:rsidRPr="001A5D72">
        <w:rPr>
          <w:rFonts w:ascii="標楷體" w:eastAsia="標楷體" w:hAnsi="標楷體"/>
          <w:b/>
          <w:bCs/>
          <w:sz w:val="27"/>
          <w:szCs w:val="27"/>
        </w:rPr>
        <w:t xml:space="preserve"> </w:t>
      </w:r>
    </w:p>
    <w:p w14:paraId="05C59384" w14:textId="77777777" w:rsidR="001A5D72" w:rsidRPr="001A5D72" w:rsidRDefault="001A5D72" w:rsidP="001A5D72">
      <w:pPr>
        <w:pStyle w:val="a9"/>
        <w:ind w:left="950"/>
        <w:rPr>
          <w:rFonts w:ascii="標楷體" w:eastAsia="標楷體" w:hAnsi="標楷體"/>
          <w:b/>
          <w:bCs/>
          <w:sz w:val="27"/>
          <w:szCs w:val="27"/>
        </w:rPr>
      </w:pPr>
    </w:p>
    <w:p w14:paraId="7FCC7FDF" w14:textId="6FB67836" w:rsidR="00346120" w:rsidRPr="008E1DC4" w:rsidRDefault="008E1DC4" w:rsidP="00346120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</w:t>
      </w:r>
      <w:r w:rsidR="00346120" w:rsidRPr="008E1DC4">
        <w:rPr>
          <w:rFonts w:ascii="標楷體" w:eastAsia="標楷體" w:hAnsi="標楷體"/>
          <w:sz w:val="27"/>
          <w:szCs w:val="27"/>
        </w:rPr>
        <w:t>本章節針對TPASS月票，分析其逐月使用占比變化，比較市區客運及公路客運之差異，票證資料之時間範圍涵蓋113年</w:t>
      </w:r>
      <w:r w:rsidR="00346120" w:rsidRPr="008E1DC4">
        <w:rPr>
          <w:rFonts w:ascii="標楷體" w:eastAsia="標楷體" w:hAnsi="標楷體" w:hint="eastAsia"/>
          <w:sz w:val="27"/>
          <w:szCs w:val="27"/>
        </w:rPr>
        <w:t>6</w:t>
      </w:r>
      <w:r w:rsidR="00346120" w:rsidRPr="008E1DC4">
        <w:rPr>
          <w:rFonts w:ascii="標楷體" w:eastAsia="標楷體" w:hAnsi="標楷體"/>
          <w:sz w:val="27"/>
          <w:szCs w:val="27"/>
        </w:rPr>
        <w:t>月至11</w:t>
      </w:r>
      <w:r w:rsidR="00346120" w:rsidRPr="008E1DC4">
        <w:rPr>
          <w:rFonts w:ascii="標楷體" w:eastAsia="標楷體" w:hAnsi="標楷體" w:hint="eastAsia"/>
          <w:sz w:val="27"/>
          <w:szCs w:val="27"/>
        </w:rPr>
        <w:t>5</w:t>
      </w:r>
      <w:r w:rsidR="00346120" w:rsidRPr="008E1DC4">
        <w:rPr>
          <w:rFonts w:ascii="標楷體" w:eastAsia="標楷體" w:hAnsi="標楷體"/>
          <w:sz w:val="27"/>
          <w:szCs w:val="27"/>
        </w:rPr>
        <w:t>年6月。</w:t>
      </w:r>
      <w:r w:rsidR="001160ED" w:rsidRPr="008E1DC4">
        <w:rPr>
          <w:rFonts w:ascii="標楷體" w:eastAsia="標楷體" w:hAnsi="標楷體" w:hint="eastAsia"/>
          <w:sz w:val="27"/>
          <w:szCs w:val="27"/>
        </w:rPr>
        <w:t>統計方式為TPASS月票每月使用人數占每月整體搭乘人數之百分比。</w:t>
      </w:r>
      <w:r w:rsidR="00346120" w:rsidRPr="008E1DC4">
        <w:rPr>
          <w:rFonts w:ascii="標楷體" w:eastAsia="標楷體" w:hAnsi="標楷體"/>
          <w:sz w:val="27"/>
          <w:szCs w:val="27"/>
        </w:rPr>
        <w:t xml:space="preserve"> </w:t>
      </w:r>
    </w:p>
    <w:p w14:paraId="69711A4E" w14:textId="19520CA5" w:rsidR="009B3A87" w:rsidRPr="001160ED" w:rsidRDefault="00346120" w:rsidP="009B3A87">
      <w:pPr>
        <w:rPr>
          <w:rFonts w:ascii="標楷體" w:eastAsia="標楷體" w:hAnsi="標楷體"/>
          <w:b/>
          <w:bCs/>
          <w:sz w:val="27"/>
          <w:szCs w:val="27"/>
        </w:rPr>
      </w:pPr>
      <w:r w:rsidRPr="001160ED">
        <w:rPr>
          <w:rFonts w:ascii="標楷體" w:eastAsia="標楷體" w:hAnsi="標楷體" w:hint="eastAsia"/>
          <w:b/>
          <w:bCs/>
          <w:sz w:val="27"/>
          <w:szCs w:val="27"/>
        </w:rPr>
        <w:t>1</w:t>
      </w:r>
      <w:r w:rsidRPr="001160ED">
        <w:rPr>
          <w:rFonts w:ascii="標楷體" w:eastAsia="標楷體" w:hAnsi="標楷體"/>
          <w:b/>
          <w:bCs/>
          <w:sz w:val="27"/>
          <w:szCs w:val="27"/>
        </w:rPr>
        <w:t xml:space="preserve">.1 花蓮縣TPASS月票使用比例 </w:t>
      </w:r>
    </w:p>
    <w:p w14:paraId="1FFBD864" w14:textId="7BBBE284" w:rsidR="001A21ED" w:rsidRPr="009B3A87" w:rsidRDefault="001A21ED" w:rsidP="009B3A87">
      <w:pPr>
        <w:rPr>
          <w:rFonts w:ascii="標楷體" w:eastAsia="標楷體" w:hAnsi="標楷體"/>
          <w:sz w:val="27"/>
          <w:szCs w:val="27"/>
        </w:rPr>
      </w:pPr>
      <w:r w:rsidRPr="001A21ED">
        <w:rPr>
          <w:rFonts w:ascii="標楷體" w:eastAsia="標楷體" w:hAnsi="標楷體"/>
          <w:noProof/>
          <w:sz w:val="27"/>
          <w:szCs w:val="27"/>
        </w:rPr>
        <w:drawing>
          <wp:inline distT="0" distB="0" distL="0" distR="0" wp14:anchorId="6C009A95" wp14:editId="7C43B244">
            <wp:extent cx="5600026" cy="1866900"/>
            <wp:effectExtent l="0" t="0" r="1270" b="0"/>
            <wp:docPr id="66778456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162" cy="187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B0E94" w14:textId="4C30AC00" w:rsidR="009B3A87" w:rsidRPr="009B3A87" w:rsidRDefault="009B3A87" w:rsidP="009B3A87">
      <w:pPr>
        <w:rPr>
          <w:rFonts w:ascii="標楷體" w:eastAsia="標楷體" w:hAnsi="標楷體"/>
          <w:sz w:val="27"/>
          <w:szCs w:val="27"/>
        </w:rPr>
      </w:pPr>
      <w:r w:rsidRPr="009B3A87">
        <w:rPr>
          <w:rFonts w:ascii="標楷體" w:eastAsia="標楷體" w:hAnsi="標楷體"/>
          <w:sz w:val="27"/>
          <w:szCs w:val="27"/>
        </w:rPr>
        <w:t>圖</w:t>
      </w:r>
      <w:r>
        <w:rPr>
          <w:rFonts w:ascii="標楷體" w:eastAsia="標楷體" w:hAnsi="標楷體" w:hint="eastAsia"/>
          <w:sz w:val="27"/>
          <w:szCs w:val="27"/>
        </w:rPr>
        <w:t>1</w:t>
      </w:r>
      <w:r w:rsidRPr="009B3A87">
        <w:rPr>
          <w:rFonts w:ascii="標楷體" w:eastAsia="標楷體" w:hAnsi="標楷體"/>
          <w:sz w:val="27"/>
          <w:szCs w:val="27"/>
        </w:rPr>
        <w:t>.1.1 113年</w:t>
      </w:r>
      <w:r>
        <w:rPr>
          <w:rFonts w:ascii="標楷體" w:eastAsia="標楷體" w:hAnsi="標楷體" w:hint="eastAsia"/>
          <w:sz w:val="27"/>
          <w:szCs w:val="27"/>
        </w:rPr>
        <w:t>6</w:t>
      </w:r>
      <w:r w:rsidRPr="009B3A87">
        <w:rPr>
          <w:rFonts w:ascii="標楷體" w:eastAsia="標楷體" w:hAnsi="標楷體"/>
          <w:sz w:val="27"/>
          <w:szCs w:val="27"/>
        </w:rPr>
        <w:t>月至11</w:t>
      </w:r>
      <w:r>
        <w:rPr>
          <w:rFonts w:ascii="標楷體" w:eastAsia="標楷體" w:hAnsi="標楷體" w:hint="eastAsia"/>
          <w:sz w:val="27"/>
          <w:szCs w:val="27"/>
        </w:rPr>
        <w:t>5</w:t>
      </w:r>
      <w:r w:rsidRPr="009B3A87">
        <w:rPr>
          <w:rFonts w:ascii="標楷體" w:eastAsia="標楷體" w:hAnsi="標楷體"/>
          <w:sz w:val="27"/>
          <w:szCs w:val="27"/>
        </w:rPr>
        <w:t>年6月花蓮縣</w:t>
      </w:r>
      <w:r>
        <w:rPr>
          <w:rFonts w:ascii="標楷體" w:eastAsia="標楷體" w:hAnsi="標楷體" w:hint="eastAsia"/>
          <w:sz w:val="27"/>
          <w:szCs w:val="27"/>
        </w:rPr>
        <w:t>公路</w:t>
      </w:r>
      <w:r w:rsidRPr="009B3A87">
        <w:rPr>
          <w:rFonts w:ascii="標楷體" w:eastAsia="標楷體" w:hAnsi="標楷體"/>
          <w:sz w:val="27"/>
          <w:szCs w:val="27"/>
        </w:rPr>
        <w:t xml:space="preserve">客運TPASS使用比例折線圖 </w:t>
      </w:r>
    </w:p>
    <w:p w14:paraId="0E21CAA2" w14:textId="24A3275F" w:rsidR="001A5D72" w:rsidRDefault="00940C86" w:rsidP="009B3A87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根據圖1.1.1顯示，</w:t>
      </w:r>
      <w:r w:rsidRPr="00940C86">
        <w:rPr>
          <w:rFonts w:ascii="標楷體" w:eastAsia="標楷體" w:hAnsi="標楷體"/>
          <w:sz w:val="27"/>
          <w:szCs w:val="27"/>
        </w:rPr>
        <w:t>113年6月至115年6月期間，花蓮縣公路客運 TPASS 使用比例整體呈現波動，並無明顯上升或下降</w:t>
      </w:r>
      <w:r>
        <w:rPr>
          <w:rFonts w:ascii="標楷體" w:eastAsia="標楷體" w:hAnsi="標楷體" w:hint="eastAsia"/>
          <w:sz w:val="27"/>
          <w:szCs w:val="27"/>
        </w:rPr>
        <w:t>的</w:t>
      </w:r>
      <w:r w:rsidRPr="00940C86">
        <w:rPr>
          <w:rFonts w:ascii="標楷體" w:eastAsia="標楷體" w:hAnsi="標楷體"/>
          <w:sz w:val="27"/>
          <w:szCs w:val="27"/>
        </w:rPr>
        <w:t>趨勢。期間以114年11月的22.4%為最高，</w:t>
      </w:r>
      <w:r>
        <w:rPr>
          <w:rFonts w:ascii="標楷體" w:eastAsia="標楷體" w:hAnsi="標楷體" w:hint="eastAsia"/>
          <w:sz w:val="27"/>
          <w:szCs w:val="27"/>
        </w:rPr>
        <w:t>相對</w:t>
      </w:r>
      <w:r w:rsidRPr="00940C86">
        <w:rPr>
          <w:rFonts w:ascii="標楷體" w:eastAsia="標楷體" w:hAnsi="標楷體"/>
          <w:sz w:val="27"/>
          <w:szCs w:val="27"/>
        </w:rPr>
        <w:t>低</w:t>
      </w:r>
      <w:r>
        <w:rPr>
          <w:rFonts w:ascii="標楷體" w:eastAsia="標楷體" w:hAnsi="標楷體" w:hint="eastAsia"/>
          <w:sz w:val="27"/>
          <w:szCs w:val="27"/>
        </w:rPr>
        <w:t>谷則分別為113年7月的13.4 %、113年8月的</w:t>
      </w:r>
      <w:r>
        <w:rPr>
          <w:rFonts w:ascii="標楷體" w:eastAsia="標楷體" w:hAnsi="標楷體"/>
          <w:sz w:val="27"/>
          <w:szCs w:val="27"/>
        </w:rPr>
        <w:t>1</w:t>
      </w:r>
      <w:r>
        <w:rPr>
          <w:rFonts w:ascii="標楷體" w:eastAsia="標楷體" w:hAnsi="標楷體" w:hint="eastAsia"/>
          <w:sz w:val="27"/>
          <w:szCs w:val="27"/>
        </w:rPr>
        <w:t>2.8 %、114年8月的</w:t>
      </w:r>
      <w:r>
        <w:rPr>
          <w:rFonts w:ascii="標楷體" w:eastAsia="標楷體" w:hAnsi="標楷體"/>
          <w:sz w:val="27"/>
          <w:szCs w:val="27"/>
        </w:rPr>
        <w:t>1</w:t>
      </w:r>
      <w:r>
        <w:rPr>
          <w:rFonts w:ascii="標楷體" w:eastAsia="標楷體" w:hAnsi="標楷體" w:hint="eastAsia"/>
          <w:sz w:val="27"/>
          <w:szCs w:val="27"/>
        </w:rPr>
        <w:t>3.0 % 及115年2月的13.3 %</w:t>
      </w:r>
      <w:r w:rsidRPr="00940C86">
        <w:rPr>
          <w:rFonts w:ascii="標楷體" w:eastAsia="標楷體" w:hAnsi="標楷體"/>
          <w:sz w:val="27"/>
          <w:szCs w:val="27"/>
        </w:rPr>
        <w:t>。從各月份變化來看，使用比例有數次下降後再回升的情形，推測可能受到寒暑假、開學及旅運需求變化影響。整體而言，TPASS 使用比例大致維持在一定範圍內</w:t>
      </w:r>
      <w:r>
        <w:rPr>
          <w:rFonts w:ascii="標楷體" w:eastAsia="標楷體" w:hAnsi="標楷體" w:hint="eastAsia"/>
          <w:sz w:val="27"/>
          <w:szCs w:val="27"/>
        </w:rPr>
        <w:t>，</w:t>
      </w:r>
      <w:r w:rsidR="001A5D72">
        <w:rPr>
          <w:rFonts w:ascii="標楷體" w:eastAsia="標楷體" w:hAnsi="標楷體" w:hint="eastAsia"/>
          <w:sz w:val="27"/>
          <w:szCs w:val="27"/>
        </w:rPr>
        <w:t>且</w:t>
      </w:r>
      <w:r w:rsidRPr="00940C86">
        <w:rPr>
          <w:rFonts w:ascii="標楷體" w:eastAsia="標楷體" w:hAnsi="標楷體"/>
          <w:sz w:val="27"/>
          <w:szCs w:val="27"/>
        </w:rPr>
        <w:t>TPASS 使用比例</w:t>
      </w:r>
      <w:r w:rsidR="001A5D72">
        <w:rPr>
          <w:rFonts w:ascii="標楷體" w:eastAsia="標楷體" w:hAnsi="標楷體" w:hint="eastAsia"/>
          <w:sz w:val="27"/>
          <w:szCs w:val="27"/>
        </w:rPr>
        <w:t>雖</w:t>
      </w:r>
      <w:r w:rsidRPr="00940C86">
        <w:rPr>
          <w:rFonts w:ascii="標楷體" w:eastAsia="標楷體" w:hAnsi="標楷體"/>
          <w:sz w:val="27"/>
          <w:szCs w:val="27"/>
        </w:rPr>
        <w:t>有明顯波動，但尚未看出明確的長期變化趨勢</w:t>
      </w:r>
      <w:r w:rsidR="001A5D72">
        <w:rPr>
          <w:rFonts w:ascii="標楷體" w:eastAsia="標楷體" w:hAnsi="標楷體" w:hint="eastAsia"/>
          <w:sz w:val="27"/>
          <w:szCs w:val="27"/>
        </w:rPr>
        <w:t>。</w:t>
      </w:r>
    </w:p>
    <w:p w14:paraId="0C44EF4E" w14:textId="77777777" w:rsidR="001A5D72" w:rsidRDefault="001A5D72" w:rsidP="009B3A87">
      <w:pPr>
        <w:rPr>
          <w:rFonts w:ascii="標楷體" w:eastAsia="標楷體" w:hAnsi="標楷體"/>
          <w:sz w:val="27"/>
          <w:szCs w:val="27"/>
        </w:rPr>
      </w:pPr>
    </w:p>
    <w:p w14:paraId="5ED29F80" w14:textId="7C17F83B" w:rsidR="001A5D72" w:rsidRDefault="001A5D72" w:rsidP="009B3A87">
      <w:pPr>
        <w:rPr>
          <w:rFonts w:ascii="標楷體" w:eastAsia="標楷體" w:hAnsi="標楷體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3E9AFC13" wp14:editId="25230C12">
            <wp:extent cx="5599430" cy="1866701"/>
            <wp:effectExtent l="0" t="0" r="1270" b="635"/>
            <wp:docPr id="24161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1074" cy="187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9397" w14:textId="6D39548B" w:rsidR="001A5D72" w:rsidRPr="009B3A87" w:rsidRDefault="001A5D72" w:rsidP="001A5D72">
      <w:pPr>
        <w:rPr>
          <w:rFonts w:ascii="標楷體" w:eastAsia="標楷體" w:hAnsi="標楷體"/>
          <w:sz w:val="27"/>
          <w:szCs w:val="27"/>
        </w:rPr>
      </w:pPr>
      <w:r w:rsidRPr="009B3A87">
        <w:rPr>
          <w:rFonts w:ascii="標楷體" w:eastAsia="標楷體" w:hAnsi="標楷體"/>
          <w:sz w:val="27"/>
          <w:szCs w:val="27"/>
        </w:rPr>
        <w:t>圖</w:t>
      </w:r>
      <w:r>
        <w:rPr>
          <w:rFonts w:ascii="標楷體" w:eastAsia="標楷體" w:hAnsi="標楷體" w:hint="eastAsia"/>
          <w:sz w:val="27"/>
          <w:szCs w:val="27"/>
        </w:rPr>
        <w:t>1</w:t>
      </w:r>
      <w:r w:rsidRPr="009B3A87">
        <w:rPr>
          <w:rFonts w:ascii="標楷體" w:eastAsia="標楷體" w:hAnsi="標楷體"/>
          <w:sz w:val="27"/>
          <w:szCs w:val="27"/>
        </w:rPr>
        <w:t>.</w:t>
      </w:r>
      <w:r>
        <w:rPr>
          <w:rFonts w:ascii="標楷體" w:eastAsia="標楷體" w:hAnsi="標楷體" w:hint="eastAsia"/>
          <w:sz w:val="27"/>
          <w:szCs w:val="27"/>
        </w:rPr>
        <w:t>1</w:t>
      </w:r>
      <w:r w:rsidRPr="009B3A87">
        <w:rPr>
          <w:rFonts w:ascii="標楷體" w:eastAsia="標楷體" w:hAnsi="標楷體"/>
          <w:sz w:val="27"/>
          <w:szCs w:val="27"/>
        </w:rPr>
        <w:t>.</w:t>
      </w:r>
      <w:r>
        <w:rPr>
          <w:rFonts w:ascii="標楷體" w:eastAsia="標楷體" w:hAnsi="標楷體" w:hint="eastAsia"/>
          <w:sz w:val="27"/>
          <w:szCs w:val="27"/>
        </w:rPr>
        <w:t>2</w:t>
      </w:r>
      <w:r w:rsidRPr="009B3A87">
        <w:rPr>
          <w:rFonts w:ascii="標楷體" w:eastAsia="標楷體" w:hAnsi="標楷體"/>
          <w:sz w:val="27"/>
          <w:szCs w:val="27"/>
        </w:rPr>
        <w:t xml:space="preserve"> 113年</w:t>
      </w:r>
      <w:r>
        <w:rPr>
          <w:rFonts w:ascii="標楷體" w:eastAsia="標楷體" w:hAnsi="標楷體" w:hint="eastAsia"/>
          <w:sz w:val="27"/>
          <w:szCs w:val="27"/>
        </w:rPr>
        <w:t>6</w:t>
      </w:r>
      <w:r w:rsidRPr="009B3A87">
        <w:rPr>
          <w:rFonts w:ascii="標楷體" w:eastAsia="標楷體" w:hAnsi="標楷體"/>
          <w:sz w:val="27"/>
          <w:szCs w:val="27"/>
        </w:rPr>
        <w:t>月至11</w:t>
      </w:r>
      <w:r>
        <w:rPr>
          <w:rFonts w:ascii="標楷體" w:eastAsia="標楷體" w:hAnsi="標楷體" w:hint="eastAsia"/>
          <w:sz w:val="27"/>
          <w:szCs w:val="27"/>
        </w:rPr>
        <w:t>5</w:t>
      </w:r>
      <w:r w:rsidRPr="009B3A87">
        <w:rPr>
          <w:rFonts w:ascii="標楷體" w:eastAsia="標楷體" w:hAnsi="標楷體"/>
          <w:sz w:val="27"/>
          <w:szCs w:val="27"/>
        </w:rPr>
        <w:t>年6月</w:t>
      </w:r>
      <w:r>
        <w:rPr>
          <w:rFonts w:ascii="標楷體" w:eastAsia="標楷體" w:hAnsi="標楷體" w:hint="eastAsia"/>
          <w:sz w:val="27"/>
          <w:szCs w:val="27"/>
        </w:rPr>
        <w:t>花蓮</w:t>
      </w:r>
      <w:r w:rsidRPr="009B3A87">
        <w:rPr>
          <w:rFonts w:ascii="標楷體" w:eastAsia="標楷體" w:hAnsi="標楷體"/>
          <w:sz w:val="27"/>
          <w:szCs w:val="27"/>
        </w:rPr>
        <w:t>縣</w:t>
      </w:r>
      <w:r>
        <w:rPr>
          <w:rFonts w:ascii="標楷體" w:eastAsia="標楷體" w:hAnsi="標楷體" w:hint="eastAsia"/>
          <w:sz w:val="27"/>
          <w:szCs w:val="27"/>
        </w:rPr>
        <w:t>市區</w:t>
      </w:r>
      <w:r w:rsidRPr="009B3A87">
        <w:rPr>
          <w:rFonts w:ascii="標楷體" w:eastAsia="標楷體" w:hAnsi="標楷體"/>
          <w:sz w:val="27"/>
          <w:szCs w:val="27"/>
        </w:rPr>
        <w:t xml:space="preserve">客運TPASS使用比例折線圖 </w:t>
      </w:r>
    </w:p>
    <w:p w14:paraId="6855665B" w14:textId="77C2486A" w:rsidR="001A5D72" w:rsidRPr="001A5D72" w:rsidRDefault="001A5D72" w:rsidP="00D30319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 </w:t>
      </w:r>
      <w:r w:rsidR="00D30319" w:rsidRPr="00D30319">
        <w:rPr>
          <w:rFonts w:ascii="標楷體" w:eastAsia="標楷體" w:hAnsi="標楷體" w:hint="eastAsia"/>
          <w:sz w:val="27"/>
          <w:szCs w:val="27"/>
        </w:rPr>
        <w:t>根據圖1.1.2顯示，113年6月至115年6月期間，花蓮縣市區客運 TPASS 使用比例整體呈現劇烈波動，並具顯著的週期性特徵。期間以114年10月的39.6%為最高，115年3月亦高達37.1%；相對低谷則明顯集中於暑假及學期末，分別為113年8月的11.2%、113年7月的13.4%及115年5月的16.6%。從各月份變化來看，使用比例在學期間（如9月至12月、3月）大幅拉升，但在寒暑假與學期末急遽回落，推測其高度受到學生通學需求與寒暑假旅運變化之影響。整體而言，花蓮縣市區客運 TPASS 使用比例起伏較大，雖然在開學期間能達到接近四成的高比例，但呈現顯著的季節性起伏，尚未形成穩定的常態通勤族群。</w:t>
      </w:r>
    </w:p>
    <w:p w14:paraId="38FF4FB9" w14:textId="25E8B06F" w:rsidR="00346120" w:rsidRPr="001160ED" w:rsidRDefault="00346120" w:rsidP="00346120">
      <w:pPr>
        <w:rPr>
          <w:rFonts w:ascii="標楷體" w:eastAsia="標楷體" w:hAnsi="標楷體"/>
          <w:b/>
          <w:bCs/>
          <w:sz w:val="27"/>
          <w:szCs w:val="27"/>
        </w:rPr>
      </w:pPr>
      <w:r w:rsidRPr="001160ED">
        <w:rPr>
          <w:rFonts w:ascii="標楷體" w:eastAsia="標楷體" w:hAnsi="標楷體" w:hint="eastAsia"/>
          <w:b/>
          <w:bCs/>
          <w:sz w:val="27"/>
          <w:szCs w:val="27"/>
        </w:rPr>
        <w:t xml:space="preserve">1.2 </w:t>
      </w:r>
      <w:r w:rsidR="003703B0" w:rsidRPr="001160ED">
        <w:rPr>
          <w:rFonts w:ascii="標楷體" w:eastAsia="標楷體" w:hAnsi="標楷體" w:hint="eastAsia"/>
          <w:b/>
          <w:bCs/>
          <w:sz w:val="27"/>
          <w:szCs w:val="27"/>
        </w:rPr>
        <w:t>臺</w:t>
      </w:r>
      <w:r w:rsidRPr="001160ED">
        <w:rPr>
          <w:rFonts w:ascii="標楷體" w:eastAsia="標楷體" w:hAnsi="標楷體" w:hint="eastAsia"/>
          <w:b/>
          <w:bCs/>
          <w:sz w:val="27"/>
          <w:szCs w:val="27"/>
        </w:rPr>
        <w:t>東縣TPASS月票使用比例</w:t>
      </w:r>
    </w:p>
    <w:p w14:paraId="192ACB3C" w14:textId="29ED62A9" w:rsidR="009B3A87" w:rsidRPr="003703B0" w:rsidRDefault="003703B0" w:rsidP="00346120">
      <w:pPr>
        <w:rPr>
          <w:rFonts w:ascii="標楷體" w:eastAsia="標楷體" w:hAnsi="標楷體"/>
          <w:sz w:val="27"/>
          <w:szCs w:val="27"/>
        </w:rPr>
      </w:pPr>
      <w:r w:rsidRPr="003703B0">
        <w:rPr>
          <w:rFonts w:ascii="標楷體" w:eastAsia="標楷體" w:hAnsi="標楷體"/>
          <w:noProof/>
          <w:sz w:val="27"/>
          <w:szCs w:val="27"/>
        </w:rPr>
        <w:drawing>
          <wp:inline distT="0" distB="0" distL="0" distR="0" wp14:anchorId="30AF1C13" wp14:editId="302C2DFF">
            <wp:extent cx="5632450" cy="1877710"/>
            <wp:effectExtent l="0" t="0" r="6350" b="8255"/>
            <wp:docPr id="65901606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494" cy="1897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EB4C2" w14:textId="2BC8A6EC" w:rsidR="009B3A87" w:rsidRPr="009B3A87" w:rsidRDefault="009B3A87" w:rsidP="009B3A87">
      <w:pPr>
        <w:rPr>
          <w:rFonts w:ascii="標楷體" w:eastAsia="標楷體" w:hAnsi="標楷體"/>
          <w:sz w:val="27"/>
          <w:szCs w:val="27"/>
        </w:rPr>
      </w:pPr>
      <w:r w:rsidRPr="009B3A87">
        <w:rPr>
          <w:rFonts w:ascii="標楷體" w:eastAsia="標楷體" w:hAnsi="標楷體"/>
          <w:sz w:val="27"/>
          <w:szCs w:val="27"/>
        </w:rPr>
        <w:t>圖</w:t>
      </w:r>
      <w:r>
        <w:rPr>
          <w:rFonts w:ascii="標楷體" w:eastAsia="標楷體" w:hAnsi="標楷體" w:hint="eastAsia"/>
          <w:sz w:val="27"/>
          <w:szCs w:val="27"/>
        </w:rPr>
        <w:t>1</w:t>
      </w:r>
      <w:r w:rsidRPr="009B3A87">
        <w:rPr>
          <w:rFonts w:ascii="標楷體" w:eastAsia="標楷體" w:hAnsi="標楷體"/>
          <w:sz w:val="27"/>
          <w:szCs w:val="27"/>
        </w:rPr>
        <w:t>.</w:t>
      </w:r>
      <w:r>
        <w:rPr>
          <w:rFonts w:ascii="標楷體" w:eastAsia="標楷體" w:hAnsi="標楷體" w:hint="eastAsia"/>
          <w:sz w:val="27"/>
          <w:szCs w:val="27"/>
        </w:rPr>
        <w:t>2</w:t>
      </w:r>
      <w:r w:rsidRPr="009B3A87">
        <w:rPr>
          <w:rFonts w:ascii="標楷體" w:eastAsia="標楷體" w:hAnsi="標楷體"/>
          <w:sz w:val="27"/>
          <w:szCs w:val="27"/>
        </w:rPr>
        <w:t>.1 113年</w:t>
      </w:r>
      <w:r>
        <w:rPr>
          <w:rFonts w:ascii="標楷體" w:eastAsia="標楷體" w:hAnsi="標楷體" w:hint="eastAsia"/>
          <w:sz w:val="27"/>
          <w:szCs w:val="27"/>
        </w:rPr>
        <w:t>6</w:t>
      </w:r>
      <w:r w:rsidRPr="009B3A87">
        <w:rPr>
          <w:rFonts w:ascii="標楷體" w:eastAsia="標楷體" w:hAnsi="標楷體"/>
          <w:sz w:val="27"/>
          <w:szCs w:val="27"/>
        </w:rPr>
        <w:t>月至11</w:t>
      </w:r>
      <w:r>
        <w:rPr>
          <w:rFonts w:ascii="標楷體" w:eastAsia="標楷體" w:hAnsi="標楷體" w:hint="eastAsia"/>
          <w:sz w:val="27"/>
          <w:szCs w:val="27"/>
        </w:rPr>
        <w:t>5</w:t>
      </w:r>
      <w:r w:rsidRPr="009B3A87">
        <w:rPr>
          <w:rFonts w:ascii="標楷體" w:eastAsia="標楷體" w:hAnsi="標楷體"/>
          <w:sz w:val="27"/>
          <w:szCs w:val="27"/>
        </w:rPr>
        <w:t>年6月</w:t>
      </w:r>
      <w:r>
        <w:rPr>
          <w:rFonts w:ascii="標楷體" w:eastAsia="標楷體" w:hAnsi="標楷體" w:hint="eastAsia"/>
          <w:sz w:val="27"/>
          <w:szCs w:val="27"/>
        </w:rPr>
        <w:t>臺東</w:t>
      </w:r>
      <w:r w:rsidRPr="009B3A87">
        <w:rPr>
          <w:rFonts w:ascii="標楷體" w:eastAsia="標楷體" w:hAnsi="標楷體"/>
          <w:sz w:val="27"/>
          <w:szCs w:val="27"/>
        </w:rPr>
        <w:t>縣</w:t>
      </w:r>
      <w:r>
        <w:rPr>
          <w:rFonts w:ascii="標楷體" w:eastAsia="標楷體" w:hAnsi="標楷體" w:hint="eastAsia"/>
          <w:sz w:val="27"/>
          <w:szCs w:val="27"/>
        </w:rPr>
        <w:t>公路</w:t>
      </w:r>
      <w:r w:rsidRPr="009B3A87">
        <w:rPr>
          <w:rFonts w:ascii="標楷體" w:eastAsia="標楷體" w:hAnsi="標楷體"/>
          <w:sz w:val="27"/>
          <w:szCs w:val="27"/>
        </w:rPr>
        <w:t xml:space="preserve">客運TPASS使用比例折線圖 </w:t>
      </w:r>
    </w:p>
    <w:p w14:paraId="59074EFE" w14:textId="41F7D77B" w:rsidR="00346120" w:rsidRPr="00215B46" w:rsidRDefault="001A5D72" w:rsidP="00346120">
      <w:pPr>
        <w:rPr>
          <w:rFonts w:ascii="標楷體" w:eastAsia="標楷體" w:hAnsi="標楷體"/>
          <w:sz w:val="27"/>
          <w:szCs w:val="27"/>
        </w:rPr>
      </w:pPr>
      <w:r>
        <w:rPr>
          <w:rFonts w:hint="eastAsia"/>
          <w:sz w:val="27"/>
          <w:szCs w:val="27"/>
        </w:rPr>
        <w:lastRenderedPageBreak/>
        <w:t xml:space="preserve">    </w:t>
      </w:r>
      <w:r w:rsidR="00215B46" w:rsidRPr="00215B46">
        <w:rPr>
          <w:rFonts w:ascii="標楷體" w:eastAsia="標楷體" w:hAnsi="標楷體"/>
          <w:sz w:val="27"/>
          <w:szCs w:val="27"/>
        </w:rPr>
        <w:t>圖1.</w:t>
      </w:r>
      <w:r w:rsidR="00215B46">
        <w:rPr>
          <w:rFonts w:ascii="標楷體" w:eastAsia="標楷體" w:hAnsi="標楷體" w:hint="eastAsia"/>
          <w:sz w:val="27"/>
          <w:szCs w:val="27"/>
        </w:rPr>
        <w:t>2</w:t>
      </w:r>
      <w:r w:rsidR="00215B46" w:rsidRPr="00215B46">
        <w:rPr>
          <w:rFonts w:ascii="標楷體" w:eastAsia="標楷體" w:hAnsi="標楷體"/>
          <w:sz w:val="27"/>
          <w:szCs w:val="27"/>
        </w:rPr>
        <w:t>.</w:t>
      </w:r>
      <w:r w:rsidR="00215B46">
        <w:rPr>
          <w:rFonts w:ascii="標楷體" w:eastAsia="標楷體" w:hAnsi="標楷體" w:hint="eastAsia"/>
          <w:sz w:val="27"/>
          <w:szCs w:val="27"/>
        </w:rPr>
        <w:t>1</w:t>
      </w:r>
      <w:r w:rsidR="00215B46" w:rsidRPr="00215B46">
        <w:rPr>
          <w:rFonts w:ascii="標楷體" w:eastAsia="標楷體" w:hAnsi="標楷體"/>
          <w:sz w:val="27"/>
          <w:szCs w:val="27"/>
        </w:rPr>
        <w:t>顯示，113年6月至115年6月期間，臺東縣公路客運 TPASS 使用比例呈現緩慢上升的現象</w:t>
      </w:r>
      <w:r w:rsidR="00215B46">
        <w:rPr>
          <w:rFonts w:ascii="標楷體" w:eastAsia="標楷體" w:hAnsi="標楷體" w:hint="eastAsia"/>
          <w:sz w:val="27"/>
          <w:szCs w:val="27"/>
        </w:rPr>
        <w:t>，從113年6月的27.2% 至115年6月的39.9%</w:t>
      </w:r>
      <w:r w:rsidR="001160ED">
        <w:rPr>
          <w:rFonts w:ascii="標楷體" w:eastAsia="標楷體" w:hAnsi="標楷體" w:hint="eastAsia"/>
          <w:sz w:val="27"/>
          <w:szCs w:val="27"/>
        </w:rPr>
        <w:t>，整體有明顯提升</w:t>
      </w:r>
      <w:r w:rsidR="00215B46" w:rsidRPr="00215B46">
        <w:rPr>
          <w:rFonts w:ascii="標楷體" w:eastAsia="標楷體" w:hAnsi="標楷體"/>
          <w:sz w:val="27"/>
          <w:szCs w:val="27"/>
        </w:rPr>
        <w:t>，但期間仍可觀察到週期性的波動，推測可能受到寒暑假及節慶期間旅運需求變化的影響。近一年</w:t>
      </w:r>
      <w:r w:rsidR="001160ED" w:rsidRPr="00215B46">
        <w:rPr>
          <w:rFonts w:ascii="標楷體" w:eastAsia="標楷體" w:hAnsi="標楷體"/>
          <w:sz w:val="27"/>
          <w:szCs w:val="27"/>
        </w:rPr>
        <w:t>臺東縣公路客運</w:t>
      </w:r>
      <w:r w:rsidR="001160ED">
        <w:rPr>
          <w:rFonts w:ascii="標楷體" w:eastAsia="標楷體" w:hAnsi="標楷體" w:hint="eastAsia"/>
          <w:sz w:val="27"/>
          <w:szCs w:val="27"/>
        </w:rPr>
        <w:t xml:space="preserve"> </w:t>
      </w:r>
      <w:r w:rsidR="00215B46" w:rsidRPr="00215B46">
        <w:rPr>
          <w:rFonts w:ascii="標楷體" w:eastAsia="標楷體" w:hAnsi="標楷體"/>
          <w:sz w:val="27"/>
          <w:szCs w:val="27"/>
        </w:rPr>
        <w:t>TPASS 使用比例多次達到35%至40%，並於115年3月達到最高點40.5%，顯示 TPASS 已逐漸</w:t>
      </w:r>
      <w:r w:rsidR="00FB687E" w:rsidRPr="00FB687E">
        <w:rPr>
          <w:rFonts w:ascii="標楷體" w:eastAsia="標楷體" w:hAnsi="標楷體"/>
          <w:sz w:val="27"/>
          <w:szCs w:val="27"/>
        </w:rPr>
        <w:t>形成穩定的使用族群</w:t>
      </w:r>
      <w:r w:rsidR="00215B46" w:rsidRPr="00215B46">
        <w:rPr>
          <w:rFonts w:ascii="標楷體" w:eastAsia="標楷體" w:hAnsi="標楷體"/>
          <w:sz w:val="27"/>
          <w:szCs w:val="27"/>
        </w:rPr>
        <w:t>，並成為通勤族群的重要選擇。</w:t>
      </w:r>
    </w:p>
    <w:p w14:paraId="58DAE315" w14:textId="268D5C2A" w:rsidR="00346120" w:rsidRDefault="001A5D72" w:rsidP="00346120">
      <w:pPr>
        <w:rPr>
          <w:sz w:val="27"/>
          <w:szCs w:val="27"/>
        </w:rPr>
      </w:pPr>
      <w:r>
        <w:rPr>
          <w:noProof/>
        </w:rPr>
        <w:drawing>
          <wp:inline distT="0" distB="0" distL="0" distR="0" wp14:anchorId="1815820A" wp14:editId="065676B9">
            <wp:extent cx="5604993" cy="1868556"/>
            <wp:effectExtent l="0" t="0" r="0" b="0"/>
            <wp:docPr id="11112555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55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9249" cy="189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0CCC" w14:textId="10CDC8EB" w:rsidR="001A5D72" w:rsidRPr="009B3A87" w:rsidRDefault="001A5D72" w:rsidP="001A5D72">
      <w:pPr>
        <w:rPr>
          <w:rFonts w:ascii="標楷體" w:eastAsia="標楷體" w:hAnsi="標楷體"/>
          <w:sz w:val="27"/>
          <w:szCs w:val="27"/>
        </w:rPr>
      </w:pPr>
      <w:r w:rsidRPr="009B3A87">
        <w:rPr>
          <w:rFonts w:ascii="標楷體" w:eastAsia="標楷體" w:hAnsi="標楷體"/>
          <w:sz w:val="27"/>
          <w:szCs w:val="27"/>
        </w:rPr>
        <w:t>圖</w:t>
      </w:r>
      <w:r>
        <w:rPr>
          <w:rFonts w:ascii="標楷體" w:eastAsia="標楷體" w:hAnsi="標楷體" w:hint="eastAsia"/>
          <w:sz w:val="27"/>
          <w:szCs w:val="27"/>
        </w:rPr>
        <w:t>1</w:t>
      </w:r>
      <w:r w:rsidRPr="009B3A87">
        <w:rPr>
          <w:rFonts w:ascii="標楷體" w:eastAsia="標楷體" w:hAnsi="標楷體"/>
          <w:sz w:val="27"/>
          <w:szCs w:val="27"/>
        </w:rPr>
        <w:t>.</w:t>
      </w:r>
      <w:r>
        <w:rPr>
          <w:rFonts w:ascii="標楷體" w:eastAsia="標楷體" w:hAnsi="標楷體" w:hint="eastAsia"/>
          <w:sz w:val="27"/>
          <w:szCs w:val="27"/>
        </w:rPr>
        <w:t>2</w:t>
      </w:r>
      <w:r w:rsidRPr="009B3A87">
        <w:rPr>
          <w:rFonts w:ascii="標楷體" w:eastAsia="標楷體" w:hAnsi="標楷體"/>
          <w:sz w:val="27"/>
          <w:szCs w:val="27"/>
        </w:rPr>
        <w:t>.</w:t>
      </w:r>
      <w:r>
        <w:rPr>
          <w:rFonts w:ascii="標楷體" w:eastAsia="標楷體" w:hAnsi="標楷體" w:hint="eastAsia"/>
          <w:sz w:val="27"/>
          <w:szCs w:val="27"/>
        </w:rPr>
        <w:t>2</w:t>
      </w:r>
      <w:r w:rsidRPr="009B3A87">
        <w:rPr>
          <w:rFonts w:ascii="標楷體" w:eastAsia="標楷體" w:hAnsi="標楷體"/>
          <w:sz w:val="27"/>
          <w:szCs w:val="27"/>
        </w:rPr>
        <w:t xml:space="preserve"> 113年</w:t>
      </w:r>
      <w:r>
        <w:rPr>
          <w:rFonts w:ascii="標楷體" w:eastAsia="標楷體" w:hAnsi="標楷體" w:hint="eastAsia"/>
          <w:sz w:val="27"/>
          <w:szCs w:val="27"/>
        </w:rPr>
        <w:t>6</w:t>
      </w:r>
      <w:r w:rsidRPr="009B3A87">
        <w:rPr>
          <w:rFonts w:ascii="標楷體" w:eastAsia="標楷體" w:hAnsi="標楷體"/>
          <w:sz w:val="27"/>
          <w:szCs w:val="27"/>
        </w:rPr>
        <w:t>月至11</w:t>
      </w:r>
      <w:r>
        <w:rPr>
          <w:rFonts w:ascii="標楷體" w:eastAsia="標楷體" w:hAnsi="標楷體" w:hint="eastAsia"/>
          <w:sz w:val="27"/>
          <w:szCs w:val="27"/>
        </w:rPr>
        <w:t>5</w:t>
      </w:r>
      <w:r w:rsidRPr="009B3A87">
        <w:rPr>
          <w:rFonts w:ascii="標楷體" w:eastAsia="標楷體" w:hAnsi="標楷體"/>
          <w:sz w:val="27"/>
          <w:szCs w:val="27"/>
        </w:rPr>
        <w:t>年6月</w:t>
      </w:r>
      <w:r>
        <w:rPr>
          <w:rFonts w:ascii="標楷體" w:eastAsia="標楷體" w:hAnsi="標楷體" w:hint="eastAsia"/>
          <w:sz w:val="27"/>
          <w:szCs w:val="27"/>
        </w:rPr>
        <w:t>臺東</w:t>
      </w:r>
      <w:r w:rsidRPr="009B3A87">
        <w:rPr>
          <w:rFonts w:ascii="標楷體" w:eastAsia="標楷體" w:hAnsi="標楷體"/>
          <w:sz w:val="27"/>
          <w:szCs w:val="27"/>
        </w:rPr>
        <w:t>縣</w:t>
      </w:r>
      <w:r>
        <w:rPr>
          <w:rFonts w:ascii="標楷體" w:eastAsia="標楷體" w:hAnsi="標楷體" w:hint="eastAsia"/>
          <w:sz w:val="27"/>
          <w:szCs w:val="27"/>
        </w:rPr>
        <w:t>市區</w:t>
      </w:r>
      <w:r w:rsidRPr="009B3A87">
        <w:rPr>
          <w:rFonts w:ascii="標楷體" w:eastAsia="標楷體" w:hAnsi="標楷體"/>
          <w:sz w:val="27"/>
          <w:szCs w:val="27"/>
        </w:rPr>
        <w:t xml:space="preserve">客運TPASS使用比例折線圖 </w:t>
      </w:r>
    </w:p>
    <w:p w14:paraId="2AB6FE32" w14:textId="36BB4550" w:rsidR="001A5D72" w:rsidRDefault="001A5D72" w:rsidP="00346120">
      <w:pPr>
        <w:rPr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 </w:t>
      </w:r>
      <w:r w:rsidR="00D30319" w:rsidRPr="00D30319">
        <w:rPr>
          <w:rFonts w:ascii="標楷體" w:eastAsia="標楷體" w:hAnsi="標楷體"/>
          <w:sz w:val="27"/>
          <w:szCs w:val="27"/>
        </w:rPr>
        <w:t>圖1.2.2顯示，113年6月至115年6月期間，臺東縣市區客運 TPASS 使用比例整體呈現低位震盪與週期性波動的特徵。期間以114年11月的27.0%及114年9月的26.6%為最高，相對低谷則明顯落在寒暑假期間，分別為113年8月的6.7%、113年7月的7.4%、115年2月的9.7%及114年8月的10.0%。從各月份變化來看，非假期月份使用比例多維持在14%至22%之間，寒暑假期間則大幅下挫至10%以下，推測極易受學生寒暑假放假及通學需求改變之干擾。整體而言，臺東縣市區客運 TPASS 使用比例相對偏低，且使用族群高度集中於學生通學，季節性變動十分顯著。</w:t>
      </w:r>
    </w:p>
    <w:p w14:paraId="6811242F" w14:textId="6F670EDA" w:rsidR="001A5D72" w:rsidRDefault="001A5D72" w:rsidP="001A5D72">
      <w:pPr>
        <w:rPr>
          <w:rFonts w:ascii="標楷體" w:eastAsia="標楷體" w:hAnsi="標楷體"/>
          <w:sz w:val="27"/>
          <w:szCs w:val="27"/>
        </w:rPr>
      </w:pPr>
      <w:r w:rsidRPr="00346120">
        <w:rPr>
          <w:rFonts w:ascii="標楷體" w:eastAsia="標楷體" w:hAnsi="標楷體" w:hint="eastAsia"/>
          <w:b/>
          <w:bCs/>
          <w:sz w:val="27"/>
          <w:szCs w:val="27"/>
        </w:rPr>
        <w:t>1.</w:t>
      </w:r>
      <w:r>
        <w:rPr>
          <w:rFonts w:ascii="標楷體" w:eastAsia="標楷體" w:hAnsi="標楷體" w:hint="eastAsia"/>
          <w:b/>
          <w:bCs/>
          <w:sz w:val="27"/>
          <w:szCs w:val="27"/>
        </w:rPr>
        <w:t>3 小結</w:t>
      </w:r>
    </w:p>
    <w:p w14:paraId="1AD0FA06" w14:textId="6AD9A93A" w:rsidR="00D30319" w:rsidRPr="00D30319" w:rsidRDefault="007E76ED" w:rsidP="00D30319">
      <w:pPr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</w:t>
      </w:r>
      <w:r w:rsidR="00D30319" w:rsidRPr="00D30319">
        <w:rPr>
          <w:rFonts w:ascii="標楷體" w:eastAsia="標楷體" w:hAnsi="標楷體" w:hint="eastAsia"/>
          <w:sz w:val="27"/>
          <w:szCs w:val="27"/>
        </w:rPr>
        <w:t>本章綜合 113 年 6 月至 115 年 6 月票證資料，針對客運運具類型與跨縣市地理特性，分析 TPASS 月票使用比例之變化趨勢，歸納以下兩項核心分析結果：</w:t>
      </w:r>
    </w:p>
    <w:p w14:paraId="569DFD29" w14:textId="77777777" w:rsidR="007E76ED" w:rsidRDefault="00D30319" w:rsidP="007E76ED">
      <w:pPr>
        <w:pStyle w:val="a9"/>
        <w:numPr>
          <w:ilvl w:val="0"/>
          <w:numId w:val="4"/>
        </w:numPr>
        <w:rPr>
          <w:rFonts w:ascii="標楷體" w:eastAsia="標楷體" w:hAnsi="標楷體"/>
          <w:sz w:val="27"/>
          <w:szCs w:val="27"/>
        </w:rPr>
      </w:pPr>
      <w:r w:rsidRPr="007E76ED">
        <w:rPr>
          <w:rFonts w:ascii="標楷體" w:eastAsia="標楷體" w:hAnsi="標楷體" w:hint="eastAsia"/>
          <w:sz w:val="27"/>
          <w:szCs w:val="27"/>
        </w:rPr>
        <w:t>市區客運與公路客運之趨勢差異</w:t>
      </w:r>
    </w:p>
    <w:p w14:paraId="532D5E47" w14:textId="60A96A5D" w:rsidR="00D30319" w:rsidRPr="007E76ED" w:rsidRDefault="007E76ED" w:rsidP="007E76ED">
      <w:pPr>
        <w:pStyle w:val="a9"/>
        <w:ind w:left="96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lastRenderedPageBreak/>
        <w:t xml:space="preserve">    </w:t>
      </w:r>
      <w:r w:rsidR="00D30319" w:rsidRPr="007E76ED">
        <w:rPr>
          <w:rFonts w:ascii="標楷體" w:eastAsia="標楷體" w:hAnsi="標楷體" w:hint="eastAsia"/>
          <w:sz w:val="27"/>
          <w:szCs w:val="27"/>
        </w:rPr>
        <w:t>在運具類型的比較上，</w:t>
      </w:r>
      <w:r w:rsidR="00647679" w:rsidRPr="007E76ED">
        <w:rPr>
          <w:rFonts w:ascii="標楷體" w:eastAsia="標楷體" w:hAnsi="標楷體"/>
          <w:sz w:val="27"/>
          <w:szCs w:val="27"/>
        </w:rPr>
        <w:t>兩類客運皆表現出一致的學期週期性波動。每逢 2 月寒假及 7 至 8 月暑假期間，月票搭乘比例均出現顯著下修，此現象除了反映通學客群於假期中斷搭乘外，暑期外地觀光客大量湧入帶動總搭乘人次上升，進而產生分子不變但分母擴大的稀釋效應，亦是導致比例驟降的主因之一。然而，兩類運具在波動幅度與長期基期走勢上仍有本質差異。花蓮市區客運之極值落差達 28.4%（11.2% 至 39.6%），對學期日曆的敏感度顯著高於公路客運（12.8% 至 22.4%）。臺東公路客運雖同樣具備假期波動，但其整體底層趨勢呈現逐年墊高，由期初的 27.2% 穩步攀升至期末近 40%，相較之下，臺東市區客運則長期於 10% 至 20% 之低位區間震盪，欠缺明確的成長動能。</w:t>
      </w:r>
    </w:p>
    <w:p w14:paraId="0E869F37" w14:textId="1D46AD1F" w:rsidR="00D30319" w:rsidRPr="007E76ED" w:rsidRDefault="00D30319" w:rsidP="007E76ED">
      <w:pPr>
        <w:pStyle w:val="a9"/>
        <w:numPr>
          <w:ilvl w:val="0"/>
          <w:numId w:val="4"/>
        </w:numPr>
        <w:rPr>
          <w:rFonts w:ascii="標楷體" w:eastAsia="標楷體" w:hAnsi="標楷體"/>
          <w:sz w:val="27"/>
          <w:szCs w:val="27"/>
        </w:rPr>
      </w:pPr>
      <w:r w:rsidRPr="007E76ED">
        <w:rPr>
          <w:rFonts w:ascii="標楷體" w:eastAsia="標楷體" w:hAnsi="標楷體" w:hint="eastAsia"/>
          <w:sz w:val="27"/>
          <w:szCs w:val="27"/>
        </w:rPr>
        <w:t>花蓮縣與臺東縣之跨縣市比較</w:t>
      </w:r>
    </w:p>
    <w:p w14:paraId="0390E0EA" w14:textId="38AD664F" w:rsidR="001A5D72" w:rsidRPr="007E76ED" w:rsidRDefault="007E76ED" w:rsidP="007E76ED">
      <w:pPr>
        <w:pStyle w:val="a9"/>
        <w:ind w:leftChars="400" w:left="96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</w:t>
      </w:r>
      <w:r w:rsidR="00D30319" w:rsidRPr="007E76ED">
        <w:rPr>
          <w:rFonts w:ascii="標楷體" w:eastAsia="標楷體" w:hAnsi="標楷體" w:hint="eastAsia"/>
          <w:sz w:val="27"/>
          <w:szCs w:val="27"/>
        </w:rPr>
        <w:t>在跨區域的空間特性比較上，</w:t>
      </w:r>
      <w:r w:rsidR="00647679" w:rsidRPr="007E76ED">
        <w:rPr>
          <w:rFonts w:ascii="標楷體" w:eastAsia="標楷體" w:hAnsi="標楷體"/>
          <w:sz w:val="27"/>
          <w:szCs w:val="27"/>
        </w:rPr>
        <w:t>臺東公路客運在 TPASS 推廣上展現出較強的成長韌性與黏著度，反觀花蓮公路客運長期停滯於 15% 至 20% 區間。由於兩縣皆屬狹長地形，此一表現分歧主要源於大眾運輸路網結構之替代效應。花蓮縱谷廊道設有班次較密集之台鐵鐵路路網，吸納了大部分跨鄉鎮之中長程通勤需求，削弱了公路客運月票使用率之成長空間；相對地，臺東縣部分跨區及沿海廊道缺乏軌道運輸覆蓋，公路客運具備較高的不可替代性，使得 TPASS 月票之經濟誘因能更有效轉化為常態搭乘行為。至於市區客運，花蓮雖在學期高峰期具備較佳之學生集客力（最高達 39.6%），但兩縣皆共同面臨寒暑假離峰期運量嚴重流失之瓶頸，顯見區域內短程大眾運輸在拓展非學生客群上仍面臨結構性困境。</w:t>
      </w:r>
    </w:p>
    <w:sectPr w:rsidR="001A5D72" w:rsidRPr="007E76E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6DAA"/>
    <w:multiLevelType w:val="hybridMultilevel"/>
    <w:tmpl w:val="E54634F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EF90C5B"/>
    <w:multiLevelType w:val="hybridMultilevel"/>
    <w:tmpl w:val="4378E346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" w15:restartNumberingAfterBreak="0">
    <w:nsid w:val="4E36279D"/>
    <w:multiLevelType w:val="hybridMultilevel"/>
    <w:tmpl w:val="6F102E08"/>
    <w:lvl w:ilvl="0" w:tplc="90CC6642">
      <w:start w:val="1"/>
      <w:numFmt w:val="taiwaneseCountingThousand"/>
      <w:lvlText w:val="%1、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" w15:restartNumberingAfterBreak="0">
    <w:nsid w:val="5B8A0CD5"/>
    <w:multiLevelType w:val="hybridMultilevel"/>
    <w:tmpl w:val="7804CD18"/>
    <w:lvl w:ilvl="0" w:tplc="45CAD3A8">
      <w:start w:val="1"/>
      <w:numFmt w:val="taiwaneseCountingThousand"/>
      <w:lvlText w:val="第%1章"/>
      <w:lvlJc w:val="left"/>
      <w:pPr>
        <w:ind w:left="950" w:hanging="9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1765936">
    <w:abstractNumId w:val="3"/>
  </w:num>
  <w:num w:numId="2" w16cid:durableId="2113238697">
    <w:abstractNumId w:val="1"/>
  </w:num>
  <w:num w:numId="3" w16cid:durableId="237134669">
    <w:abstractNumId w:val="2"/>
  </w:num>
  <w:num w:numId="4" w16cid:durableId="146014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120"/>
    <w:rsid w:val="001160ED"/>
    <w:rsid w:val="001A21ED"/>
    <w:rsid w:val="001A5D72"/>
    <w:rsid w:val="00215B46"/>
    <w:rsid w:val="00346120"/>
    <w:rsid w:val="003703B0"/>
    <w:rsid w:val="00647679"/>
    <w:rsid w:val="0069485A"/>
    <w:rsid w:val="007E76ED"/>
    <w:rsid w:val="008E1DC4"/>
    <w:rsid w:val="00940C86"/>
    <w:rsid w:val="009B3A87"/>
    <w:rsid w:val="00B501F5"/>
    <w:rsid w:val="00C25651"/>
    <w:rsid w:val="00D30319"/>
    <w:rsid w:val="00FB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861D2"/>
  <w15:chartTrackingRefBased/>
  <w15:docId w15:val="{77A7C7FB-C3B1-442B-BAA9-8BA1D282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61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12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12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12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12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12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12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461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46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4612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46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4612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4612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4612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4612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461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61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46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1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461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6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461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61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61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6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461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6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張兆妤</dc:creator>
  <cp:keywords/>
  <dc:description/>
  <cp:lastModifiedBy>張兆妤</cp:lastModifiedBy>
  <cp:revision>2</cp:revision>
  <dcterms:created xsi:type="dcterms:W3CDTF">2026-08-24T08:52:00Z</dcterms:created>
  <dcterms:modified xsi:type="dcterms:W3CDTF">2026-08-24T08:52:00Z</dcterms:modified>
</cp:coreProperties>
</file>