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1A6B" w14:textId="66412E82" w:rsidR="0063351D" w:rsidRPr="00AA34D8" w:rsidRDefault="00D772F4" w:rsidP="004C7684">
      <w:pPr>
        <w:pStyle w:val="a9"/>
        <w:numPr>
          <w:ilvl w:val="0"/>
          <w:numId w:val="2"/>
        </w:numPr>
        <w:spacing w:beforeLines="50" w:before="120" w:after="400"/>
        <w:ind w:left="840"/>
        <w:jc w:val="center"/>
        <w:rPr>
          <w:rFonts w:ascii="標楷體" w:eastAsia="標楷體" w:hAnsi="標楷體"/>
          <w:b/>
          <w:bCs/>
          <w:sz w:val="27"/>
          <w:szCs w:val="27"/>
        </w:rPr>
      </w:pPr>
      <w:r w:rsidRPr="00AA34D8">
        <w:rPr>
          <w:rFonts w:ascii="標楷體" w:eastAsia="標楷體" w:hAnsi="標楷體" w:hint="eastAsia"/>
          <w:b/>
          <w:bCs/>
          <w:sz w:val="27"/>
          <w:szCs w:val="27"/>
        </w:rPr>
        <w:t>花蓮</w:t>
      </w:r>
      <w:r w:rsidR="00C63606">
        <w:rPr>
          <w:rFonts w:ascii="標楷體" w:eastAsia="標楷體" w:hAnsi="標楷體" w:hint="eastAsia"/>
          <w:b/>
          <w:bCs/>
          <w:sz w:val="27"/>
          <w:szCs w:val="27"/>
        </w:rPr>
        <w:t>縣</w:t>
      </w:r>
      <w:r w:rsidRPr="00AA34D8">
        <w:rPr>
          <w:rFonts w:ascii="標楷體" w:eastAsia="標楷體" w:hAnsi="標楷體" w:hint="eastAsia"/>
          <w:b/>
          <w:bCs/>
          <w:sz w:val="27"/>
          <w:szCs w:val="27"/>
        </w:rPr>
        <w:t>市區客運運量趨勢分析</w:t>
      </w:r>
    </w:p>
    <w:p w14:paraId="6A9D8039" w14:textId="62189E81" w:rsidR="00AA34D8" w:rsidRDefault="00122671" w:rsidP="00AA34D8">
      <w:pPr>
        <w:spacing w:beforeLines="50" w:before="120" w:after="400"/>
        <w:rPr>
          <w:rFonts w:ascii="標楷體" w:eastAsia="標楷體" w:hAnsi="標楷體"/>
          <w:b/>
          <w:bCs/>
          <w:sz w:val="27"/>
          <w:szCs w:val="27"/>
        </w:rPr>
      </w:pPr>
      <w:r>
        <w:rPr>
          <w:rFonts w:ascii="標楷體" w:eastAsia="標楷體" w:hAnsi="標楷體" w:hint="eastAsia"/>
          <w:b/>
          <w:bCs/>
          <w:sz w:val="27"/>
          <w:szCs w:val="27"/>
        </w:rPr>
        <w:t>1.1運量趨勢分析</w:t>
      </w:r>
    </w:p>
    <w:p w14:paraId="7C5DEA5F" w14:textId="6EAAD7E9" w:rsidR="00B4418F" w:rsidRDefault="00F3648B" w:rsidP="00B4418F">
      <w:pPr>
        <w:spacing w:beforeLines="50" w:before="120" w:after="400"/>
        <w:jc w:val="center"/>
        <w:rPr>
          <w:rFonts w:ascii="標楷體" w:eastAsia="標楷體" w:hAnsi="標楷體"/>
          <w:b/>
          <w:bCs/>
          <w:sz w:val="27"/>
          <w:szCs w:val="27"/>
        </w:rPr>
      </w:pPr>
      <w:r>
        <w:rPr>
          <w:rFonts w:ascii="標楷體" w:eastAsia="標楷體" w:hAnsi="標楷體"/>
          <w:b/>
          <w:bCs/>
          <w:noProof/>
          <w:sz w:val="27"/>
          <w:szCs w:val="27"/>
        </w:rPr>
        <w:drawing>
          <wp:inline distT="0" distB="0" distL="0" distR="0" wp14:anchorId="2B29EEFF" wp14:editId="6A227F73">
            <wp:extent cx="5486400" cy="2743200"/>
            <wp:effectExtent l="0" t="0" r="0" b="0"/>
            <wp:docPr id="2517424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42452" name="圖片 2517424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1102E308" w14:textId="662E2E03" w:rsidR="00BF198E" w:rsidRDefault="00BF198E" w:rsidP="00B4418F">
      <w:pPr>
        <w:spacing w:beforeLines="50" w:before="120" w:after="400"/>
        <w:jc w:val="center"/>
        <w:rPr>
          <w:rFonts w:ascii="標楷體" w:eastAsia="標楷體" w:hAnsi="標楷體"/>
          <w:sz w:val="27"/>
          <w:szCs w:val="27"/>
        </w:rPr>
      </w:pPr>
      <w:r w:rsidRPr="00BF198E">
        <w:rPr>
          <w:rFonts w:ascii="標楷體" w:eastAsia="標楷體" w:hAnsi="標楷體" w:hint="eastAsia"/>
          <w:sz w:val="27"/>
          <w:szCs w:val="27"/>
        </w:rPr>
        <w:t>圖</w:t>
      </w:r>
      <w:r>
        <w:rPr>
          <w:rFonts w:ascii="標楷體" w:eastAsia="標楷體" w:hAnsi="標楷體" w:hint="eastAsia"/>
          <w:sz w:val="27"/>
          <w:szCs w:val="27"/>
        </w:rPr>
        <w:t>1.1.1 112年至114年花蓮縣市區客運運量趨勢折線圖</w:t>
      </w:r>
    </w:p>
    <w:p w14:paraId="52583AA3" w14:textId="4F312FB9" w:rsidR="00C761D6" w:rsidRDefault="00C761D6" w:rsidP="00B4418F">
      <w:pPr>
        <w:spacing w:beforeLines="50" w:before="120" w:after="400"/>
        <w:jc w:val="center"/>
        <w:rPr>
          <w:rFonts w:ascii="標楷體" w:eastAsia="標楷體" w:hAnsi="標楷體"/>
          <w:sz w:val="27"/>
          <w:szCs w:val="27"/>
        </w:rPr>
      </w:pPr>
      <w:r>
        <w:rPr>
          <w:rFonts w:ascii="標楷體" w:eastAsia="標楷體" w:hAnsi="標楷體" w:hint="eastAsia"/>
          <w:sz w:val="27"/>
          <w:szCs w:val="27"/>
        </w:rPr>
        <w:t>表1.1.1 112年至114年花蓮縣市區客運運量</w:t>
      </w:r>
      <w:r w:rsidR="00496BF5">
        <w:rPr>
          <w:rFonts w:ascii="標楷體" w:eastAsia="標楷體" w:hAnsi="標楷體" w:hint="eastAsia"/>
          <w:sz w:val="27"/>
          <w:szCs w:val="27"/>
        </w:rPr>
        <w:t>統計表</w:t>
      </w:r>
    </w:p>
    <w:tbl>
      <w:tblPr>
        <w:tblW w:w="8652" w:type="dxa"/>
        <w:tblCellMar>
          <w:left w:w="28" w:type="dxa"/>
          <w:right w:w="28" w:type="dxa"/>
        </w:tblCellMar>
        <w:tblLook w:val="04A0" w:firstRow="1" w:lastRow="0" w:firstColumn="1" w:lastColumn="0" w:noHBand="0" w:noVBand="1"/>
      </w:tblPr>
      <w:tblGrid>
        <w:gridCol w:w="1442"/>
        <w:gridCol w:w="1442"/>
        <w:gridCol w:w="1442"/>
        <w:gridCol w:w="1442"/>
        <w:gridCol w:w="1442"/>
        <w:gridCol w:w="1442"/>
      </w:tblGrid>
      <w:tr w:rsidR="002F66A5" w:rsidRPr="002F66A5" w14:paraId="35996AAA" w14:textId="77777777" w:rsidTr="00A0625D">
        <w:trPr>
          <w:trHeight w:val="740"/>
        </w:trPr>
        <w:tc>
          <w:tcPr>
            <w:tcW w:w="1442"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654391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      年份</w:t>
            </w:r>
            <w:r w:rsidRPr="002F66A5">
              <w:rPr>
                <w:rFonts w:ascii="標楷體" w:eastAsia="標楷體" w:hAnsi="標楷體" w:cs="Calibri" w:hint="eastAsia"/>
                <w:color w:val="000000"/>
                <w:kern w:val="0"/>
                <w:sz w:val="27"/>
                <w:szCs w:val="27"/>
                <w14:ligatures w14:val="none"/>
              </w:rPr>
              <w:br/>
              <w:t>路線</w:t>
            </w:r>
          </w:p>
        </w:tc>
        <w:tc>
          <w:tcPr>
            <w:tcW w:w="1442" w:type="dxa"/>
            <w:tcBorders>
              <w:top w:val="single" w:sz="4" w:space="0" w:color="auto"/>
              <w:left w:val="nil"/>
              <w:bottom w:val="single" w:sz="4" w:space="0" w:color="auto"/>
              <w:right w:val="single" w:sz="4" w:space="0" w:color="auto"/>
            </w:tcBorders>
            <w:noWrap/>
            <w:vAlign w:val="center"/>
            <w:hideMark/>
          </w:tcPr>
          <w:p w14:paraId="381F1294"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112</w:t>
            </w:r>
          </w:p>
        </w:tc>
        <w:tc>
          <w:tcPr>
            <w:tcW w:w="1442" w:type="dxa"/>
            <w:tcBorders>
              <w:top w:val="single" w:sz="4" w:space="0" w:color="auto"/>
              <w:left w:val="nil"/>
              <w:bottom w:val="single" w:sz="4" w:space="0" w:color="auto"/>
              <w:right w:val="single" w:sz="4" w:space="0" w:color="auto"/>
            </w:tcBorders>
            <w:noWrap/>
            <w:vAlign w:val="center"/>
            <w:hideMark/>
          </w:tcPr>
          <w:p w14:paraId="1B188ED6"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113</w:t>
            </w:r>
          </w:p>
        </w:tc>
        <w:tc>
          <w:tcPr>
            <w:tcW w:w="1442" w:type="dxa"/>
            <w:tcBorders>
              <w:top w:val="single" w:sz="4" w:space="0" w:color="auto"/>
              <w:left w:val="nil"/>
              <w:bottom w:val="single" w:sz="4" w:space="0" w:color="auto"/>
              <w:right w:val="single" w:sz="4" w:space="0" w:color="auto"/>
            </w:tcBorders>
            <w:noWrap/>
            <w:vAlign w:val="center"/>
            <w:hideMark/>
          </w:tcPr>
          <w:p w14:paraId="182C5DC5"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114</w:t>
            </w:r>
          </w:p>
        </w:tc>
        <w:tc>
          <w:tcPr>
            <w:tcW w:w="1442" w:type="dxa"/>
            <w:tcBorders>
              <w:top w:val="single" w:sz="4" w:space="0" w:color="auto"/>
              <w:left w:val="double" w:sz="6" w:space="0" w:color="auto"/>
              <w:bottom w:val="single" w:sz="4" w:space="0" w:color="auto"/>
              <w:right w:val="single" w:sz="4" w:space="0" w:color="auto"/>
            </w:tcBorders>
            <w:noWrap/>
            <w:vAlign w:val="center"/>
            <w:hideMark/>
          </w:tcPr>
          <w:p w14:paraId="7916009E" w14:textId="77777777" w:rsidR="002F66A5" w:rsidRPr="002F66A5" w:rsidRDefault="002F66A5" w:rsidP="002F66A5">
            <w:pPr>
              <w:widowControl/>
              <w:spacing w:after="0" w:line="240" w:lineRule="auto"/>
              <w:jc w:val="center"/>
              <w:rPr>
                <w:rFonts w:ascii="標楷體" w:eastAsia="標楷體" w:hAnsi="標楷體" w:cs="Calibri"/>
                <w:color w:val="000000"/>
                <w:kern w:val="0"/>
                <w14:ligatures w14:val="none"/>
              </w:rPr>
            </w:pPr>
            <w:r w:rsidRPr="002F66A5">
              <w:rPr>
                <w:rFonts w:ascii="標楷體" w:eastAsia="標楷體" w:hAnsi="標楷體" w:cs="Calibri" w:hint="eastAsia"/>
                <w:color w:val="000000"/>
                <w:kern w:val="0"/>
                <w14:ligatures w14:val="none"/>
              </w:rPr>
              <w:t>113年成長率</w:t>
            </w:r>
          </w:p>
        </w:tc>
        <w:tc>
          <w:tcPr>
            <w:tcW w:w="1442" w:type="dxa"/>
            <w:tcBorders>
              <w:top w:val="single" w:sz="4" w:space="0" w:color="auto"/>
              <w:left w:val="nil"/>
              <w:bottom w:val="single" w:sz="4" w:space="0" w:color="auto"/>
              <w:right w:val="single" w:sz="4" w:space="0" w:color="auto"/>
            </w:tcBorders>
            <w:noWrap/>
            <w:vAlign w:val="center"/>
            <w:hideMark/>
          </w:tcPr>
          <w:p w14:paraId="5C229420" w14:textId="77777777" w:rsidR="002F66A5" w:rsidRPr="002F66A5" w:rsidRDefault="002F66A5" w:rsidP="002F66A5">
            <w:pPr>
              <w:widowControl/>
              <w:spacing w:after="0" w:line="240" w:lineRule="auto"/>
              <w:jc w:val="center"/>
              <w:rPr>
                <w:rFonts w:ascii="標楷體" w:eastAsia="標楷體" w:hAnsi="標楷體" w:cs="Calibri"/>
                <w:color w:val="000000"/>
                <w:kern w:val="0"/>
                <w14:ligatures w14:val="none"/>
              </w:rPr>
            </w:pPr>
            <w:r w:rsidRPr="002F66A5">
              <w:rPr>
                <w:rFonts w:ascii="標楷體" w:eastAsia="標楷體" w:hAnsi="標楷體" w:cs="Calibri" w:hint="eastAsia"/>
                <w:color w:val="000000"/>
                <w:kern w:val="0"/>
                <w14:ligatures w14:val="none"/>
              </w:rPr>
              <w:t>114年成長率</w:t>
            </w:r>
          </w:p>
        </w:tc>
      </w:tr>
      <w:tr w:rsidR="002F66A5" w:rsidRPr="002F66A5" w14:paraId="00D2C5D5"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599DC9D5"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301</w:t>
            </w:r>
          </w:p>
        </w:tc>
        <w:tc>
          <w:tcPr>
            <w:tcW w:w="1442" w:type="dxa"/>
            <w:tcBorders>
              <w:top w:val="nil"/>
              <w:left w:val="nil"/>
              <w:bottom w:val="single" w:sz="4" w:space="0" w:color="auto"/>
              <w:right w:val="single" w:sz="4" w:space="0" w:color="auto"/>
            </w:tcBorders>
            <w:noWrap/>
            <w:vAlign w:val="center"/>
            <w:hideMark/>
          </w:tcPr>
          <w:p w14:paraId="1554D49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154,113 </w:t>
            </w:r>
          </w:p>
        </w:tc>
        <w:tc>
          <w:tcPr>
            <w:tcW w:w="1442" w:type="dxa"/>
            <w:tcBorders>
              <w:top w:val="nil"/>
              <w:left w:val="nil"/>
              <w:bottom w:val="single" w:sz="4" w:space="0" w:color="auto"/>
              <w:right w:val="single" w:sz="4" w:space="0" w:color="auto"/>
            </w:tcBorders>
            <w:noWrap/>
            <w:vAlign w:val="center"/>
            <w:hideMark/>
          </w:tcPr>
          <w:p w14:paraId="726B462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149,805 </w:t>
            </w:r>
          </w:p>
        </w:tc>
        <w:tc>
          <w:tcPr>
            <w:tcW w:w="1442" w:type="dxa"/>
            <w:tcBorders>
              <w:top w:val="nil"/>
              <w:left w:val="nil"/>
              <w:bottom w:val="single" w:sz="4" w:space="0" w:color="auto"/>
              <w:right w:val="single" w:sz="4" w:space="0" w:color="auto"/>
            </w:tcBorders>
            <w:noWrap/>
            <w:vAlign w:val="center"/>
            <w:hideMark/>
          </w:tcPr>
          <w:p w14:paraId="186FBFC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176,832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121C2AC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-2.8%</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5DA0E73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18.0%</w:t>
            </w:r>
          </w:p>
        </w:tc>
      </w:tr>
      <w:tr w:rsidR="002F66A5" w:rsidRPr="002F66A5" w14:paraId="20115A45"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30FC2D3C"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55601AC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36.7%</w:t>
            </w:r>
          </w:p>
        </w:tc>
        <w:tc>
          <w:tcPr>
            <w:tcW w:w="1442" w:type="dxa"/>
            <w:tcBorders>
              <w:top w:val="nil"/>
              <w:left w:val="nil"/>
              <w:bottom w:val="single" w:sz="4" w:space="0" w:color="auto"/>
              <w:right w:val="single" w:sz="4" w:space="0" w:color="auto"/>
            </w:tcBorders>
            <w:noWrap/>
            <w:vAlign w:val="center"/>
            <w:hideMark/>
          </w:tcPr>
          <w:p w14:paraId="62EF602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39.8%</w:t>
            </w:r>
          </w:p>
        </w:tc>
        <w:tc>
          <w:tcPr>
            <w:tcW w:w="1442" w:type="dxa"/>
            <w:tcBorders>
              <w:top w:val="nil"/>
              <w:left w:val="nil"/>
              <w:bottom w:val="single" w:sz="4" w:space="0" w:color="auto"/>
              <w:right w:val="single" w:sz="4" w:space="0" w:color="auto"/>
            </w:tcBorders>
            <w:noWrap/>
            <w:vAlign w:val="center"/>
            <w:hideMark/>
          </w:tcPr>
          <w:p w14:paraId="144887E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54.1%</w:t>
            </w:r>
          </w:p>
        </w:tc>
        <w:tc>
          <w:tcPr>
            <w:tcW w:w="1442" w:type="dxa"/>
            <w:vMerge/>
            <w:tcBorders>
              <w:top w:val="nil"/>
              <w:left w:val="double" w:sz="6" w:space="0" w:color="auto"/>
              <w:bottom w:val="single" w:sz="4" w:space="0" w:color="auto"/>
              <w:right w:val="single" w:sz="4" w:space="0" w:color="auto"/>
            </w:tcBorders>
            <w:vAlign w:val="center"/>
            <w:hideMark/>
          </w:tcPr>
          <w:p w14:paraId="3D9219DC"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28F6D33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2353A20C"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54C0BD84"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302</w:t>
            </w:r>
          </w:p>
        </w:tc>
        <w:tc>
          <w:tcPr>
            <w:tcW w:w="1442" w:type="dxa"/>
            <w:tcBorders>
              <w:top w:val="nil"/>
              <w:left w:val="nil"/>
              <w:bottom w:val="single" w:sz="4" w:space="0" w:color="auto"/>
              <w:right w:val="single" w:sz="4" w:space="0" w:color="auto"/>
            </w:tcBorders>
            <w:noWrap/>
            <w:vAlign w:val="center"/>
            <w:hideMark/>
          </w:tcPr>
          <w:p w14:paraId="0133507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110,745 </w:t>
            </w:r>
          </w:p>
        </w:tc>
        <w:tc>
          <w:tcPr>
            <w:tcW w:w="1442" w:type="dxa"/>
            <w:tcBorders>
              <w:top w:val="nil"/>
              <w:left w:val="nil"/>
              <w:bottom w:val="single" w:sz="4" w:space="0" w:color="auto"/>
              <w:right w:val="single" w:sz="4" w:space="0" w:color="auto"/>
            </w:tcBorders>
            <w:noWrap/>
            <w:vAlign w:val="center"/>
            <w:hideMark/>
          </w:tcPr>
          <w:p w14:paraId="28A3959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32,615 </w:t>
            </w:r>
          </w:p>
        </w:tc>
        <w:tc>
          <w:tcPr>
            <w:tcW w:w="1442" w:type="dxa"/>
            <w:tcBorders>
              <w:top w:val="nil"/>
              <w:left w:val="nil"/>
              <w:bottom w:val="single" w:sz="4" w:space="0" w:color="auto"/>
              <w:right w:val="single" w:sz="4" w:space="0" w:color="auto"/>
            </w:tcBorders>
            <w:noWrap/>
            <w:vAlign w:val="center"/>
            <w:hideMark/>
          </w:tcPr>
          <w:p w14:paraId="26AE94F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3,756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1295247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-70.5%</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7EA5379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-88.5%</w:t>
            </w:r>
          </w:p>
        </w:tc>
      </w:tr>
      <w:tr w:rsidR="002F66A5" w:rsidRPr="002F66A5" w14:paraId="60D55D5D"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5A7C68F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71D3DE4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26.3%</w:t>
            </w:r>
          </w:p>
        </w:tc>
        <w:tc>
          <w:tcPr>
            <w:tcW w:w="1442" w:type="dxa"/>
            <w:tcBorders>
              <w:top w:val="nil"/>
              <w:left w:val="nil"/>
              <w:bottom w:val="single" w:sz="4" w:space="0" w:color="auto"/>
              <w:right w:val="single" w:sz="4" w:space="0" w:color="auto"/>
            </w:tcBorders>
            <w:noWrap/>
            <w:vAlign w:val="center"/>
            <w:hideMark/>
          </w:tcPr>
          <w:p w14:paraId="6803A1C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8.7%</w:t>
            </w:r>
          </w:p>
        </w:tc>
        <w:tc>
          <w:tcPr>
            <w:tcW w:w="1442" w:type="dxa"/>
            <w:tcBorders>
              <w:top w:val="nil"/>
              <w:left w:val="nil"/>
              <w:bottom w:val="single" w:sz="4" w:space="0" w:color="auto"/>
              <w:right w:val="single" w:sz="4" w:space="0" w:color="auto"/>
            </w:tcBorders>
            <w:noWrap/>
            <w:vAlign w:val="center"/>
            <w:hideMark/>
          </w:tcPr>
          <w:p w14:paraId="6E6375D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1.2%</w:t>
            </w:r>
          </w:p>
        </w:tc>
        <w:tc>
          <w:tcPr>
            <w:tcW w:w="1442" w:type="dxa"/>
            <w:vMerge/>
            <w:tcBorders>
              <w:top w:val="nil"/>
              <w:left w:val="double" w:sz="6" w:space="0" w:color="auto"/>
              <w:bottom w:val="single" w:sz="4" w:space="0" w:color="auto"/>
              <w:right w:val="single" w:sz="4" w:space="0" w:color="auto"/>
            </w:tcBorders>
            <w:vAlign w:val="center"/>
            <w:hideMark/>
          </w:tcPr>
          <w:p w14:paraId="78AB90D0"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68DF7D43"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6F1B72F0"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746B9372"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303</w:t>
            </w:r>
          </w:p>
        </w:tc>
        <w:tc>
          <w:tcPr>
            <w:tcW w:w="1442" w:type="dxa"/>
            <w:tcBorders>
              <w:top w:val="nil"/>
              <w:left w:val="nil"/>
              <w:bottom w:val="single" w:sz="4" w:space="0" w:color="auto"/>
              <w:right w:val="single" w:sz="4" w:space="0" w:color="auto"/>
            </w:tcBorders>
            <w:noWrap/>
            <w:vAlign w:val="center"/>
            <w:hideMark/>
          </w:tcPr>
          <w:p w14:paraId="5E04745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13,018 </w:t>
            </w:r>
          </w:p>
        </w:tc>
        <w:tc>
          <w:tcPr>
            <w:tcW w:w="1442" w:type="dxa"/>
            <w:tcBorders>
              <w:top w:val="nil"/>
              <w:left w:val="nil"/>
              <w:bottom w:val="single" w:sz="4" w:space="0" w:color="auto"/>
              <w:right w:val="single" w:sz="4" w:space="0" w:color="auto"/>
            </w:tcBorders>
            <w:noWrap/>
            <w:vAlign w:val="center"/>
            <w:hideMark/>
          </w:tcPr>
          <w:p w14:paraId="6BF1595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54,266 </w:t>
            </w:r>
          </w:p>
        </w:tc>
        <w:tc>
          <w:tcPr>
            <w:tcW w:w="1442" w:type="dxa"/>
            <w:tcBorders>
              <w:top w:val="nil"/>
              <w:left w:val="nil"/>
              <w:bottom w:val="single" w:sz="4" w:space="0" w:color="auto"/>
              <w:right w:val="single" w:sz="4" w:space="0" w:color="auto"/>
            </w:tcBorders>
            <w:noWrap/>
            <w:vAlign w:val="center"/>
            <w:hideMark/>
          </w:tcPr>
          <w:p w14:paraId="24FE6AD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41,508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4F550E4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316.9%</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0D11634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-23.5%</w:t>
            </w:r>
          </w:p>
        </w:tc>
      </w:tr>
      <w:tr w:rsidR="002F66A5" w:rsidRPr="002F66A5" w14:paraId="09EC51B6"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0B15459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4A1B9AF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3.1%</w:t>
            </w:r>
          </w:p>
        </w:tc>
        <w:tc>
          <w:tcPr>
            <w:tcW w:w="1442" w:type="dxa"/>
            <w:tcBorders>
              <w:top w:val="nil"/>
              <w:left w:val="nil"/>
              <w:bottom w:val="single" w:sz="4" w:space="0" w:color="auto"/>
              <w:right w:val="single" w:sz="4" w:space="0" w:color="auto"/>
            </w:tcBorders>
            <w:noWrap/>
            <w:vAlign w:val="center"/>
            <w:hideMark/>
          </w:tcPr>
          <w:p w14:paraId="201562F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14.4%</w:t>
            </w:r>
          </w:p>
        </w:tc>
        <w:tc>
          <w:tcPr>
            <w:tcW w:w="1442" w:type="dxa"/>
            <w:tcBorders>
              <w:top w:val="nil"/>
              <w:left w:val="nil"/>
              <w:bottom w:val="single" w:sz="4" w:space="0" w:color="auto"/>
              <w:right w:val="single" w:sz="4" w:space="0" w:color="auto"/>
            </w:tcBorders>
            <w:noWrap/>
            <w:vAlign w:val="center"/>
            <w:hideMark/>
          </w:tcPr>
          <w:p w14:paraId="6F82075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12.7%</w:t>
            </w:r>
          </w:p>
        </w:tc>
        <w:tc>
          <w:tcPr>
            <w:tcW w:w="1442" w:type="dxa"/>
            <w:vMerge/>
            <w:tcBorders>
              <w:top w:val="nil"/>
              <w:left w:val="double" w:sz="6" w:space="0" w:color="auto"/>
              <w:bottom w:val="single" w:sz="4" w:space="0" w:color="auto"/>
              <w:right w:val="single" w:sz="4" w:space="0" w:color="auto"/>
            </w:tcBorders>
            <w:vAlign w:val="center"/>
            <w:hideMark/>
          </w:tcPr>
          <w:p w14:paraId="6A5FEF70"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7D71984A"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610898D4"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4A076C4A"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305</w:t>
            </w:r>
          </w:p>
        </w:tc>
        <w:tc>
          <w:tcPr>
            <w:tcW w:w="1442" w:type="dxa"/>
            <w:tcBorders>
              <w:top w:val="nil"/>
              <w:left w:val="nil"/>
              <w:bottom w:val="single" w:sz="4" w:space="0" w:color="auto"/>
              <w:right w:val="single" w:sz="4" w:space="0" w:color="auto"/>
            </w:tcBorders>
            <w:noWrap/>
            <w:vAlign w:val="center"/>
            <w:hideMark/>
          </w:tcPr>
          <w:p w14:paraId="19D21D1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11,956 </w:t>
            </w:r>
          </w:p>
        </w:tc>
        <w:tc>
          <w:tcPr>
            <w:tcW w:w="1442" w:type="dxa"/>
            <w:tcBorders>
              <w:top w:val="nil"/>
              <w:left w:val="nil"/>
              <w:bottom w:val="single" w:sz="4" w:space="0" w:color="auto"/>
              <w:right w:val="single" w:sz="4" w:space="0" w:color="auto"/>
            </w:tcBorders>
            <w:noWrap/>
            <w:vAlign w:val="center"/>
            <w:hideMark/>
          </w:tcPr>
          <w:p w14:paraId="2CB1C1E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13,727 </w:t>
            </w:r>
          </w:p>
        </w:tc>
        <w:tc>
          <w:tcPr>
            <w:tcW w:w="1442" w:type="dxa"/>
            <w:tcBorders>
              <w:top w:val="nil"/>
              <w:left w:val="nil"/>
              <w:bottom w:val="single" w:sz="4" w:space="0" w:color="auto"/>
              <w:right w:val="single" w:sz="4" w:space="0" w:color="auto"/>
            </w:tcBorders>
            <w:noWrap/>
            <w:vAlign w:val="center"/>
            <w:hideMark/>
          </w:tcPr>
          <w:p w14:paraId="3A68CBF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16,331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616628D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14.8%</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27396C9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19.0%</w:t>
            </w:r>
          </w:p>
        </w:tc>
      </w:tr>
      <w:tr w:rsidR="002F66A5" w:rsidRPr="002F66A5" w14:paraId="72BFB1EE"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21DBD60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09AEC2A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2.8%</w:t>
            </w:r>
          </w:p>
        </w:tc>
        <w:tc>
          <w:tcPr>
            <w:tcW w:w="1442" w:type="dxa"/>
            <w:tcBorders>
              <w:top w:val="nil"/>
              <w:left w:val="nil"/>
              <w:bottom w:val="single" w:sz="4" w:space="0" w:color="auto"/>
              <w:right w:val="single" w:sz="4" w:space="0" w:color="auto"/>
            </w:tcBorders>
            <w:noWrap/>
            <w:vAlign w:val="center"/>
            <w:hideMark/>
          </w:tcPr>
          <w:p w14:paraId="106E610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3.6%</w:t>
            </w:r>
          </w:p>
        </w:tc>
        <w:tc>
          <w:tcPr>
            <w:tcW w:w="1442" w:type="dxa"/>
            <w:tcBorders>
              <w:top w:val="nil"/>
              <w:left w:val="nil"/>
              <w:bottom w:val="single" w:sz="4" w:space="0" w:color="auto"/>
              <w:right w:val="single" w:sz="4" w:space="0" w:color="auto"/>
            </w:tcBorders>
            <w:noWrap/>
            <w:vAlign w:val="center"/>
            <w:hideMark/>
          </w:tcPr>
          <w:p w14:paraId="758D13A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5.0%</w:t>
            </w:r>
          </w:p>
        </w:tc>
        <w:tc>
          <w:tcPr>
            <w:tcW w:w="1442" w:type="dxa"/>
            <w:vMerge/>
            <w:tcBorders>
              <w:top w:val="nil"/>
              <w:left w:val="double" w:sz="6" w:space="0" w:color="auto"/>
              <w:bottom w:val="single" w:sz="4" w:space="0" w:color="auto"/>
              <w:right w:val="single" w:sz="4" w:space="0" w:color="auto"/>
            </w:tcBorders>
            <w:vAlign w:val="center"/>
            <w:hideMark/>
          </w:tcPr>
          <w:p w14:paraId="4037936F"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2F1FD1C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3C9413A6"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3F19F438"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307</w:t>
            </w:r>
          </w:p>
        </w:tc>
        <w:tc>
          <w:tcPr>
            <w:tcW w:w="1442" w:type="dxa"/>
            <w:tcBorders>
              <w:top w:val="nil"/>
              <w:left w:val="nil"/>
              <w:bottom w:val="single" w:sz="4" w:space="0" w:color="auto"/>
              <w:right w:val="single" w:sz="4" w:space="0" w:color="auto"/>
            </w:tcBorders>
            <w:noWrap/>
            <w:vAlign w:val="center"/>
            <w:hideMark/>
          </w:tcPr>
          <w:p w14:paraId="61BACC7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1,330 </w:t>
            </w:r>
          </w:p>
        </w:tc>
        <w:tc>
          <w:tcPr>
            <w:tcW w:w="1442" w:type="dxa"/>
            <w:tcBorders>
              <w:top w:val="nil"/>
              <w:left w:val="nil"/>
              <w:bottom w:val="single" w:sz="4" w:space="0" w:color="auto"/>
              <w:right w:val="single" w:sz="4" w:space="0" w:color="auto"/>
            </w:tcBorders>
            <w:noWrap/>
            <w:vAlign w:val="center"/>
            <w:hideMark/>
          </w:tcPr>
          <w:p w14:paraId="56425C4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900 </w:t>
            </w:r>
          </w:p>
        </w:tc>
        <w:tc>
          <w:tcPr>
            <w:tcW w:w="1442" w:type="dxa"/>
            <w:tcBorders>
              <w:top w:val="nil"/>
              <w:left w:val="nil"/>
              <w:bottom w:val="single" w:sz="4" w:space="0" w:color="auto"/>
              <w:right w:val="single" w:sz="4" w:space="0" w:color="auto"/>
            </w:tcBorders>
            <w:noWrap/>
            <w:vAlign w:val="center"/>
            <w:hideMark/>
          </w:tcPr>
          <w:p w14:paraId="4AD9E27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809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23D283B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-32.3%</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5E13E70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-10.1%</w:t>
            </w:r>
          </w:p>
        </w:tc>
      </w:tr>
      <w:tr w:rsidR="002F66A5" w:rsidRPr="002F66A5" w14:paraId="19F4D6B7"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17C2A20C"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20CF589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0.3%</w:t>
            </w:r>
          </w:p>
        </w:tc>
        <w:tc>
          <w:tcPr>
            <w:tcW w:w="1442" w:type="dxa"/>
            <w:tcBorders>
              <w:top w:val="nil"/>
              <w:left w:val="nil"/>
              <w:bottom w:val="single" w:sz="4" w:space="0" w:color="auto"/>
              <w:right w:val="single" w:sz="4" w:space="0" w:color="auto"/>
            </w:tcBorders>
            <w:noWrap/>
            <w:vAlign w:val="center"/>
            <w:hideMark/>
          </w:tcPr>
          <w:p w14:paraId="4D855A9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0.2%</w:t>
            </w:r>
          </w:p>
        </w:tc>
        <w:tc>
          <w:tcPr>
            <w:tcW w:w="1442" w:type="dxa"/>
            <w:tcBorders>
              <w:top w:val="nil"/>
              <w:left w:val="nil"/>
              <w:bottom w:val="single" w:sz="4" w:space="0" w:color="auto"/>
              <w:right w:val="single" w:sz="4" w:space="0" w:color="auto"/>
            </w:tcBorders>
            <w:noWrap/>
            <w:vAlign w:val="center"/>
            <w:hideMark/>
          </w:tcPr>
          <w:p w14:paraId="0FF20BC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0.2%</w:t>
            </w:r>
          </w:p>
        </w:tc>
        <w:tc>
          <w:tcPr>
            <w:tcW w:w="1442" w:type="dxa"/>
            <w:vMerge/>
            <w:tcBorders>
              <w:top w:val="nil"/>
              <w:left w:val="double" w:sz="6" w:space="0" w:color="auto"/>
              <w:bottom w:val="single" w:sz="4" w:space="0" w:color="auto"/>
              <w:right w:val="single" w:sz="4" w:space="0" w:color="auto"/>
            </w:tcBorders>
            <w:vAlign w:val="center"/>
            <w:hideMark/>
          </w:tcPr>
          <w:p w14:paraId="53B9D95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1BD37323"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77C9A120" w14:textId="77777777" w:rsidTr="00B35DF7">
        <w:trPr>
          <w:trHeight w:val="370"/>
        </w:trPr>
        <w:tc>
          <w:tcPr>
            <w:tcW w:w="1442" w:type="dxa"/>
            <w:vMerge w:val="restart"/>
            <w:tcBorders>
              <w:top w:val="single" w:sz="4" w:space="0" w:color="auto"/>
              <w:left w:val="single" w:sz="4" w:space="0" w:color="auto"/>
              <w:bottom w:val="single" w:sz="4" w:space="0" w:color="auto"/>
              <w:right w:val="single" w:sz="4" w:space="0" w:color="auto"/>
            </w:tcBorders>
            <w:noWrap/>
            <w:vAlign w:val="center"/>
            <w:hideMark/>
          </w:tcPr>
          <w:p w14:paraId="60DDEB84"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lastRenderedPageBreak/>
              <w:t>308</w:t>
            </w:r>
          </w:p>
        </w:tc>
        <w:tc>
          <w:tcPr>
            <w:tcW w:w="1442" w:type="dxa"/>
            <w:tcBorders>
              <w:top w:val="single" w:sz="4" w:space="0" w:color="auto"/>
              <w:left w:val="nil"/>
              <w:bottom w:val="single" w:sz="4" w:space="0" w:color="auto"/>
              <w:right w:val="single" w:sz="4" w:space="0" w:color="auto"/>
            </w:tcBorders>
            <w:noWrap/>
            <w:vAlign w:val="center"/>
            <w:hideMark/>
          </w:tcPr>
          <w:p w14:paraId="3CA11A4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8,597 </w:t>
            </w:r>
          </w:p>
        </w:tc>
        <w:tc>
          <w:tcPr>
            <w:tcW w:w="1442" w:type="dxa"/>
            <w:tcBorders>
              <w:top w:val="single" w:sz="4" w:space="0" w:color="auto"/>
              <w:left w:val="nil"/>
              <w:bottom w:val="single" w:sz="4" w:space="0" w:color="auto"/>
              <w:right w:val="single" w:sz="4" w:space="0" w:color="auto"/>
            </w:tcBorders>
            <w:noWrap/>
            <w:vAlign w:val="center"/>
            <w:hideMark/>
          </w:tcPr>
          <w:p w14:paraId="0B79917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8,291 </w:t>
            </w:r>
          </w:p>
        </w:tc>
        <w:tc>
          <w:tcPr>
            <w:tcW w:w="1442" w:type="dxa"/>
            <w:tcBorders>
              <w:top w:val="single" w:sz="4" w:space="0" w:color="auto"/>
              <w:left w:val="nil"/>
              <w:bottom w:val="single" w:sz="4" w:space="0" w:color="auto"/>
              <w:right w:val="single" w:sz="4" w:space="0" w:color="auto"/>
            </w:tcBorders>
            <w:noWrap/>
            <w:vAlign w:val="center"/>
            <w:hideMark/>
          </w:tcPr>
          <w:p w14:paraId="51CDAE1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11,484 </w:t>
            </w:r>
          </w:p>
        </w:tc>
        <w:tc>
          <w:tcPr>
            <w:tcW w:w="1442" w:type="dxa"/>
            <w:vMerge w:val="restart"/>
            <w:tcBorders>
              <w:top w:val="single" w:sz="4" w:space="0" w:color="auto"/>
              <w:left w:val="double" w:sz="6" w:space="0" w:color="auto"/>
              <w:bottom w:val="single" w:sz="4" w:space="0" w:color="auto"/>
              <w:right w:val="single" w:sz="4" w:space="0" w:color="auto"/>
            </w:tcBorders>
            <w:noWrap/>
            <w:vAlign w:val="center"/>
            <w:hideMark/>
          </w:tcPr>
          <w:p w14:paraId="5A9C5C8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-3.6%</w:t>
            </w:r>
          </w:p>
        </w:tc>
        <w:tc>
          <w:tcPr>
            <w:tcW w:w="1442" w:type="dxa"/>
            <w:vMerge w:val="restart"/>
            <w:tcBorders>
              <w:top w:val="single" w:sz="4" w:space="0" w:color="auto"/>
              <w:left w:val="single" w:sz="4" w:space="0" w:color="auto"/>
              <w:bottom w:val="single" w:sz="4" w:space="0" w:color="auto"/>
              <w:right w:val="single" w:sz="4" w:space="0" w:color="auto"/>
            </w:tcBorders>
            <w:noWrap/>
            <w:vAlign w:val="center"/>
            <w:hideMark/>
          </w:tcPr>
          <w:p w14:paraId="3B95AAE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38.5%</w:t>
            </w:r>
          </w:p>
        </w:tc>
      </w:tr>
      <w:tr w:rsidR="002F66A5" w:rsidRPr="002F66A5" w14:paraId="0D0516DE"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0D374097"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1BB58CF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2.0%</w:t>
            </w:r>
          </w:p>
        </w:tc>
        <w:tc>
          <w:tcPr>
            <w:tcW w:w="1442" w:type="dxa"/>
            <w:tcBorders>
              <w:top w:val="nil"/>
              <w:left w:val="nil"/>
              <w:bottom w:val="single" w:sz="4" w:space="0" w:color="auto"/>
              <w:right w:val="single" w:sz="4" w:space="0" w:color="auto"/>
            </w:tcBorders>
            <w:noWrap/>
            <w:vAlign w:val="center"/>
            <w:hideMark/>
          </w:tcPr>
          <w:p w14:paraId="1EEE9F3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2.2%</w:t>
            </w:r>
          </w:p>
        </w:tc>
        <w:tc>
          <w:tcPr>
            <w:tcW w:w="1442" w:type="dxa"/>
            <w:tcBorders>
              <w:top w:val="nil"/>
              <w:left w:val="nil"/>
              <w:bottom w:val="single" w:sz="4" w:space="0" w:color="auto"/>
              <w:right w:val="single" w:sz="4" w:space="0" w:color="auto"/>
            </w:tcBorders>
            <w:noWrap/>
            <w:vAlign w:val="center"/>
            <w:hideMark/>
          </w:tcPr>
          <w:p w14:paraId="435F3B5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3.5%</w:t>
            </w:r>
          </w:p>
        </w:tc>
        <w:tc>
          <w:tcPr>
            <w:tcW w:w="1442" w:type="dxa"/>
            <w:vMerge/>
            <w:tcBorders>
              <w:top w:val="nil"/>
              <w:left w:val="double" w:sz="6" w:space="0" w:color="auto"/>
              <w:bottom w:val="single" w:sz="4" w:space="0" w:color="auto"/>
              <w:right w:val="single" w:sz="4" w:space="0" w:color="auto"/>
            </w:tcBorders>
            <w:vAlign w:val="center"/>
            <w:hideMark/>
          </w:tcPr>
          <w:p w14:paraId="3773D564"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71CE28EE"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4D4830E1"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174B056A"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309</w:t>
            </w:r>
          </w:p>
        </w:tc>
        <w:tc>
          <w:tcPr>
            <w:tcW w:w="1442" w:type="dxa"/>
            <w:tcBorders>
              <w:top w:val="nil"/>
              <w:left w:val="nil"/>
              <w:bottom w:val="single" w:sz="4" w:space="0" w:color="auto"/>
              <w:right w:val="single" w:sz="4" w:space="0" w:color="auto"/>
            </w:tcBorders>
            <w:noWrap/>
            <w:vAlign w:val="center"/>
            <w:hideMark/>
          </w:tcPr>
          <w:p w14:paraId="341B60E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4,481 </w:t>
            </w:r>
          </w:p>
        </w:tc>
        <w:tc>
          <w:tcPr>
            <w:tcW w:w="1442" w:type="dxa"/>
            <w:tcBorders>
              <w:top w:val="nil"/>
              <w:left w:val="nil"/>
              <w:bottom w:val="single" w:sz="4" w:space="0" w:color="auto"/>
              <w:right w:val="single" w:sz="4" w:space="0" w:color="auto"/>
            </w:tcBorders>
            <w:noWrap/>
            <w:vAlign w:val="center"/>
            <w:hideMark/>
          </w:tcPr>
          <w:p w14:paraId="1961CDB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27,179 </w:t>
            </w:r>
          </w:p>
        </w:tc>
        <w:tc>
          <w:tcPr>
            <w:tcW w:w="1442" w:type="dxa"/>
            <w:tcBorders>
              <w:top w:val="nil"/>
              <w:left w:val="nil"/>
              <w:bottom w:val="single" w:sz="4" w:space="0" w:color="auto"/>
              <w:right w:val="single" w:sz="4" w:space="0" w:color="auto"/>
            </w:tcBorders>
            <w:noWrap/>
            <w:vAlign w:val="center"/>
            <w:hideMark/>
          </w:tcPr>
          <w:p w14:paraId="581CF39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14,042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69B9BE1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506.5%</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15BEA18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-48.3%</w:t>
            </w:r>
          </w:p>
        </w:tc>
      </w:tr>
      <w:tr w:rsidR="002F66A5" w:rsidRPr="002F66A5" w14:paraId="0809ABAA"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65880A5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2F01AD4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w:t>
            </w:r>
          </w:p>
        </w:tc>
        <w:tc>
          <w:tcPr>
            <w:tcW w:w="1442" w:type="dxa"/>
            <w:tcBorders>
              <w:top w:val="nil"/>
              <w:left w:val="nil"/>
              <w:bottom w:val="single" w:sz="4" w:space="0" w:color="auto"/>
              <w:right w:val="single" w:sz="4" w:space="0" w:color="auto"/>
            </w:tcBorders>
            <w:noWrap/>
            <w:vAlign w:val="center"/>
            <w:hideMark/>
          </w:tcPr>
          <w:p w14:paraId="6E62734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7.2%</w:t>
            </w:r>
          </w:p>
        </w:tc>
        <w:tc>
          <w:tcPr>
            <w:tcW w:w="1442" w:type="dxa"/>
            <w:tcBorders>
              <w:top w:val="nil"/>
              <w:left w:val="nil"/>
              <w:bottom w:val="single" w:sz="4" w:space="0" w:color="auto"/>
              <w:right w:val="single" w:sz="4" w:space="0" w:color="auto"/>
            </w:tcBorders>
            <w:noWrap/>
            <w:vAlign w:val="center"/>
            <w:hideMark/>
          </w:tcPr>
          <w:p w14:paraId="51ED8B3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4.3%</w:t>
            </w:r>
          </w:p>
        </w:tc>
        <w:tc>
          <w:tcPr>
            <w:tcW w:w="1442" w:type="dxa"/>
            <w:vMerge/>
            <w:tcBorders>
              <w:top w:val="nil"/>
              <w:left w:val="double" w:sz="6" w:space="0" w:color="auto"/>
              <w:bottom w:val="single" w:sz="4" w:space="0" w:color="auto"/>
              <w:right w:val="single" w:sz="4" w:space="0" w:color="auto"/>
            </w:tcBorders>
            <w:vAlign w:val="center"/>
            <w:hideMark/>
          </w:tcPr>
          <w:p w14:paraId="210292C7"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7AC58EF1"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286DF670"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760B52D3"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310</w:t>
            </w:r>
          </w:p>
        </w:tc>
        <w:tc>
          <w:tcPr>
            <w:tcW w:w="1442" w:type="dxa"/>
            <w:tcBorders>
              <w:top w:val="nil"/>
              <w:left w:val="nil"/>
              <w:bottom w:val="single" w:sz="4" w:space="0" w:color="auto"/>
              <w:right w:val="single" w:sz="4" w:space="0" w:color="auto"/>
            </w:tcBorders>
            <w:noWrap/>
            <w:vAlign w:val="center"/>
            <w:hideMark/>
          </w:tcPr>
          <w:p w14:paraId="2B75601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114,518 </w:t>
            </w:r>
          </w:p>
        </w:tc>
        <w:tc>
          <w:tcPr>
            <w:tcW w:w="1442" w:type="dxa"/>
            <w:tcBorders>
              <w:top w:val="nil"/>
              <w:left w:val="nil"/>
              <w:bottom w:val="single" w:sz="4" w:space="0" w:color="auto"/>
              <w:right w:val="single" w:sz="4" w:space="0" w:color="auto"/>
            </w:tcBorders>
            <w:noWrap/>
            <w:vAlign w:val="center"/>
            <w:hideMark/>
          </w:tcPr>
          <w:p w14:paraId="50F41A8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58,347 </w:t>
            </w:r>
          </w:p>
        </w:tc>
        <w:tc>
          <w:tcPr>
            <w:tcW w:w="1442" w:type="dxa"/>
            <w:tcBorders>
              <w:top w:val="nil"/>
              <w:left w:val="nil"/>
              <w:bottom w:val="single" w:sz="4" w:space="0" w:color="auto"/>
              <w:right w:val="single" w:sz="4" w:space="0" w:color="auto"/>
            </w:tcBorders>
            <w:noWrap/>
            <w:vAlign w:val="center"/>
            <w:hideMark/>
          </w:tcPr>
          <w:p w14:paraId="3FA9EA5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20,898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74908BE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-49.0%</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685538B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-64.2%</w:t>
            </w:r>
          </w:p>
        </w:tc>
      </w:tr>
      <w:tr w:rsidR="002F66A5" w:rsidRPr="002F66A5" w14:paraId="19CBD5B4"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1D93E960"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4E6CD4A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27.2%</w:t>
            </w:r>
          </w:p>
        </w:tc>
        <w:tc>
          <w:tcPr>
            <w:tcW w:w="1442" w:type="dxa"/>
            <w:tcBorders>
              <w:top w:val="nil"/>
              <w:left w:val="nil"/>
              <w:bottom w:val="single" w:sz="4" w:space="0" w:color="auto"/>
              <w:right w:val="single" w:sz="4" w:space="0" w:color="auto"/>
            </w:tcBorders>
            <w:noWrap/>
            <w:vAlign w:val="center"/>
            <w:hideMark/>
          </w:tcPr>
          <w:p w14:paraId="4027D1A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15.5%</w:t>
            </w:r>
          </w:p>
        </w:tc>
        <w:tc>
          <w:tcPr>
            <w:tcW w:w="1442" w:type="dxa"/>
            <w:tcBorders>
              <w:top w:val="nil"/>
              <w:left w:val="nil"/>
              <w:bottom w:val="single" w:sz="4" w:space="0" w:color="auto"/>
              <w:right w:val="single" w:sz="4" w:space="0" w:color="auto"/>
            </w:tcBorders>
            <w:noWrap/>
            <w:vAlign w:val="center"/>
            <w:hideMark/>
          </w:tcPr>
          <w:p w14:paraId="52A2E79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6.4%</w:t>
            </w:r>
          </w:p>
        </w:tc>
        <w:tc>
          <w:tcPr>
            <w:tcW w:w="1442" w:type="dxa"/>
            <w:vMerge/>
            <w:tcBorders>
              <w:top w:val="nil"/>
              <w:left w:val="double" w:sz="6" w:space="0" w:color="auto"/>
              <w:bottom w:val="single" w:sz="4" w:space="0" w:color="auto"/>
              <w:right w:val="single" w:sz="4" w:space="0" w:color="auto"/>
            </w:tcBorders>
            <w:vAlign w:val="center"/>
            <w:hideMark/>
          </w:tcPr>
          <w:p w14:paraId="4E9B18E4"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2F16D3E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077BD92B"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3BD2283E"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311</w:t>
            </w:r>
          </w:p>
        </w:tc>
        <w:tc>
          <w:tcPr>
            <w:tcW w:w="1442" w:type="dxa"/>
            <w:tcBorders>
              <w:top w:val="nil"/>
              <w:left w:val="nil"/>
              <w:bottom w:val="single" w:sz="4" w:space="0" w:color="auto"/>
              <w:right w:val="single" w:sz="4" w:space="0" w:color="auto"/>
            </w:tcBorders>
            <w:noWrap/>
            <w:vAlign w:val="center"/>
            <w:hideMark/>
          </w:tcPr>
          <w:p w14:paraId="085EA1C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NA</w:t>
            </w:r>
          </w:p>
        </w:tc>
        <w:tc>
          <w:tcPr>
            <w:tcW w:w="1442" w:type="dxa"/>
            <w:tcBorders>
              <w:top w:val="nil"/>
              <w:left w:val="nil"/>
              <w:bottom w:val="single" w:sz="4" w:space="0" w:color="auto"/>
              <w:right w:val="single" w:sz="4" w:space="0" w:color="auto"/>
            </w:tcBorders>
            <w:noWrap/>
            <w:vAlign w:val="center"/>
            <w:hideMark/>
          </w:tcPr>
          <w:p w14:paraId="3171EFB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5,818 </w:t>
            </w:r>
          </w:p>
        </w:tc>
        <w:tc>
          <w:tcPr>
            <w:tcW w:w="1442" w:type="dxa"/>
            <w:tcBorders>
              <w:top w:val="nil"/>
              <w:left w:val="nil"/>
              <w:bottom w:val="single" w:sz="4" w:space="0" w:color="auto"/>
              <w:right w:val="single" w:sz="4" w:space="0" w:color="auto"/>
            </w:tcBorders>
            <w:noWrap/>
            <w:vAlign w:val="center"/>
            <w:hideMark/>
          </w:tcPr>
          <w:p w14:paraId="7B05384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40,923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124E14D4" w14:textId="77777777" w:rsidR="002F66A5" w:rsidRPr="00F55CEA" w:rsidRDefault="002F66A5" w:rsidP="002F66A5">
            <w:pPr>
              <w:widowControl/>
              <w:spacing w:after="0" w:line="240" w:lineRule="auto"/>
              <w:jc w:val="right"/>
              <w:rPr>
                <w:rFonts w:ascii="Times New Roman" w:eastAsia="標楷體" w:hAnsi="Times New Roman" w:cs="Times New Roman"/>
                <w:color w:val="000000"/>
                <w:kern w:val="0"/>
                <w:sz w:val="27"/>
                <w:szCs w:val="27"/>
                <w14:ligatures w14:val="none"/>
              </w:rPr>
            </w:pPr>
            <w:r w:rsidRPr="00F55CEA">
              <w:rPr>
                <w:rFonts w:ascii="Times New Roman" w:eastAsia="標楷體" w:hAnsi="Times New Roman" w:cs="Times New Roman"/>
                <w:color w:val="000000"/>
                <w:kern w:val="0"/>
                <w:sz w:val="27"/>
                <w:szCs w:val="27"/>
                <w14:ligatures w14:val="none"/>
              </w:rPr>
              <w:t>NA</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5881D2A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603.4%</w:t>
            </w:r>
          </w:p>
        </w:tc>
      </w:tr>
      <w:tr w:rsidR="002F66A5" w:rsidRPr="002F66A5" w14:paraId="69F39BEC"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35470171"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000F161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NA</w:t>
            </w:r>
          </w:p>
        </w:tc>
        <w:tc>
          <w:tcPr>
            <w:tcW w:w="1442" w:type="dxa"/>
            <w:tcBorders>
              <w:top w:val="nil"/>
              <w:left w:val="nil"/>
              <w:bottom w:val="single" w:sz="4" w:space="0" w:color="auto"/>
              <w:right w:val="single" w:sz="4" w:space="0" w:color="auto"/>
            </w:tcBorders>
            <w:noWrap/>
            <w:vAlign w:val="center"/>
            <w:hideMark/>
          </w:tcPr>
          <w:p w14:paraId="5DCEE8C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1.5%</w:t>
            </w:r>
          </w:p>
        </w:tc>
        <w:tc>
          <w:tcPr>
            <w:tcW w:w="1442" w:type="dxa"/>
            <w:tcBorders>
              <w:top w:val="nil"/>
              <w:left w:val="nil"/>
              <w:bottom w:val="single" w:sz="4" w:space="0" w:color="auto"/>
              <w:right w:val="single" w:sz="4" w:space="0" w:color="auto"/>
            </w:tcBorders>
            <w:noWrap/>
            <w:vAlign w:val="center"/>
            <w:hideMark/>
          </w:tcPr>
          <w:p w14:paraId="65C559F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12.5%</w:t>
            </w:r>
          </w:p>
        </w:tc>
        <w:tc>
          <w:tcPr>
            <w:tcW w:w="1442" w:type="dxa"/>
            <w:vMerge/>
            <w:tcBorders>
              <w:top w:val="nil"/>
              <w:left w:val="double" w:sz="6" w:space="0" w:color="auto"/>
              <w:bottom w:val="single" w:sz="4" w:space="0" w:color="auto"/>
              <w:right w:val="single" w:sz="4" w:space="0" w:color="auto"/>
            </w:tcBorders>
            <w:vAlign w:val="center"/>
            <w:hideMark/>
          </w:tcPr>
          <w:p w14:paraId="5F190BE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5EEA9F71"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5679DA6A"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41B19FD3"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1123</w:t>
            </w:r>
          </w:p>
        </w:tc>
        <w:tc>
          <w:tcPr>
            <w:tcW w:w="1442" w:type="dxa"/>
            <w:tcBorders>
              <w:top w:val="nil"/>
              <w:left w:val="nil"/>
              <w:bottom w:val="single" w:sz="4" w:space="0" w:color="auto"/>
              <w:right w:val="single" w:sz="4" w:space="0" w:color="auto"/>
            </w:tcBorders>
            <w:noWrap/>
            <w:vAlign w:val="center"/>
            <w:hideMark/>
          </w:tcPr>
          <w:p w14:paraId="564D3B7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2,963 </w:t>
            </w:r>
          </w:p>
        </w:tc>
        <w:tc>
          <w:tcPr>
            <w:tcW w:w="1442" w:type="dxa"/>
            <w:tcBorders>
              <w:top w:val="nil"/>
              <w:left w:val="nil"/>
              <w:bottom w:val="single" w:sz="4" w:space="0" w:color="auto"/>
              <w:right w:val="single" w:sz="4" w:space="0" w:color="auto"/>
            </w:tcBorders>
            <w:noWrap/>
            <w:vAlign w:val="center"/>
            <w:hideMark/>
          </w:tcPr>
          <w:p w14:paraId="6BF0227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25,459 </w:t>
            </w:r>
          </w:p>
        </w:tc>
        <w:tc>
          <w:tcPr>
            <w:tcW w:w="1442" w:type="dxa"/>
            <w:tcBorders>
              <w:top w:val="nil"/>
              <w:left w:val="nil"/>
              <w:bottom w:val="single" w:sz="4" w:space="0" w:color="auto"/>
              <w:right w:val="single" w:sz="4" w:space="0" w:color="auto"/>
            </w:tcBorders>
            <w:noWrap/>
            <w:vAlign w:val="center"/>
            <w:hideMark/>
          </w:tcPr>
          <w:p w14:paraId="766648C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NA</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4D03D52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759.2%</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27147283" w14:textId="77777777" w:rsidR="002F66A5" w:rsidRPr="00F55CEA" w:rsidRDefault="002F66A5" w:rsidP="002F66A5">
            <w:pPr>
              <w:widowControl/>
              <w:spacing w:after="0" w:line="240" w:lineRule="auto"/>
              <w:jc w:val="right"/>
              <w:rPr>
                <w:rFonts w:ascii="Times New Roman" w:eastAsia="標楷體" w:hAnsi="Times New Roman" w:cs="Times New Roman"/>
                <w:color w:val="000000"/>
                <w:kern w:val="0"/>
                <w:sz w:val="27"/>
                <w:szCs w:val="27"/>
                <w14:ligatures w14:val="none"/>
              </w:rPr>
            </w:pPr>
            <w:r w:rsidRPr="00F55CEA">
              <w:rPr>
                <w:rFonts w:ascii="Times New Roman" w:eastAsia="標楷體" w:hAnsi="Times New Roman" w:cs="Times New Roman"/>
                <w:color w:val="000000"/>
                <w:kern w:val="0"/>
                <w:sz w:val="27"/>
                <w:szCs w:val="27"/>
                <w14:ligatures w14:val="none"/>
              </w:rPr>
              <w:t>NA</w:t>
            </w:r>
          </w:p>
        </w:tc>
      </w:tr>
      <w:tr w:rsidR="002F66A5" w:rsidRPr="002F66A5" w14:paraId="4ABCA5BC"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1BBCF1A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3A8F185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0.7%</w:t>
            </w:r>
          </w:p>
        </w:tc>
        <w:tc>
          <w:tcPr>
            <w:tcW w:w="1442" w:type="dxa"/>
            <w:tcBorders>
              <w:top w:val="nil"/>
              <w:left w:val="nil"/>
              <w:bottom w:val="single" w:sz="4" w:space="0" w:color="auto"/>
              <w:right w:val="single" w:sz="4" w:space="0" w:color="auto"/>
            </w:tcBorders>
            <w:noWrap/>
            <w:vAlign w:val="center"/>
            <w:hideMark/>
          </w:tcPr>
          <w:p w14:paraId="1EA498F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6.8%</w:t>
            </w:r>
          </w:p>
        </w:tc>
        <w:tc>
          <w:tcPr>
            <w:tcW w:w="1442" w:type="dxa"/>
            <w:tcBorders>
              <w:top w:val="nil"/>
              <w:left w:val="nil"/>
              <w:bottom w:val="single" w:sz="4" w:space="0" w:color="auto"/>
              <w:right w:val="single" w:sz="4" w:space="0" w:color="auto"/>
            </w:tcBorders>
            <w:noWrap/>
            <w:vAlign w:val="center"/>
            <w:hideMark/>
          </w:tcPr>
          <w:p w14:paraId="2B8C344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NA</w:t>
            </w:r>
          </w:p>
        </w:tc>
        <w:tc>
          <w:tcPr>
            <w:tcW w:w="1442" w:type="dxa"/>
            <w:vMerge/>
            <w:tcBorders>
              <w:top w:val="nil"/>
              <w:left w:val="double" w:sz="6" w:space="0" w:color="auto"/>
              <w:bottom w:val="single" w:sz="4" w:space="0" w:color="auto"/>
              <w:right w:val="single" w:sz="4" w:space="0" w:color="auto"/>
            </w:tcBorders>
            <w:vAlign w:val="center"/>
            <w:hideMark/>
          </w:tcPr>
          <w:p w14:paraId="3CBDB89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555F794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2F66A5" w:rsidRPr="002F66A5" w14:paraId="5D884040" w14:textId="77777777" w:rsidTr="00A0625D">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422EEA53"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總計</w:t>
            </w:r>
          </w:p>
        </w:tc>
        <w:tc>
          <w:tcPr>
            <w:tcW w:w="1442" w:type="dxa"/>
            <w:tcBorders>
              <w:top w:val="nil"/>
              <w:left w:val="nil"/>
              <w:bottom w:val="single" w:sz="4" w:space="0" w:color="auto"/>
              <w:right w:val="single" w:sz="4" w:space="0" w:color="auto"/>
            </w:tcBorders>
            <w:noWrap/>
            <w:vAlign w:val="center"/>
            <w:hideMark/>
          </w:tcPr>
          <w:p w14:paraId="1CE0418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421,721 </w:t>
            </w:r>
          </w:p>
        </w:tc>
        <w:tc>
          <w:tcPr>
            <w:tcW w:w="1442" w:type="dxa"/>
            <w:tcBorders>
              <w:top w:val="nil"/>
              <w:left w:val="nil"/>
              <w:bottom w:val="single" w:sz="4" w:space="0" w:color="auto"/>
              <w:right w:val="single" w:sz="4" w:space="0" w:color="auto"/>
            </w:tcBorders>
            <w:noWrap/>
            <w:vAlign w:val="center"/>
            <w:hideMark/>
          </w:tcPr>
          <w:p w14:paraId="623DB30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376,407 </w:t>
            </w:r>
          </w:p>
        </w:tc>
        <w:tc>
          <w:tcPr>
            <w:tcW w:w="1442" w:type="dxa"/>
            <w:tcBorders>
              <w:top w:val="nil"/>
              <w:left w:val="nil"/>
              <w:bottom w:val="single" w:sz="4" w:space="0" w:color="auto"/>
              <w:right w:val="single" w:sz="4" w:space="0" w:color="auto"/>
            </w:tcBorders>
            <w:noWrap/>
            <w:vAlign w:val="center"/>
            <w:hideMark/>
          </w:tcPr>
          <w:p w14:paraId="740AD49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326,583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5E8B4B2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-10.7%</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20CFC36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-13.0%</w:t>
            </w:r>
          </w:p>
        </w:tc>
      </w:tr>
      <w:tr w:rsidR="002F66A5" w:rsidRPr="002F66A5" w14:paraId="6E349EFC" w14:textId="77777777" w:rsidTr="00A0625D">
        <w:trPr>
          <w:trHeight w:val="370"/>
        </w:trPr>
        <w:tc>
          <w:tcPr>
            <w:tcW w:w="1442" w:type="dxa"/>
            <w:vMerge/>
            <w:tcBorders>
              <w:top w:val="nil"/>
              <w:left w:val="single" w:sz="4" w:space="0" w:color="auto"/>
              <w:bottom w:val="single" w:sz="4" w:space="0" w:color="auto"/>
              <w:right w:val="single" w:sz="4" w:space="0" w:color="auto"/>
            </w:tcBorders>
            <w:vAlign w:val="center"/>
            <w:hideMark/>
          </w:tcPr>
          <w:p w14:paraId="4F15BE6D"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bottom"/>
            <w:hideMark/>
          </w:tcPr>
          <w:p w14:paraId="10373A0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42" w:type="dxa"/>
            <w:tcBorders>
              <w:top w:val="nil"/>
              <w:left w:val="nil"/>
              <w:bottom w:val="single" w:sz="4" w:space="0" w:color="auto"/>
              <w:right w:val="single" w:sz="4" w:space="0" w:color="auto"/>
            </w:tcBorders>
            <w:noWrap/>
            <w:vAlign w:val="bottom"/>
            <w:hideMark/>
          </w:tcPr>
          <w:p w14:paraId="31B9337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42" w:type="dxa"/>
            <w:tcBorders>
              <w:top w:val="nil"/>
              <w:left w:val="nil"/>
              <w:bottom w:val="single" w:sz="4" w:space="0" w:color="auto"/>
              <w:right w:val="single" w:sz="4" w:space="0" w:color="auto"/>
            </w:tcBorders>
            <w:noWrap/>
            <w:vAlign w:val="bottom"/>
            <w:hideMark/>
          </w:tcPr>
          <w:p w14:paraId="28F86D2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42" w:type="dxa"/>
            <w:vMerge/>
            <w:tcBorders>
              <w:top w:val="nil"/>
              <w:left w:val="double" w:sz="6" w:space="0" w:color="auto"/>
              <w:bottom w:val="single" w:sz="4" w:space="0" w:color="auto"/>
              <w:right w:val="single" w:sz="4" w:space="0" w:color="auto"/>
            </w:tcBorders>
            <w:vAlign w:val="center"/>
            <w:hideMark/>
          </w:tcPr>
          <w:p w14:paraId="5D7FE32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42" w:type="dxa"/>
            <w:vMerge/>
            <w:tcBorders>
              <w:top w:val="nil"/>
              <w:left w:val="single" w:sz="4" w:space="0" w:color="auto"/>
              <w:bottom w:val="single" w:sz="4" w:space="0" w:color="auto"/>
              <w:right w:val="single" w:sz="4" w:space="0" w:color="auto"/>
            </w:tcBorders>
            <w:vAlign w:val="center"/>
            <w:hideMark/>
          </w:tcPr>
          <w:p w14:paraId="0E3A50A6"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bl>
    <w:p w14:paraId="1F79B2DA" w14:textId="04A4A90A" w:rsidR="007E0AB3" w:rsidRDefault="004D0159" w:rsidP="00F55CEA">
      <w:pPr>
        <w:spacing w:beforeLines="50" w:before="120" w:after="400"/>
        <w:ind w:firstLineChars="200" w:firstLine="540"/>
        <w:jc w:val="both"/>
        <w:rPr>
          <w:rFonts w:ascii="標楷體" w:eastAsia="標楷體" w:hAnsi="標楷體"/>
          <w:sz w:val="27"/>
          <w:szCs w:val="27"/>
        </w:rPr>
      </w:pPr>
      <w:r w:rsidRPr="004D0159">
        <w:rPr>
          <w:rFonts w:ascii="標楷體" w:eastAsia="標楷體" w:hAnsi="標楷體" w:hint="eastAsia"/>
          <w:sz w:val="27"/>
          <w:szCs w:val="27"/>
        </w:rPr>
        <w:t>從圖1.1.1可以觀察出，花蓮縣市區客運有顯著下降趨勢，由表1.1.1可看出112年的總搭乘人次是421,721，113年則下滑至376,407人次，而114年進一步降低至326,583人次之最低點，推測可能受113年0403發生的強震影響，許多基礎設施和路況受損嚴重且範圍極廣，導致114年搭乘人次持續下降，觀光景區修復中關閉影響來花蓮之人潮。三年間總搭乘人次逐年下降，分析各路線比例，112年原本佔比26.3%的302，因太魯閣景區封閉，直至114年佔比僅1.2%而成長率跌至88.5%；而佔比第二多27.2%的310，也是逐年下跌至114年佔比6.4%；相反地，301在觀光停滯期相對成長18.0%，佔比由36.7%跨越至54.1%，成為支撐花蓮客運的絕對核心。而1123在112年至113年的成長率高達759.2%，卻自113年11月1日調整為311和311A，311發行後至114年搭乘次數上升至花蓮縣市區客運佔比12.5%的客路線，推測美崙地區的民眾存在隱形需求。綜上所述也可推測出搭乘次數波動幅度有部分原因受景區修復進度帶動人潮影響。</w:t>
      </w:r>
    </w:p>
    <w:p w14:paraId="7CE0F33E" w14:textId="6D02F5FE" w:rsidR="007E0AB3" w:rsidRPr="00702CA2" w:rsidRDefault="009C2846" w:rsidP="009C2846">
      <w:pPr>
        <w:spacing w:beforeLines="50" w:before="120" w:after="400"/>
        <w:rPr>
          <w:rFonts w:ascii="標楷體" w:eastAsia="標楷體" w:hAnsi="標楷體"/>
          <w:b/>
          <w:bCs/>
          <w:sz w:val="27"/>
          <w:szCs w:val="27"/>
        </w:rPr>
      </w:pPr>
      <w:r w:rsidRPr="00702CA2">
        <w:rPr>
          <w:rFonts w:ascii="標楷體" w:eastAsia="標楷體" w:hAnsi="標楷體" w:hint="eastAsia"/>
          <w:b/>
          <w:bCs/>
          <w:sz w:val="27"/>
          <w:szCs w:val="27"/>
        </w:rPr>
        <w:t>1.2 月總運量趨勢</w:t>
      </w:r>
    </w:p>
    <w:p w14:paraId="74FD9E1A" w14:textId="77777777" w:rsidR="00702CA2" w:rsidRDefault="00940C6E" w:rsidP="00712D88">
      <w:pPr>
        <w:spacing w:beforeLines="50" w:before="120" w:after="400"/>
        <w:jc w:val="center"/>
        <w:rPr>
          <w:rFonts w:ascii="標楷體" w:eastAsia="標楷體" w:hAnsi="標楷體"/>
          <w:sz w:val="27"/>
          <w:szCs w:val="27"/>
        </w:rPr>
      </w:pPr>
      <w:r>
        <w:rPr>
          <w:rFonts w:ascii="標楷體" w:eastAsia="標楷體" w:hAnsi="標楷體"/>
          <w:noProof/>
          <w:sz w:val="27"/>
          <w:szCs w:val="27"/>
        </w:rPr>
        <w:lastRenderedPageBreak/>
        <w:drawing>
          <wp:inline distT="0" distB="0" distL="0" distR="0" wp14:anchorId="72FACE8B" wp14:editId="6EA98E29">
            <wp:extent cx="5010150" cy="2505075"/>
            <wp:effectExtent l="0" t="0" r="0" b="9525"/>
            <wp:docPr id="79372758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0150" cy="2505075"/>
                    </a:xfrm>
                    <a:prstGeom prst="rect">
                      <a:avLst/>
                    </a:prstGeom>
                    <a:noFill/>
                    <a:ln>
                      <a:noFill/>
                    </a:ln>
                  </pic:spPr>
                </pic:pic>
              </a:graphicData>
            </a:graphic>
          </wp:inline>
        </w:drawing>
      </w:r>
    </w:p>
    <w:p w14:paraId="40A73877" w14:textId="6875EB15" w:rsidR="00702CA2" w:rsidRDefault="00702CA2" w:rsidP="00702CA2">
      <w:pPr>
        <w:spacing w:beforeLines="50" w:before="120" w:after="400"/>
        <w:jc w:val="center"/>
        <w:rPr>
          <w:rFonts w:ascii="標楷體" w:eastAsia="標楷體" w:hAnsi="標楷體"/>
          <w:sz w:val="27"/>
          <w:szCs w:val="27"/>
        </w:rPr>
      </w:pPr>
      <w:r w:rsidRPr="00BF198E">
        <w:rPr>
          <w:rFonts w:ascii="標楷體" w:eastAsia="標楷體" w:hAnsi="標楷體" w:hint="eastAsia"/>
          <w:sz w:val="27"/>
          <w:szCs w:val="27"/>
        </w:rPr>
        <w:t>圖</w:t>
      </w:r>
      <w:r>
        <w:rPr>
          <w:rFonts w:ascii="標楷體" w:eastAsia="標楷體" w:hAnsi="標楷體" w:hint="eastAsia"/>
          <w:sz w:val="27"/>
          <w:szCs w:val="27"/>
        </w:rPr>
        <w:t>1.2.1 112年至114年1月至12月花蓮縣市區客運</w:t>
      </w:r>
      <w:r w:rsidR="004B6812">
        <w:rPr>
          <w:rFonts w:ascii="標楷體" w:eastAsia="標楷體" w:hAnsi="標楷體" w:hint="eastAsia"/>
          <w:sz w:val="27"/>
          <w:szCs w:val="27"/>
        </w:rPr>
        <w:t>月總運量</w:t>
      </w:r>
      <w:r>
        <w:rPr>
          <w:rFonts w:ascii="標楷體" w:eastAsia="標楷體" w:hAnsi="標楷體" w:hint="eastAsia"/>
          <w:sz w:val="27"/>
          <w:szCs w:val="27"/>
        </w:rPr>
        <w:t>折線圖</w:t>
      </w:r>
    </w:p>
    <w:p w14:paraId="39586232" w14:textId="1C30A484" w:rsidR="004B6812" w:rsidRDefault="00D6799A" w:rsidP="004C38D1">
      <w:pPr>
        <w:spacing w:beforeLines="50" w:before="120" w:after="400"/>
        <w:ind w:firstLineChars="200" w:firstLine="540"/>
        <w:jc w:val="both"/>
        <w:rPr>
          <w:rFonts w:ascii="標楷體" w:eastAsia="標楷體" w:hAnsi="標楷體"/>
          <w:sz w:val="27"/>
          <w:szCs w:val="27"/>
        </w:rPr>
      </w:pPr>
      <w:r w:rsidRPr="00D6799A">
        <w:rPr>
          <w:rFonts w:ascii="標楷體" w:eastAsia="標楷體" w:hAnsi="標楷體" w:hint="eastAsia"/>
          <w:sz w:val="27"/>
          <w:szCs w:val="27"/>
        </w:rPr>
        <w:t>由</w:t>
      </w:r>
      <w:r w:rsidR="00E46A84">
        <w:rPr>
          <w:rFonts w:ascii="標楷體" w:eastAsia="標楷體" w:hAnsi="標楷體" w:hint="eastAsia"/>
          <w:sz w:val="27"/>
          <w:szCs w:val="27"/>
        </w:rPr>
        <w:t>圖</w:t>
      </w:r>
      <w:r w:rsidRPr="00D6799A">
        <w:rPr>
          <w:rFonts w:ascii="標楷體" w:eastAsia="標楷體" w:hAnsi="標楷體" w:hint="eastAsia"/>
          <w:sz w:val="27"/>
          <w:szCs w:val="27"/>
        </w:rPr>
        <w:t>1.2.1可以看出，112年月運量折線呈現些微成長，雖某些月份搭乘次數下降但以逐漸上升為主。然而113年搭乘次數折線在4月出現急遽下跌，猜測與113年0403花蓮強震有關聯，地震導致太魯閣國家公園封園修整及多處交通中斷，但後面幾個月有稍微回升。114年則處於災後重整的回復期，雖然多數月份搭乘次數仍明顯低於112年，但在TPASS政策及民生通勤需求的幫助下，有微弱起伏。</w:t>
      </w:r>
    </w:p>
    <w:p w14:paraId="57B7A3CD" w14:textId="14CCC1D8" w:rsidR="00D6799A" w:rsidRPr="00CF3CFF" w:rsidRDefault="00D6799A" w:rsidP="00D6799A">
      <w:pPr>
        <w:spacing w:beforeLines="50" w:before="120" w:after="400"/>
        <w:rPr>
          <w:rFonts w:ascii="標楷體" w:eastAsia="標楷體" w:hAnsi="標楷體"/>
          <w:b/>
          <w:bCs/>
          <w:sz w:val="27"/>
          <w:szCs w:val="27"/>
        </w:rPr>
      </w:pPr>
      <w:r w:rsidRPr="00CF3CFF">
        <w:rPr>
          <w:rFonts w:ascii="標楷體" w:eastAsia="標楷體" w:hAnsi="標楷體" w:hint="eastAsia"/>
          <w:b/>
          <w:bCs/>
          <w:sz w:val="27"/>
          <w:szCs w:val="27"/>
        </w:rPr>
        <w:t xml:space="preserve">1.3 </w:t>
      </w:r>
      <w:r w:rsidR="00CF3CFF" w:rsidRPr="00CF3CFF">
        <w:rPr>
          <w:rFonts w:ascii="標楷體" w:eastAsia="標楷體" w:hAnsi="標楷體" w:hint="eastAsia"/>
          <w:b/>
          <w:bCs/>
          <w:sz w:val="27"/>
          <w:szCs w:val="27"/>
        </w:rPr>
        <w:t>持卡身分及客群分析</w:t>
      </w:r>
    </w:p>
    <w:p w14:paraId="1A631FE3" w14:textId="47892FDA" w:rsidR="0020252A" w:rsidRDefault="00940C6E" w:rsidP="00712D88">
      <w:pPr>
        <w:spacing w:beforeLines="50" w:before="120" w:after="400"/>
        <w:jc w:val="center"/>
        <w:rPr>
          <w:rFonts w:ascii="標楷體" w:eastAsia="標楷體" w:hAnsi="標楷體"/>
          <w:sz w:val="27"/>
          <w:szCs w:val="27"/>
        </w:rPr>
      </w:pPr>
      <w:r>
        <w:rPr>
          <w:rFonts w:ascii="標楷體" w:eastAsia="標楷體" w:hAnsi="標楷體" w:hint="eastAsia"/>
          <w:noProof/>
          <w:sz w:val="27"/>
          <w:szCs w:val="27"/>
        </w:rPr>
        <w:lastRenderedPageBreak/>
        <w:drawing>
          <wp:inline distT="0" distB="0" distL="0" distR="0" wp14:anchorId="51DD2A3D" wp14:editId="23A8077F">
            <wp:extent cx="4464050" cy="3348038"/>
            <wp:effectExtent l="0" t="0" r="0" b="5080"/>
            <wp:docPr id="194566339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3399" name="圖片 19456633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8808" cy="3351606"/>
                    </a:xfrm>
                    <a:prstGeom prst="rect">
                      <a:avLst/>
                    </a:prstGeom>
                  </pic:spPr>
                </pic:pic>
              </a:graphicData>
            </a:graphic>
          </wp:inline>
        </w:drawing>
      </w:r>
    </w:p>
    <w:p w14:paraId="2BB2706E" w14:textId="42A6C9DF" w:rsidR="00CF3CFF" w:rsidRDefault="00CF3CFF" w:rsidP="00712D88">
      <w:pPr>
        <w:spacing w:beforeLines="50" w:before="120" w:after="400"/>
        <w:jc w:val="center"/>
        <w:rPr>
          <w:rFonts w:ascii="標楷體" w:eastAsia="標楷體" w:hAnsi="標楷體"/>
          <w:sz w:val="27"/>
          <w:szCs w:val="27"/>
        </w:rPr>
      </w:pPr>
      <w:r>
        <w:rPr>
          <w:rFonts w:ascii="標楷體" w:eastAsia="標楷體" w:hAnsi="標楷體" w:hint="eastAsia"/>
          <w:sz w:val="27"/>
          <w:szCs w:val="27"/>
        </w:rPr>
        <w:t>圖1.3.1 114</w:t>
      </w:r>
      <w:r w:rsidR="00595B96">
        <w:rPr>
          <w:rFonts w:ascii="標楷體" w:eastAsia="標楷體" w:hAnsi="標楷體" w:hint="eastAsia"/>
          <w:sz w:val="27"/>
          <w:szCs w:val="27"/>
        </w:rPr>
        <w:t>年花蓮縣市區客運搭車持卡身分長條圖</w:t>
      </w:r>
    </w:p>
    <w:p w14:paraId="49640B3C" w14:textId="3E9FB22F" w:rsidR="00595B96" w:rsidRPr="0093444B" w:rsidRDefault="00595B96" w:rsidP="0093444B">
      <w:pPr>
        <w:spacing w:beforeLines="50" w:before="120" w:after="400"/>
        <w:jc w:val="center"/>
        <w:rPr>
          <w:rFonts w:ascii="標楷體" w:eastAsia="標楷體" w:hAnsi="標楷體"/>
          <w:sz w:val="27"/>
          <w:szCs w:val="27"/>
        </w:rPr>
      </w:pPr>
      <w:r>
        <w:rPr>
          <w:rFonts w:ascii="標楷體" w:eastAsia="標楷體" w:hAnsi="標楷體" w:hint="eastAsia"/>
          <w:sz w:val="27"/>
          <w:szCs w:val="27"/>
        </w:rPr>
        <w:t>表</w:t>
      </w:r>
      <w:r w:rsidR="0093444B">
        <w:rPr>
          <w:rFonts w:ascii="標楷體" w:eastAsia="標楷體" w:hAnsi="標楷體" w:hint="eastAsia"/>
          <w:sz w:val="27"/>
          <w:szCs w:val="27"/>
        </w:rPr>
        <w:t>1.3.1 112年至114年花蓮縣市區客運搭車持卡身分統計表</w:t>
      </w:r>
    </w:p>
    <w:tbl>
      <w:tblPr>
        <w:tblW w:w="9214" w:type="dxa"/>
        <w:tblInd w:w="-289" w:type="dxa"/>
        <w:tblCellMar>
          <w:left w:w="28" w:type="dxa"/>
          <w:right w:w="28" w:type="dxa"/>
        </w:tblCellMar>
        <w:tblLook w:val="04A0" w:firstRow="1" w:lastRow="0" w:firstColumn="1" w:lastColumn="0" w:noHBand="0" w:noVBand="1"/>
      </w:tblPr>
      <w:tblGrid>
        <w:gridCol w:w="1784"/>
        <w:gridCol w:w="1486"/>
        <w:gridCol w:w="1486"/>
        <w:gridCol w:w="1486"/>
        <w:gridCol w:w="1486"/>
        <w:gridCol w:w="1486"/>
      </w:tblGrid>
      <w:tr w:rsidR="00E0065F" w:rsidRPr="002F66A5" w14:paraId="2E9EC5E9" w14:textId="77777777" w:rsidTr="00E0065F">
        <w:trPr>
          <w:trHeight w:val="750"/>
        </w:trPr>
        <w:tc>
          <w:tcPr>
            <w:tcW w:w="1784"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6BBC2585" w14:textId="496C1910"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      </w:t>
            </w:r>
            <w:r w:rsidR="003E2DC0">
              <w:rPr>
                <w:rFonts w:ascii="標楷體" w:eastAsia="標楷體" w:hAnsi="標楷體" w:cs="Calibri" w:hint="eastAsia"/>
                <w:color w:val="000000"/>
                <w:kern w:val="0"/>
                <w:sz w:val="27"/>
                <w:szCs w:val="27"/>
                <w14:ligatures w14:val="none"/>
              </w:rPr>
              <w:t xml:space="preserve">  </w:t>
            </w:r>
            <w:r w:rsidRPr="002F66A5">
              <w:rPr>
                <w:rFonts w:ascii="標楷體" w:eastAsia="標楷體" w:hAnsi="標楷體" w:cs="Calibri" w:hint="eastAsia"/>
                <w:color w:val="000000"/>
                <w:kern w:val="0"/>
                <w:sz w:val="27"/>
                <w:szCs w:val="27"/>
                <w14:ligatures w14:val="none"/>
              </w:rPr>
              <w:t>年份</w:t>
            </w:r>
            <w:r w:rsidRPr="002F66A5">
              <w:rPr>
                <w:rFonts w:ascii="標楷體" w:eastAsia="標楷體" w:hAnsi="標楷體" w:cs="Calibri" w:hint="eastAsia"/>
                <w:color w:val="000000"/>
                <w:kern w:val="0"/>
                <w:sz w:val="27"/>
                <w:szCs w:val="27"/>
                <w14:ligatures w14:val="none"/>
              </w:rPr>
              <w:br/>
              <w:t>持卡身分</w:t>
            </w:r>
          </w:p>
        </w:tc>
        <w:tc>
          <w:tcPr>
            <w:tcW w:w="1486" w:type="dxa"/>
            <w:tcBorders>
              <w:top w:val="single" w:sz="4" w:space="0" w:color="auto"/>
              <w:left w:val="nil"/>
              <w:bottom w:val="single" w:sz="4" w:space="0" w:color="auto"/>
              <w:right w:val="single" w:sz="4" w:space="0" w:color="auto"/>
            </w:tcBorders>
            <w:noWrap/>
            <w:vAlign w:val="center"/>
            <w:hideMark/>
          </w:tcPr>
          <w:p w14:paraId="2BF85FD2"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112</w:t>
            </w:r>
          </w:p>
        </w:tc>
        <w:tc>
          <w:tcPr>
            <w:tcW w:w="1486" w:type="dxa"/>
            <w:tcBorders>
              <w:top w:val="single" w:sz="4" w:space="0" w:color="auto"/>
              <w:left w:val="nil"/>
              <w:bottom w:val="single" w:sz="4" w:space="0" w:color="auto"/>
              <w:right w:val="single" w:sz="4" w:space="0" w:color="auto"/>
            </w:tcBorders>
            <w:noWrap/>
            <w:vAlign w:val="center"/>
            <w:hideMark/>
          </w:tcPr>
          <w:p w14:paraId="7280C28B"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113</w:t>
            </w:r>
          </w:p>
        </w:tc>
        <w:tc>
          <w:tcPr>
            <w:tcW w:w="1486" w:type="dxa"/>
            <w:tcBorders>
              <w:top w:val="single" w:sz="4" w:space="0" w:color="auto"/>
              <w:left w:val="nil"/>
              <w:bottom w:val="single" w:sz="4" w:space="0" w:color="auto"/>
              <w:right w:val="nil"/>
            </w:tcBorders>
            <w:noWrap/>
            <w:vAlign w:val="center"/>
            <w:hideMark/>
          </w:tcPr>
          <w:p w14:paraId="50B444BB"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114</w:t>
            </w:r>
          </w:p>
        </w:tc>
        <w:tc>
          <w:tcPr>
            <w:tcW w:w="1486" w:type="dxa"/>
            <w:tcBorders>
              <w:top w:val="single" w:sz="4" w:space="0" w:color="auto"/>
              <w:left w:val="double" w:sz="6" w:space="0" w:color="auto"/>
              <w:bottom w:val="single" w:sz="4" w:space="0" w:color="auto"/>
              <w:right w:val="single" w:sz="4" w:space="0" w:color="auto"/>
            </w:tcBorders>
            <w:noWrap/>
            <w:vAlign w:val="center"/>
            <w:hideMark/>
          </w:tcPr>
          <w:p w14:paraId="2EBDAC0D" w14:textId="77777777" w:rsidR="002F66A5" w:rsidRPr="002F66A5" w:rsidRDefault="002F66A5" w:rsidP="002F66A5">
            <w:pPr>
              <w:widowControl/>
              <w:spacing w:after="0" w:line="240" w:lineRule="auto"/>
              <w:jc w:val="center"/>
              <w:rPr>
                <w:rFonts w:ascii="標楷體" w:eastAsia="標楷體" w:hAnsi="標楷體" w:cs="Calibri"/>
                <w:color w:val="000000"/>
                <w:kern w:val="0"/>
                <w14:ligatures w14:val="none"/>
              </w:rPr>
            </w:pPr>
            <w:r w:rsidRPr="002F66A5">
              <w:rPr>
                <w:rFonts w:ascii="標楷體" w:eastAsia="標楷體" w:hAnsi="標楷體" w:cs="Calibri" w:hint="eastAsia"/>
                <w:color w:val="000000"/>
                <w:kern w:val="0"/>
                <w14:ligatures w14:val="none"/>
              </w:rPr>
              <w:t>113年成長率</w:t>
            </w:r>
          </w:p>
        </w:tc>
        <w:tc>
          <w:tcPr>
            <w:tcW w:w="1486" w:type="dxa"/>
            <w:tcBorders>
              <w:top w:val="single" w:sz="4" w:space="0" w:color="auto"/>
              <w:left w:val="nil"/>
              <w:bottom w:val="single" w:sz="4" w:space="0" w:color="auto"/>
              <w:right w:val="single" w:sz="4" w:space="0" w:color="auto"/>
            </w:tcBorders>
            <w:noWrap/>
            <w:vAlign w:val="center"/>
            <w:hideMark/>
          </w:tcPr>
          <w:p w14:paraId="3D7E3AB3" w14:textId="77777777" w:rsidR="002F66A5" w:rsidRPr="002F66A5" w:rsidRDefault="002F66A5" w:rsidP="002F66A5">
            <w:pPr>
              <w:widowControl/>
              <w:spacing w:after="0" w:line="240" w:lineRule="auto"/>
              <w:jc w:val="center"/>
              <w:rPr>
                <w:rFonts w:ascii="標楷體" w:eastAsia="標楷體" w:hAnsi="標楷體" w:cs="Calibri"/>
                <w:color w:val="000000"/>
                <w:kern w:val="0"/>
                <w14:ligatures w14:val="none"/>
              </w:rPr>
            </w:pPr>
            <w:r w:rsidRPr="002F66A5">
              <w:rPr>
                <w:rFonts w:ascii="標楷體" w:eastAsia="標楷體" w:hAnsi="標楷體" w:cs="Calibri" w:hint="eastAsia"/>
                <w:color w:val="000000"/>
                <w:kern w:val="0"/>
                <w14:ligatures w14:val="none"/>
              </w:rPr>
              <w:t>114年成長率</w:t>
            </w:r>
          </w:p>
        </w:tc>
      </w:tr>
      <w:tr w:rsidR="00E0065F" w:rsidRPr="002F66A5" w14:paraId="369DD664" w14:textId="77777777" w:rsidTr="00E0065F">
        <w:trPr>
          <w:trHeight w:val="374"/>
        </w:trPr>
        <w:tc>
          <w:tcPr>
            <w:tcW w:w="1784" w:type="dxa"/>
            <w:vMerge w:val="restart"/>
            <w:tcBorders>
              <w:top w:val="nil"/>
              <w:left w:val="single" w:sz="4" w:space="0" w:color="auto"/>
              <w:bottom w:val="single" w:sz="4" w:space="0" w:color="auto"/>
              <w:right w:val="single" w:sz="4" w:space="0" w:color="auto"/>
            </w:tcBorders>
            <w:vAlign w:val="center"/>
            <w:hideMark/>
          </w:tcPr>
          <w:p w14:paraId="1C1B502B"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普通       (含TPASS)</w:t>
            </w:r>
          </w:p>
        </w:tc>
        <w:tc>
          <w:tcPr>
            <w:tcW w:w="1486" w:type="dxa"/>
            <w:tcBorders>
              <w:top w:val="nil"/>
              <w:left w:val="nil"/>
              <w:bottom w:val="single" w:sz="4" w:space="0" w:color="auto"/>
              <w:right w:val="single" w:sz="4" w:space="0" w:color="auto"/>
            </w:tcBorders>
            <w:noWrap/>
            <w:vAlign w:val="center"/>
            <w:hideMark/>
          </w:tcPr>
          <w:p w14:paraId="5EDF30E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277,326 </w:t>
            </w:r>
          </w:p>
        </w:tc>
        <w:tc>
          <w:tcPr>
            <w:tcW w:w="1486" w:type="dxa"/>
            <w:tcBorders>
              <w:top w:val="nil"/>
              <w:left w:val="nil"/>
              <w:bottom w:val="single" w:sz="4" w:space="0" w:color="auto"/>
              <w:right w:val="single" w:sz="4" w:space="0" w:color="auto"/>
            </w:tcBorders>
            <w:noWrap/>
            <w:vAlign w:val="center"/>
            <w:hideMark/>
          </w:tcPr>
          <w:p w14:paraId="3363D8F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241,795 </w:t>
            </w:r>
          </w:p>
        </w:tc>
        <w:tc>
          <w:tcPr>
            <w:tcW w:w="1486" w:type="dxa"/>
            <w:tcBorders>
              <w:top w:val="nil"/>
              <w:left w:val="nil"/>
              <w:bottom w:val="single" w:sz="4" w:space="0" w:color="auto"/>
              <w:right w:val="nil"/>
            </w:tcBorders>
            <w:noWrap/>
            <w:vAlign w:val="center"/>
            <w:hideMark/>
          </w:tcPr>
          <w:p w14:paraId="188888A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218,768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48EE41B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-12.8%</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775C9A7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-9.5%</w:t>
            </w:r>
          </w:p>
        </w:tc>
      </w:tr>
      <w:tr w:rsidR="00E0065F" w:rsidRPr="002F66A5" w14:paraId="092F4533"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60367F30"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25BA2B8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65.8%</w:t>
            </w:r>
          </w:p>
        </w:tc>
        <w:tc>
          <w:tcPr>
            <w:tcW w:w="1486" w:type="dxa"/>
            <w:tcBorders>
              <w:top w:val="nil"/>
              <w:left w:val="nil"/>
              <w:bottom w:val="single" w:sz="4" w:space="0" w:color="auto"/>
              <w:right w:val="single" w:sz="4" w:space="0" w:color="auto"/>
            </w:tcBorders>
            <w:noWrap/>
            <w:vAlign w:val="center"/>
            <w:hideMark/>
          </w:tcPr>
          <w:p w14:paraId="7223D03F"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64.2%</w:t>
            </w:r>
          </w:p>
        </w:tc>
        <w:tc>
          <w:tcPr>
            <w:tcW w:w="1486" w:type="dxa"/>
            <w:tcBorders>
              <w:top w:val="nil"/>
              <w:left w:val="nil"/>
              <w:bottom w:val="single" w:sz="4" w:space="0" w:color="auto"/>
              <w:right w:val="nil"/>
            </w:tcBorders>
            <w:noWrap/>
            <w:vAlign w:val="center"/>
            <w:hideMark/>
          </w:tcPr>
          <w:p w14:paraId="62F8FFA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67.0%</w:t>
            </w:r>
          </w:p>
        </w:tc>
        <w:tc>
          <w:tcPr>
            <w:tcW w:w="1486" w:type="dxa"/>
            <w:vMerge/>
            <w:tcBorders>
              <w:top w:val="nil"/>
              <w:left w:val="double" w:sz="6" w:space="0" w:color="auto"/>
              <w:bottom w:val="single" w:sz="4" w:space="0" w:color="auto"/>
              <w:right w:val="single" w:sz="4" w:space="0" w:color="auto"/>
            </w:tcBorders>
            <w:vAlign w:val="center"/>
            <w:hideMark/>
          </w:tcPr>
          <w:p w14:paraId="0575037D"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75138702"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E0065F" w:rsidRPr="002F66A5" w14:paraId="79BD972D" w14:textId="77777777" w:rsidTr="00E0065F">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757E7789"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敬老優待</w:t>
            </w:r>
          </w:p>
        </w:tc>
        <w:tc>
          <w:tcPr>
            <w:tcW w:w="1486" w:type="dxa"/>
            <w:tcBorders>
              <w:top w:val="nil"/>
              <w:left w:val="nil"/>
              <w:bottom w:val="single" w:sz="4" w:space="0" w:color="auto"/>
              <w:right w:val="single" w:sz="4" w:space="0" w:color="auto"/>
            </w:tcBorders>
            <w:noWrap/>
            <w:vAlign w:val="center"/>
            <w:hideMark/>
          </w:tcPr>
          <w:p w14:paraId="0FBCC3F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23,869 </w:t>
            </w:r>
          </w:p>
        </w:tc>
        <w:tc>
          <w:tcPr>
            <w:tcW w:w="1486" w:type="dxa"/>
            <w:tcBorders>
              <w:top w:val="nil"/>
              <w:left w:val="nil"/>
              <w:bottom w:val="single" w:sz="4" w:space="0" w:color="auto"/>
              <w:right w:val="single" w:sz="4" w:space="0" w:color="auto"/>
            </w:tcBorders>
            <w:noWrap/>
            <w:vAlign w:val="center"/>
            <w:hideMark/>
          </w:tcPr>
          <w:p w14:paraId="57B5FA7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33,514 </w:t>
            </w:r>
          </w:p>
        </w:tc>
        <w:tc>
          <w:tcPr>
            <w:tcW w:w="1486" w:type="dxa"/>
            <w:tcBorders>
              <w:top w:val="nil"/>
              <w:left w:val="nil"/>
              <w:bottom w:val="single" w:sz="4" w:space="0" w:color="auto"/>
              <w:right w:val="nil"/>
            </w:tcBorders>
            <w:noWrap/>
            <w:vAlign w:val="center"/>
            <w:hideMark/>
          </w:tcPr>
          <w:p w14:paraId="7B55D7F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22,415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274AA51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40.4%</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75AC9AD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-33.1%</w:t>
            </w:r>
          </w:p>
        </w:tc>
      </w:tr>
      <w:tr w:rsidR="00E0065F" w:rsidRPr="002F66A5" w14:paraId="5C029A6E"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795D8E7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152F1B1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5.7%</w:t>
            </w:r>
          </w:p>
        </w:tc>
        <w:tc>
          <w:tcPr>
            <w:tcW w:w="1486" w:type="dxa"/>
            <w:tcBorders>
              <w:top w:val="nil"/>
              <w:left w:val="nil"/>
              <w:bottom w:val="single" w:sz="4" w:space="0" w:color="auto"/>
              <w:right w:val="single" w:sz="4" w:space="0" w:color="auto"/>
            </w:tcBorders>
            <w:noWrap/>
            <w:vAlign w:val="center"/>
            <w:hideMark/>
          </w:tcPr>
          <w:p w14:paraId="4B2FDDB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8.9%</w:t>
            </w:r>
          </w:p>
        </w:tc>
        <w:tc>
          <w:tcPr>
            <w:tcW w:w="1486" w:type="dxa"/>
            <w:tcBorders>
              <w:top w:val="nil"/>
              <w:left w:val="nil"/>
              <w:bottom w:val="single" w:sz="4" w:space="0" w:color="auto"/>
              <w:right w:val="nil"/>
            </w:tcBorders>
            <w:noWrap/>
            <w:vAlign w:val="center"/>
            <w:hideMark/>
          </w:tcPr>
          <w:p w14:paraId="06594F1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6.9%</w:t>
            </w:r>
          </w:p>
        </w:tc>
        <w:tc>
          <w:tcPr>
            <w:tcW w:w="1486" w:type="dxa"/>
            <w:vMerge/>
            <w:tcBorders>
              <w:top w:val="nil"/>
              <w:left w:val="double" w:sz="6" w:space="0" w:color="auto"/>
              <w:bottom w:val="single" w:sz="4" w:space="0" w:color="auto"/>
              <w:right w:val="single" w:sz="4" w:space="0" w:color="auto"/>
            </w:tcBorders>
            <w:vAlign w:val="center"/>
            <w:hideMark/>
          </w:tcPr>
          <w:p w14:paraId="2B3C9D4B"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4F6B21F5"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E0065F" w:rsidRPr="002F66A5" w14:paraId="7CD5CA92" w14:textId="77777777" w:rsidTr="00E0065F">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6AEB5369"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學生</w:t>
            </w:r>
          </w:p>
        </w:tc>
        <w:tc>
          <w:tcPr>
            <w:tcW w:w="1486" w:type="dxa"/>
            <w:tcBorders>
              <w:top w:val="nil"/>
              <w:left w:val="nil"/>
              <w:bottom w:val="single" w:sz="4" w:space="0" w:color="auto"/>
              <w:right w:val="single" w:sz="4" w:space="0" w:color="auto"/>
            </w:tcBorders>
            <w:noWrap/>
            <w:vAlign w:val="center"/>
            <w:hideMark/>
          </w:tcPr>
          <w:p w14:paraId="60EBE119"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80,269 </w:t>
            </w:r>
          </w:p>
        </w:tc>
        <w:tc>
          <w:tcPr>
            <w:tcW w:w="1486" w:type="dxa"/>
            <w:tcBorders>
              <w:top w:val="nil"/>
              <w:left w:val="nil"/>
              <w:bottom w:val="single" w:sz="4" w:space="0" w:color="auto"/>
              <w:right w:val="single" w:sz="4" w:space="0" w:color="auto"/>
            </w:tcBorders>
            <w:noWrap/>
            <w:vAlign w:val="center"/>
            <w:hideMark/>
          </w:tcPr>
          <w:p w14:paraId="542762F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52,492 </w:t>
            </w:r>
          </w:p>
        </w:tc>
        <w:tc>
          <w:tcPr>
            <w:tcW w:w="1486" w:type="dxa"/>
            <w:tcBorders>
              <w:top w:val="nil"/>
              <w:left w:val="nil"/>
              <w:bottom w:val="single" w:sz="4" w:space="0" w:color="auto"/>
              <w:right w:val="nil"/>
            </w:tcBorders>
            <w:noWrap/>
            <w:vAlign w:val="center"/>
            <w:hideMark/>
          </w:tcPr>
          <w:p w14:paraId="060C39E8"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46,221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1E16382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-34.6%</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5574CC7D" w14:textId="5E21D431"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-12</w:t>
            </w:r>
            <w:r w:rsidR="00C44CFD">
              <w:rPr>
                <w:rFonts w:ascii="標楷體" w:eastAsia="標楷體" w:hAnsi="標楷體" w:cs="Calibri" w:hint="eastAsia"/>
                <w:color w:val="000000"/>
                <w:kern w:val="0"/>
                <w:sz w:val="27"/>
                <w:szCs w:val="27"/>
                <w14:ligatures w14:val="none"/>
              </w:rPr>
              <w:t>.0</w:t>
            </w:r>
            <w:r w:rsidRPr="002F66A5">
              <w:rPr>
                <w:rFonts w:ascii="標楷體" w:eastAsia="標楷體" w:hAnsi="標楷體" w:cs="Calibri" w:hint="eastAsia"/>
                <w:color w:val="000000"/>
                <w:kern w:val="0"/>
                <w:sz w:val="27"/>
                <w:szCs w:val="27"/>
                <w14:ligatures w14:val="none"/>
              </w:rPr>
              <w:t>%</w:t>
            </w:r>
          </w:p>
        </w:tc>
      </w:tr>
      <w:tr w:rsidR="00E0065F" w:rsidRPr="002F66A5" w14:paraId="03DCC7AB"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30C94A36"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3530C72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19.0%</w:t>
            </w:r>
          </w:p>
        </w:tc>
        <w:tc>
          <w:tcPr>
            <w:tcW w:w="1486" w:type="dxa"/>
            <w:tcBorders>
              <w:top w:val="nil"/>
              <w:left w:val="nil"/>
              <w:bottom w:val="single" w:sz="4" w:space="0" w:color="auto"/>
              <w:right w:val="single" w:sz="4" w:space="0" w:color="auto"/>
            </w:tcBorders>
            <w:noWrap/>
            <w:vAlign w:val="center"/>
            <w:hideMark/>
          </w:tcPr>
          <w:p w14:paraId="2B559663"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14.0%</w:t>
            </w:r>
          </w:p>
        </w:tc>
        <w:tc>
          <w:tcPr>
            <w:tcW w:w="1486" w:type="dxa"/>
            <w:tcBorders>
              <w:top w:val="nil"/>
              <w:left w:val="nil"/>
              <w:bottom w:val="single" w:sz="4" w:space="0" w:color="auto"/>
              <w:right w:val="nil"/>
            </w:tcBorders>
            <w:noWrap/>
            <w:vAlign w:val="center"/>
            <w:hideMark/>
          </w:tcPr>
          <w:p w14:paraId="0D771EAC"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14.2%</w:t>
            </w:r>
          </w:p>
        </w:tc>
        <w:tc>
          <w:tcPr>
            <w:tcW w:w="1486" w:type="dxa"/>
            <w:vMerge/>
            <w:tcBorders>
              <w:top w:val="nil"/>
              <w:left w:val="double" w:sz="6" w:space="0" w:color="auto"/>
              <w:bottom w:val="single" w:sz="4" w:space="0" w:color="auto"/>
              <w:right w:val="single" w:sz="4" w:space="0" w:color="auto"/>
            </w:tcBorders>
            <w:vAlign w:val="center"/>
            <w:hideMark/>
          </w:tcPr>
          <w:p w14:paraId="2DE063A2"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145B0BB4"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E0065F" w:rsidRPr="002F66A5" w14:paraId="08CB6318" w14:textId="77777777" w:rsidTr="00E0065F">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47E4A557"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愛心優待</w:t>
            </w:r>
          </w:p>
        </w:tc>
        <w:tc>
          <w:tcPr>
            <w:tcW w:w="1486" w:type="dxa"/>
            <w:tcBorders>
              <w:top w:val="nil"/>
              <w:left w:val="nil"/>
              <w:bottom w:val="single" w:sz="4" w:space="0" w:color="auto"/>
              <w:right w:val="single" w:sz="4" w:space="0" w:color="auto"/>
            </w:tcBorders>
            <w:noWrap/>
            <w:vAlign w:val="center"/>
            <w:hideMark/>
          </w:tcPr>
          <w:p w14:paraId="29A7D99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4,486 </w:t>
            </w:r>
          </w:p>
        </w:tc>
        <w:tc>
          <w:tcPr>
            <w:tcW w:w="1486" w:type="dxa"/>
            <w:tcBorders>
              <w:top w:val="nil"/>
              <w:left w:val="nil"/>
              <w:bottom w:val="single" w:sz="4" w:space="0" w:color="auto"/>
              <w:right w:val="single" w:sz="4" w:space="0" w:color="auto"/>
            </w:tcBorders>
            <w:noWrap/>
            <w:vAlign w:val="center"/>
            <w:hideMark/>
          </w:tcPr>
          <w:p w14:paraId="2754422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9,214 </w:t>
            </w:r>
          </w:p>
        </w:tc>
        <w:tc>
          <w:tcPr>
            <w:tcW w:w="1486" w:type="dxa"/>
            <w:tcBorders>
              <w:top w:val="nil"/>
              <w:left w:val="nil"/>
              <w:bottom w:val="single" w:sz="4" w:space="0" w:color="auto"/>
              <w:right w:val="nil"/>
            </w:tcBorders>
            <w:noWrap/>
            <w:vAlign w:val="center"/>
            <w:hideMark/>
          </w:tcPr>
          <w:p w14:paraId="667B0ED6"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8,448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19F50FD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105.4%</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696CAA3A"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-8.3%</w:t>
            </w:r>
          </w:p>
        </w:tc>
      </w:tr>
      <w:tr w:rsidR="00E0065F" w:rsidRPr="002F66A5" w14:paraId="659A2C20"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7DA5320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457D647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1.1%</w:t>
            </w:r>
          </w:p>
        </w:tc>
        <w:tc>
          <w:tcPr>
            <w:tcW w:w="1486" w:type="dxa"/>
            <w:tcBorders>
              <w:top w:val="nil"/>
              <w:left w:val="nil"/>
              <w:bottom w:val="single" w:sz="4" w:space="0" w:color="auto"/>
              <w:right w:val="single" w:sz="4" w:space="0" w:color="auto"/>
            </w:tcBorders>
            <w:noWrap/>
            <w:vAlign w:val="center"/>
            <w:hideMark/>
          </w:tcPr>
          <w:p w14:paraId="7683803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2.5%</w:t>
            </w:r>
          </w:p>
        </w:tc>
        <w:tc>
          <w:tcPr>
            <w:tcW w:w="1486" w:type="dxa"/>
            <w:tcBorders>
              <w:top w:val="nil"/>
              <w:left w:val="nil"/>
              <w:bottom w:val="single" w:sz="4" w:space="0" w:color="auto"/>
              <w:right w:val="nil"/>
            </w:tcBorders>
            <w:noWrap/>
            <w:vAlign w:val="center"/>
            <w:hideMark/>
          </w:tcPr>
          <w:p w14:paraId="2DDBBD0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2.6%</w:t>
            </w:r>
          </w:p>
        </w:tc>
        <w:tc>
          <w:tcPr>
            <w:tcW w:w="1486" w:type="dxa"/>
            <w:vMerge/>
            <w:tcBorders>
              <w:top w:val="nil"/>
              <w:left w:val="double" w:sz="6" w:space="0" w:color="auto"/>
              <w:bottom w:val="single" w:sz="4" w:space="0" w:color="auto"/>
              <w:right w:val="single" w:sz="4" w:space="0" w:color="auto"/>
            </w:tcBorders>
            <w:vAlign w:val="center"/>
            <w:hideMark/>
          </w:tcPr>
          <w:p w14:paraId="61EF0AE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2A8258EC"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E0065F" w:rsidRPr="002F66A5" w14:paraId="2291BF27" w14:textId="77777777" w:rsidTr="00E0065F">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669BB205"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其他優待</w:t>
            </w:r>
          </w:p>
        </w:tc>
        <w:tc>
          <w:tcPr>
            <w:tcW w:w="1486" w:type="dxa"/>
            <w:tcBorders>
              <w:top w:val="nil"/>
              <w:left w:val="nil"/>
              <w:bottom w:val="single" w:sz="4" w:space="0" w:color="auto"/>
              <w:right w:val="single" w:sz="4" w:space="0" w:color="auto"/>
            </w:tcBorders>
            <w:noWrap/>
            <w:vAlign w:val="center"/>
            <w:hideMark/>
          </w:tcPr>
          <w:p w14:paraId="7E09675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35,771 </w:t>
            </w:r>
          </w:p>
        </w:tc>
        <w:tc>
          <w:tcPr>
            <w:tcW w:w="1486" w:type="dxa"/>
            <w:tcBorders>
              <w:top w:val="nil"/>
              <w:left w:val="nil"/>
              <w:bottom w:val="single" w:sz="4" w:space="0" w:color="auto"/>
              <w:right w:val="single" w:sz="4" w:space="0" w:color="auto"/>
            </w:tcBorders>
            <w:noWrap/>
            <w:vAlign w:val="center"/>
            <w:hideMark/>
          </w:tcPr>
          <w:p w14:paraId="49CD982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39,392 </w:t>
            </w:r>
          </w:p>
        </w:tc>
        <w:tc>
          <w:tcPr>
            <w:tcW w:w="1486" w:type="dxa"/>
            <w:tcBorders>
              <w:top w:val="nil"/>
              <w:left w:val="nil"/>
              <w:bottom w:val="single" w:sz="4" w:space="0" w:color="auto"/>
              <w:right w:val="nil"/>
            </w:tcBorders>
            <w:noWrap/>
            <w:vAlign w:val="center"/>
            <w:hideMark/>
          </w:tcPr>
          <w:p w14:paraId="6F5297E2"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30,731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4E99AE24"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10.1%</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78BA6A6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-22%</w:t>
            </w:r>
          </w:p>
        </w:tc>
      </w:tr>
      <w:tr w:rsidR="00E0065F" w:rsidRPr="002F66A5" w14:paraId="6F4FB908"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4C5EEFD8"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7123FF8B"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8.5%</w:t>
            </w:r>
          </w:p>
        </w:tc>
        <w:tc>
          <w:tcPr>
            <w:tcW w:w="1486" w:type="dxa"/>
            <w:tcBorders>
              <w:top w:val="nil"/>
              <w:left w:val="nil"/>
              <w:bottom w:val="single" w:sz="4" w:space="0" w:color="auto"/>
              <w:right w:val="single" w:sz="4" w:space="0" w:color="auto"/>
            </w:tcBorders>
            <w:noWrap/>
            <w:vAlign w:val="center"/>
            <w:hideMark/>
          </w:tcPr>
          <w:p w14:paraId="0D0F5BA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10.5%</w:t>
            </w:r>
          </w:p>
        </w:tc>
        <w:tc>
          <w:tcPr>
            <w:tcW w:w="1486" w:type="dxa"/>
            <w:tcBorders>
              <w:top w:val="nil"/>
              <w:left w:val="nil"/>
              <w:bottom w:val="single" w:sz="4" w:space="0" w:color="auto"/>
              <w:right w:val="nil"/>
            </w:tcBorders>
            <w:noWrap/>
            <w:vAlign w:val="center"/>
            <w:hideMark/>
          </w:tcPr>
          <w:p w14:paraId="213CD02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9.4%</w:t>
            </w:r>
          </w:p>
        </w:tc>
        <w:tc>
          <w:tcPr>
            <w:tcW w:w="1486" w:type="dxa"/>
            <w:vMerge/>
            <w:tcBorders>
              <w:top w:val="nil"/>
              <w:left w:val="double" w:sz="6" w:space="0" w:color="auto"/>
              <w:bottom w:val="single" w:sz="4" w:space="0" w:color="auto"/>
              <w:right w:val="single" w:sz="4" w:space="0" w:color="auto"/>
            </w:tcBorders>
            <w:vAlign w:val="center"/>
            <w:hideMark/>
          </w:tcPr>
          <w:p w14:paraId="3509DC2E"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5650A827"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r w:rsidR="00E0065F" w:rsidRPr="002F66A5" w14:paraId="617B8879" w14:textId="77777777" w:rsidTr="00E0065F">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607A5214" w14:textId="77777777" w:rsidR="002F66A5" w:rsidRPr="002F66A5" w:rsidRDefault="002F66A5" w:rsidP="002F66A5">
            <w:pPr>
              <w:widowControl/>
              <w:spacing w:after="0" w:line="240" w:lineRule="auto"/>
              <w:jc w:val="center"/>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總計</w:t>
            </w:r>
          </w:p>
        </w:tc>
        <w:tc>
          <w:tcPr>
            <w:tcW w:w="1486" w:type="dxa"/>
            <w:tcBorders>
              <w:top w:val="nil"/>
              <w:left w:val="nil"/>
              <w:bottom w:val="single" w:sz="4" w:space="0" w:color="auto"/>
              <w:right w:val="single" w:sz="4" w:space="0" w:color="auto"/>
            </w:tcBorders>
            <w:noWrap/>
            <w:vAlign w:val="center"/>
            <w:hideMark/>
          </w:tcPr>
          <w:p w14:paraId="4FABB1F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421,721 </w:t>
            </w:r>
          </w:p>
        </w:tc>
        <w:tc>
          <w:tcPr>
            <w:tcW w:w="1486" w:type="dxa"/>
            <w:tcBorders>
              <w:top w:val="nil"/>
              <w:left w:val="nil"/>
              <w:bottom w:val="single" w:sz="4" w:space="0" w:color="auto"/>
              <w:right w:val="single" w:sz="4" w:space="0" w:color="auto"/>
            </w:tcBorders>
            <w:noWrap/>
            <w:vAlign w:val="center"/>
            <w:hideMark/>
          </w:tcPr>
          <w:p w14:paraId="08D63AE1"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376,407 </w:t>
            </w:r>
          </w:p>
        </w:tc>
        <w:tc>
          <w:tcPr>
            <w:tcW w:w="1486" w:type="dxa"/>
            <w:tcBorders>
              <w:top w:val="nil"/>
              <w:left w:val="nil"/>
              <w:bottom w:val="single" w:sz="4" w:space="0" w:color="auto"/>
              <w:right w:val="nil"/>
            </w:tcBorders>
            <w:noWrap/>
            <w:vAlign w:val="center"/>
            <w:hideMark/>
          </w:tcPr>
          <w:p w14:paraId="1D9D726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 xml:space="preserve">326,583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3C3B8B47"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-10.8%</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535AE7CD"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-13.2%</w:t>
            </w:r>
          </w:p>
        </w:tc>
      </w:tr>
      <w:tr w:rsidR="00E0065F" w:rsidRPr="002F66A5" w14:paraId="1CDCCAAA" w14:textId="77777777" w:rsidTr="00E0065F">
        <w:trPr>
          <w:trHeight w:val="374"/>
        </w:trPr>
        <w:tc>
          <w:tcPr>
            <w:tcW w:w="1784" w:type="dxa"/>
            <w:vMerge/>
            <w:tcBorders>
              <w:top w:val="nil"/>
              <w:left w:val="single" w:sz="4" w:space="0" w:color="auto"/>
              <w:bottom w:val="single" w:sz="4" w:space="0" w:color="auto"/>
              <w:right w:val="single" w:sz="4" w:space="0" w:color="auto"/>
            </w:tcBorders>
            <w:vAlign w:val="center"/>
            <w:hideMark/>
          </w:tcPr>
          <w:p w14:paraId="5B2F8477"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tcBorders>
              <w:top w:val="nil"/>
              <w:left w:val="nil"/>
              <w:bottom w:val="single" w:sz="4" w:space="0" w:color="auto"/>
              <w:right w:val="single" w:sz="4" w:space="0" w:color="auto"/>
            </w:tcBorders>
            <w:noWrap/>
            <w:vAlign w:val="center"/>
            <w:hideMark/>
          </w:tcPr>
          <w:p w14:paraId="48F9A265"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86" w:type="dxa"/>
            <w:tcBorders>
              <w:top w:val="nil"/>
              <w:left w:val="nil"/>
              <w:bottom w:val="single" w:sz="4" w:space="0" w:color="auto"/>
              <w:right w:val="single" w:sz="4" w:space="0" w:color="auto"/>
            </w:tcBorders>
            <w:noWrap/>
            <w:vAlign w:val="center"/>
            <w:hideMark/>
          </w:tcPr>
          <w:p w14:paraId="2BD7DC60"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86" w:type="dxa"/>
            <w:tcBorders>
              <w:top w:val="nil"/>
              <w:left w:val="nil"/>
              <w:bottom w:val="single" w:sz="4" w:space="0" w:color="auto"/>
              <w:right w:val="nil"/>
            </w:tcBorders>
            <w:noWrap/>
            <w:vAlign w:val="center"/>
            <w:hideMark/>
          </w:tcPr>
          <w:p w14:paraId="132E26FE" w14:textId="77777777" w:rsidR="002F66A5" w:rsidRPr="002F66A5" w:rsidRDefault="002F66A5" w:rsidP="002F66A5">
            <w:pPr>
              <w:widowControl/>
              <w:spacing w:after="0" w:line="240" w:lineRule="auto"/>
              <w:jc w:val="right"/>
              <w:rPr>
                <w:rFonts w:ascii="標楷體" w:eastAsia="標楷體" w:hAnsi="標楷體" w:cs="Calibri"/>
                <w:color w:val="000000"/>
                <w:kern w:val="0"/>
                <w:sz w:val="27"/>
                <w:szCs w:val="27"/>
                <w14:ligatures w14:val="none"/>
              </w:rPr>
            </w:pPr>
            <w:r w:rsidRPr="002F66A5">
              <w:rPr>
                <w:rFonts w:ascii="標楷體" w:eastAsia="標楷體" w:hAnsi="標楷體" w:cs="Calibri" w:hint="eastAsia"/>
                <w:color w:val="000000"/>
                <w:kern w:val="0"/>
                <w:sz w:val="27"/>
                <w:szCs w:val="27"/>
                <w14:ligatures w14:val="none"/>
              </w:rPr>
              <w:t>100%</w:t>
            </w:r>
          </w:p>
        </w:tc>
        <w:tc>
          <w:tcPr>
            <w:tcW w:w="1486" w:type="dxa"/>
            <w:vMerge/>
            <w:tcBorders>
              <w:top w:val="nil"/>
              <w:left w:val="double" w:sz="6" w:space="0" w:color="auto"/>
              <w:bottom w:val="single" w:sz="4" w:space="0" w:color="auto"/>
              <w:right w:val="single" w:sz="4" w:space="0" w:color="auto"/>
            </w:tcBorders>
            <w:vAlign w:val="center"/>
            <w:hideMark/>
          </w:tcPr>
          <w:p w14:paraId="6C9AA920"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c>
          <w:tcPr>
            <w:tcW w:w="1486" w:type="dxa"/>
            <w:vMerge/>
            <w:tcBorders>
              <w:top w:val="nil"/>
              <w:left w:val="single" w:sz="4" w:space="0" w:color="auto"/>
              <w:bottom w:val="single" w:sz="4" w:space="0" w:color="auto"/>
              <w:right w:val="single" w:sz="4" w:space="0" w:color="auto"/>
            </w:tcBorders>
            <w:vAlign w:val="center"/>
            <w:hideMark/>
          </w:tcPr>
          <w:p w14:paraId="04571C13" w14:textId="77777777" w:rsidR="002F66A5" w:rsidRPr="002F66A5" w:rsidRDefault="002F66A5" w:rsidP="002F66A5">
            <w:pPr>
              <w:widowControl/>
              <w:spacing w:after="0" w:line="240" w:lineRule="auto"/>
              <w:rPr>
                <w:rFonts w:ascii="標楷體" w:eastAsia="標楷體" w:hAnsi="標楷體" w:cs="Calibri"/>
                <w:color w:val="000000"/>
                <w:kern w:val="0"/>
                <w:sz w:val="27"/>
                <w:szCs w:val="27"/>
                <w14:ligatures w14:val="none"/>
              </w:rPr>
            </w:pPr>
          </w:p>
        </w:tc>
      </w:tr>
    </w:tbl>
    <w:p w14:paraId="7D3DA6A7" w14:textId="1110C2FF" w:rsidR="00D9457F" w:rsidRDefault="00E46AD5" w:rsidP="000464D4">
      <w:pPr>
        <w:spacing w:beforeLines="50" w:before="120" w:after="400"/>
        <w:ind w:firstLineChars="200" w:firstLine="540"/>
        <w:jc w:val="both"/>
        <w:rPr>
          <w:rFonts w:ascii="標楷體" w:eastAsia="標楷體" w:hAnsi="標楷體"/>
          <w:sz w:val="27"/>
          <w:szCs w:val="27"/>
        </w:rPr>
      </w:pPr>
      <w:r w:rsidRPr="00E46AD5">
        <w:rPr>
          <w:rFonts w:ascii="標楷體" w:eastAsia="標楷體" w:hAnsi="標楷體" w:hint="eastAsia"/>
          <w:sz w:val="27"/>
          <w:szCs w:val="27"/>
        </w:rPr>
        <w:lastRenderedPageBreak/>
        <w:t>114年花蓮市區客運的搭車持卡身分以普通（含TPASS)票佔多數，總搭車人次 218,768人，佔比 67.0%；其次為學生票，總搭車人次為 46,221 人，佔比14.2%；其餘身分包含其他優待票30,731人，佔比9.4%、敬老優待票22,415人，佔比6.9%以及愛心優點8,448人，佔比2.6%。114年各持卡身分的人次普遍呈現減少，其中敬老優待票的成長率衰退最為顯著，相較於前一年下降33.12%，反映出震後高齡族群有可能因心理因素或交通站點更動，導致減少外出。此外普通票人次雖因觀光客減少而年減 9.52%，但佔比卻因TPASS定期票政策的推行，從113年64.2%提升至114年67.0%，顯示出普通（含TPASS)持卡身分之人佔比已逐漸上升。112年至114年佔比最高皆是普通（含TPASS)票，雖逐年下降但幅度不明顯，成長率波動極大的是112年至113年的愛心優待票，呈現105.4%正向成長率，有可能是優待票政策和路線站點逐漸完善，連帶敬老優惠和其他優待皆呈現正向成長率。</w:t>
      </w:r>
    </w:p>
    <w:p w14:paraId="260A2592" w14:textId="792C6986" w:rsidR="00E46AD5" w:rsidRPr="004C7267" w:rsidRDefault="00E46AD5" w:rsidP="00E46AD5">
      <w:pPr>
        <w:spacing w:beforeLines="50" w:before="120" w:after="400"/>
        <w:jc w:val="both"/>
        <w:rPr>
          <w:rFonts w:ascii="標楷體" w:eastAsia="標楷體" w:hAnsi="標楷體"/>
          <w:b/>
          <w:bCs/>
          <w:sz w:val="27"/>
          <w:szCs w:val="27"/>
        </w:rPr>
      </w:pPr>
      <w:r w:rsidRPr="004C7267">
        <w:rPr>
          <w:rFonts w:ascii="標楷體" w:eastAsia="標楷體" w:hAnsi="標楷體" w:hint="eastAsia"/>
          <w:b/>
          <w:bCs/>
          <w:sz w:val="27"/>
          <w:szCs w:val="27"/>
        </w:rPr>
        <w:t xml:space="preserve">1.4 </w:t>
      </w:r>
      <w:r w:rsidR="004C7267" w:rsidRPr="004C7267">
        <w:rPr>
          <w:rFonts w:ascii="標楷體" w:eastAsia="標楷體" w:hAnsi="標楷體" w:hint="eastAsia"/>
          <w:b/>
          <w:bCs/>
          <w:sz w:val="27"/>
          <w:szCs w:val="27"/>
        </w:rPr>
        <w:t>定期票客群分析</w:t>
      </w:r>
    </w:p>
    <w:p w14:paraId="7348A75B" w14:textId="0CE58D7A" w:rsidR="0020252A" w:rsidRDefault="000B3F5F" w:rsidP="000B3F5F">
      <w:pPr>
        <w:spacing w:beforeLines="50" w:before="120" w:after="400"/>
        <w:jc w:val="center"/>
        <w:rPr>
          <w:rFonts w:ascii="標楷體" w:eastAsia="標楷體" w:hAnsi="標楷體"/>
          <w:sz w:val="27"/>
          <w:szCs w:val="27"/>
        </w:rPr>
      </w:pPr>
      <w:r>
        <w:rPr>
          <w:rFonts w:ascii="標楷體" w:eastAsia="標楷體" w:hAnsi="標楷體" w:hint="eastAsia"/>
          <w:noProof/>
          <w:sz w:val="27"/>
          <w:szCs w:val="27"/>
        </w:rPr>
        <w:drawing>
          <wp:inline distT="0" distB="0" distL="0" distR="0" wp14:anchorId="5D7140B5" wp14:editId="16233B0D">
            <wp:extent cx="4356847" cy="3267633"/>
            <wp:effectExtent l="0" t="0" r="5715" b="9525"/>
            <wp:docPr id="86532739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7391" name="圖片 8653273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7921" cy="3305939"/>
                    </a:xfrm>
                    <a:prstGeom prst="rect">
                      <a:avLst/>
                    </a:prstGeom>
                  </pic:spPr>
                </pic:pic>
              </a:graphicData>
            </a:graphic>
          </wp:inline>
        </w:drawing>
      </w:r>
    </w:p>
    <w:p w14:paraId="15CA33EF" w14:textId="2F5F7C8A" w:rsidR="004C7267" w:rsidRDefault="004C7267" w:rsidP="004C7267">
      <w:pPr>
        <w:spacing w:beforeLines="50" w:before="120" w:after="400"/>
        <w:jc w:val="center"/>
        <w:rPr>
          <w:rFonts w:ascii="標楷體" w:eastAsia="標楷體" w:hAnsi="標楷體"/>
          <w:sz w:val="27"/>
          <w:szCs w:val="27"/>
        </w:rPr>
      </w:pPr>
      <w:r>
        <w:rPr>
          <w:rFonts w:ascii="標楷體" w:eastAsia="標楷體" w:hAnsi="標楷體" w:hint="eastAsia"/>
          <w:sz w:val="27"/>
          <w:szCs w:val="27"/>
        </w:rPr>
        <w:t>圖1.4.1 114年花蓮縣市區客運搭車定期票長條圖</w:t>
      </w:r>
    </w:p>
    <w:p w14:paraId="03029992" w14:textId="590CAA37" w:rsidR="004C7267" w:rsidRPr="004C7267" w:rsidRDefault="004C7267" w:rsidP="004C7267">
      <w:pPr>
        <w:spacing w:beforeLines="50" w:before="120" w:after="400"/>
        <w:jc w:val="center"/>
        <w:rPr>
          <w:rFonts w:ascii="標楷體" w:eastAsia="標楷體" w:hAnsi="標楷體"/>
          <w:sz w:val="27"/>
          <w:szCs w:val="27"/>
        </w:rPr>
      </w:pPr>
      <w:r>
        <w:rPr>
          <w:rFonts w:ascii="標楷體" w:eastAsia="標楷體" w:hAnsi="標楷體" w:hint="eastAsia"/>
          <w:sz w:val="27"/>
          <w:szCs w:val="27"/>
        </w:rPr>
        <w:lastRenderedPageBreak/>
        <w:t>表1.4.1 112年至114年花蓮縣市區客運搭車定期票統計表</w:t>
      </w:r>
    </w:p>
    <w:tbl>
      <w:tblPr>
        <w:tblW w:w="8652" w:type="dxa"/>
        <w:tblCellMar>
          <w:left w:w="28" w:type="dxa"/>
          <w:right w:w="28" w:type="dxa"/>
        </w:tblCellMar>
        <w:tblLook w:val="04A0" w:firstRow="1" w:lastRow="0" w:firstColumn="1" w:lastColumn="0" w:noHBand="0" w:noVBand="1"/>
      </w:tblPr>
      <w:tblGrid>
        <w:gridCol w:w="1442"/>
        <w:gridCol w:w="1442"/>
        <w:gridCol w:w="1442"/>
        <w:gridCol w:w="1442"/>
        <w:gridCol w:w="1442"/>
        <w:gridCol w:w="1442"/>
      </w:tblGrid>
      <w:tr w:rsidR="002C6257" w:rsidRPr="002C6257" w14:paraId="678D8A9B" w14:textId="77777777" w:rsidTr="003E2DC0">
        <w:trPr>
          <w:trHeight w:val="742"/>
        </w:trPr>
        <w:tc>
          <w:tcPr>
            <w:tcW w:w="1442"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649606FE"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      年份</w:t>
            </w:r>
            <w:r w:rsidRPr="002C6257">
              <w:rPr>
                <w:rFonts w:ascii="標楷體" w:eastAsia="標楷體" w:hAnsi="標楷體" w:cs="新細明體" w:hint="eastAsia"/>
                <w:color w:val="000000"/>
                <w:kern w:val="0"/>
                <w:sz w:val="27"/>
                <w:szCs w:val="27"/>
                <w14:ligatures w14:val="none"/>
              </w:rPr>
              <w:br/>
              <w:t>定期票</w:t>
            </w:r>
          </w:p>
        </w:tc>
        <w:tc>
          <w:tcPr>
            <w:tcW w:w="1442" w:type="dxa"/>
            <w:tcBorders>
              <w:top w:val="single" w:sz="4" w:space="0" w:color="auto"/>
              <w:left w:val="nil"/>
              <w:bottom w:val="single" w:sz="4" w:space="0" w:color="auto"/>
              <w:right w:val="single" w:sz="4" w:space="0" w:color="auto"/>
            </w:tcBorders>
            <w:noWrap/>
            <w:vAlign w:val="center"/>
            <w:hideMark/>
          </w:tcPr>
          <w:p w14:paraId="6A9726B9"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112</w:t>
            </w:r>
          </w:p>
        </w:tc>
        <w:tc>
          <w:tcPr>
            <w:tcW w:w="1442" w:type="dxa"/>
            <w:tcBorders>
              <w:top w:val="single" w:sz="4" w:space="0" w:color="auto"/>
              <w:left w:val="nil"/>
              <w:bottom w:val="single" w:sz="4" w:space="0" w:color="auto"/>
              <w:right w:val="single" w:sz="4" w:space="0" w:color="auto"/>
            </w:tcBorders>
            <w:noWrap/>
            <w:vAlign w:val="center"/>
            <w:hideMark/>
          </w:tcPr>
          <w:p w14:paraId="43B568FD"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113</w:t>
            </w:r>
          </w:p>
        </w:tc>
        <w:tc>
          <w:tcPr>
            <w:tcW w:w="1442" w:type="dxa"/>
            <w:tcBorders>
              <w:top w:val="single" w:sz="4" w:space="0" w:color="auto"/>
              <w:left w:val="nil"/>
              <w:bottom w:val="single" w:sz="4" w:space="0" w:color="auto"/>
              <w:right w:val="nil"/>
            </w:tcBorders>
            <w:noWrap/>
            <w:vAlign w:val="center"/>
            <w:hideMark/>
          </w:tcPr>
          <w:p w14:paraId="21898D53"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114</w:t>
            </w:r>
          </w:p>
        </w:tc>
        <w:tc>
          <w:tcPr>
            <w:tcW w:w="1442" w:type="dxa"/>
            <w:tcBorders>
              <w:top w:val="single" w:sz="4" w:space="0" w:color="auto"/>
              <w:left w:val="double" w:sz="6" w:space="0" w:color="auto"/>
              <w:bottom w:val="single" w:sz="4" w:space="0" w:color="auto"/>
              <w:right w:val="single" w:sz="4" w:space="0" w:color="auto"/>
            </w:tcBorders>
            <w:noWrap/>
            <w:vAlign w:val="center"/>
            <w:hideMark/>
          </w:tcPr>
          <w:p w14:paraId="34FF73B5" w14:textId="77777777" w:rsidR="002C6257" w:rsidRPr="002C6257" w:rsidRDefault="002C6257" w:rsidP="002C6257">
            <w:pPr>
              <w:widowControl/>
              <w:spacing w:after="0" w:line="240" w:lineRule="auto"/>
              <w:jc w:val="center"/>
              <w:rPr>
                <w:rFonts w:ascii="標楷體" w:eastAsia="標楷體" w:hAnsi="標楷體" w:cs="新細明體"/>
                <w:color w:val="000000"/>
                <w:kern w:val="0"/>
                <w14:ligatures w14:val="none"/>
              </w:rPr>
            </w:pPr>
            <w:r w:rsidRPr="002C6257">
              <w:rPr>
                <w:rFonts w:ascii="標楷體" w:eastAsia="標楷體" w:hAnsi="標楷體" w:cs="新細明體" w:hint="eastAsia"/>
                <w:color w:val="000000"/>
                <w:kern w:val="0"/>
                <w14:ligatures w14:val="none"/>
              </w:rPr>
              <w:t>113年成長率</w:t>
            </w:r>
          </w:p>
        </w:tc>
        <w:tc>
          <w:tcPr>
            <w:tcW w:w="1442" w:type="dxa"/>
            <w:tcBorders>
              <w:top w:val="single" w:sz="4" w:space="0" w:color="auto"/>
              <w:left w:val="nil"/>
              <w:bottom w:val="single" w:sz="4" w:space="0" w:color="auto"/>
              <w:right w:val="single" w:sz="4" w:space="0" w:color="auto"/>
            </w:tcBorders>
            <w:noWrap/>
            <w:vAlign w:val="center"/>
            <w:hideMark/>
          </w:tcPr>
          <w:p w14:paraId="4706B654" w14:textId="77777777" w:rsidR="002C6257" w:rsidRPr="002C6257" w:rsidRDefault="002C6257" w:rsidP="002C6257">
            <w:pPr>
              <w:widowControl/>
              <w:spacing w:after="0" w:line="240" w:lineRule="auto"/>
              <w:jc w:val="center"/>
              <w:rPr>
                <w:rFonts w:ascii="標楷體" w:eastAsia="標楷體" w:hAnsi="標楷體" w:cs="新細明體"/>
                <w:color w:val="000000"/>
                <w:kern w:val="0"/>
                <w14:ligatures w14:val="none"/>
              </w:rPr>
            </w:pPr>
            <w:r w:rsidRPr="002C6257">
              <w:rPr>
                <w:rFonts w:ascii="標楷體" w:eastAsia="標楷體" w:hAnsi="標楷體" w:cs="新細明體" w:hint="eastAsia"/>
                <w:color w:val="000000"/>
                <w:kern w:val="0"/>
                <w14:ligatures w14:val="none"/>
              </w:rPr>
              <w:t>114年成長率</w:t>
            </w:r>
          </w:p>
        </w:tc>
      </w:tr>
      <w:tr w:rsidR="002C6257" w:rsidRPr="002C6257" w14:paraId="1EEB29B8" w14:textId="77777777" w:rsidTr="003E2DC0">
        <w:trPr>
          <w:trHeight w:val="371"/>
        </w:trPr>
        <w:tc>
          <w:tcPr>
            <w:tcW w:w="1442" w:type="dxa"/>
            <w:vMerge w:val="restart"/>
            <w:tcBorders>
              <w:top w:val="nil"/>
              <w:left w:val="single" w:sz="4" w:space="0" w:color="auto"/>
              <w:bottom w:val="single" w:sz="4" w:space="0" w:color="000000"/>
              <w:right w:val="single" w:sz="4" w:space="0" w:color="auto"/>
            </w:tcBorders>
            <w:vAlign w:val="center"/>
            <w:hideMark/>
          </w:tcPr>
          <w:p w14:paraId="3C0B5133"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花蓮399</w:t>
            </w:r>
          </w:p>
        </w:tc>
        <w:tc>
          <w:tcPr>
            <w:tcW w:w="1442" w:type="dxa"/>
            <w:tcBorders>
              <w:top w:val="nil"/>
              <w:left w:val="nil"/>
              <w:bottom w:val="single" w:sz="4" w:space="0" w:color="auto"/>
              <w:right w:val="single" w:sz="4" w:space="0" w:color="auto"/>
            </w:tcBorders>
            <w:noWrap/>
            <w:vAlign w:val="center"/>
            <w:hideMark/>
          </w:tcPr>
          <w:p w14:paraId="1936D2C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1,828 </w:t>
            </w:r>
          </w:p>
        </w:tc>
        <w:tc>
          <w:tcPr>
            <w:tcW w:w="1442" w:type="dxa"/>
            <w:tcBorders>
              <w:top w:val="nil"/>
              <w:left w:val="nil"/>
              <w:bottom w:val="single" w:sz="4" w:space="0" w:color="auto"/>
              <w:right w:val="single" w:sz="4" w:space="0" w:color="auto"/>
            </w:tcBorders>
            <w:noWrap/>
            <w:vAlign w:val="center"/>
            <w:hideMark/>
          </w:tcPr>
          <w:p w14:paraId="6741713D"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9,260 </w:t>
            </w:r>
          </w:p>
        </w:tc>
        <w:tc>
          <w:tcPr>
            <w:tcW w:w="1442" w:type="dxa"/>
            <w:tcBorders>
              <w:top w:val="nil"/>
              <w:left w:val="nil"/>
              <w:bottom w:val="single" w:sz="4" w:space="0" w:color="auto"/>
              <w:right w:val="nil"/>
            </w:tcBorders>
            <w:noWrap/>
            <w:vAlign w:val="center"/>
            <w:hideMark/>
          </w:tcPr>
          <w:p w14:paraId="54A2138A"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13,203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68D481ED"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406.6%</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3B89576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42.6%</w:t>
            </w:r>
          </w:p>
        </w:tc>
      </w:tr>
      <w:tr w:rsidR="002C6257" w:rsidRPr="002C6257" w14:paraId="63B4C0BD" w14:textId="77777777" w:rsidTr="003E2DC0">
        <w:trPr>
          <w:trHeight w:val="371"/>
        </w:trPr>
        <w:tc>
          <w:tcPr>
            <w:tcW w:w="1442" w:type="dxa"/>
            <w:vMerge/>
            <w:tcBorders>
              <w:top w:val="nil"/>
              <w:left w:val="single" w:sz="4" w:space="0" w:color="auto"/>
              <w:bottom w:val="single" w:sz="4" w:space="0" w:color="000000"/>
              <w:right w:val="single" w:sz="4" w:space="0" w:color="auto"/>
            </w:tcBorders>
            <w:vAlign w:val="center"/>
            <w:hideMark/>
          </w:tcPr>
          <w:p w14:paraId="3EAC31C4"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6EFDEF56"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0.4%</w:t>
            </w:r>
          </w:p>
        </w:tc>
        <w:tc>
          <w:tcPr>
            <w:tcW w:w="1442" w:type="dxa"/>
            <w:tcBorders>
              <w:top w:val="nil"/>
              <w:left w:val="nil"/>
              <w:bottom w:val="single" w:sz="4" w:space="0" w:color="auto"/>
              <w:right w:val="single" w:sz="4" w:space="0" w:color="auto"/>
            </w:tcBorders>
            <w:noWrap/>
            <w:vAlign w:val="center"/>
            <w:hideMark/>
          </w:tcPr>
          <w:p w14:paraId="1ED3ACD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2.5%</w:t>
            </w:r>
          </w:p>
        </w:tc>
        <w:tc>
          <w:tcPr>
            <w:tcW w:w="1442" w:type="dxa"/>
            <w:tcBorders>
              <w:top w:val="nil"/>
              <w:left w:val="nil"/>
              <w:bottom w:val="single" w:sz="4" w:space="0" w:color="auto"/>
              <w:right w:val="nil"/>
            </w:tcBorders>
            <w:noWrap/>
            <w:vAlign w:val="center"/>
            <w:hideMark/>
          </w:tcPr>
          <w:p w14:paraId="399B15B7"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4.0%</w:t>
            </w:r>
          </w:p>
        </w:tc>
        <w:tc>
          <w:tcPr>
            <w:tcW w:w="1442" w:type="dxa"/>
            <w:vMerge/>
            <w:tcBorders>
              <w:top w:val="nil"/>
              <w:left w:val="double" w:sz="6" w:space="0" w:color="auto"/>
              <w:bottom w:val="single" w:sz="4" w:space="0" w:color="000000"/>
              <w:right w:val="single" w:sz="4" w:space="0" w:color="auto"/>
            </w:tcBorders>
            <w:vAlign w:val="center"/>
            <w:hideMark/>
          </w:tcPr>
          <w:p w14:paraId="0D9CE440"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vMerge/>
            <w:tcBorders>
              <w:top w:val="nil"/>
              <w:left w:val="single" w:sz="4" w:space="0" w:color="auto"/>
              <w:bottom w:val="single" w:sz="4" w:space="0" w:color="000000"/>
              <w:right w:val="single" w:sz="4" w:space="0" w:color="auto"/>
            </w:tcBorders>
            <w:vAlign w:val="center"/>
            <w:hideMark/>
          </w:tcPr>
          <w:p w14:paraId="56ED2BC3"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6EE63838" w14:textId="77777777" w:rsidTr="003E2DC0">
        <w:trPr>
          <w:trHeight w:val="371"/>
        </w:trPr>
        <w:tc>
          <w:tcPr>
            <w:tcW w:w="1442" w:type="dxa"/>
            <w:vMerge w:val="restart"/>
            <w:tcBorders>
              <w:top w:val="nil"/>
              <w:left w:val="single" w:sz="4" w:space="0" w:color="auto"/>
              <w:bottom w:val="single" w:sz="4" w:space="0" w:color="000000"/>
              <w:right w:val="single" w:sz="4" w:space="0" w:color="auto"/>
            </w:tcBorders>
            <w:noWrap/>
            <w:vAlign w:val="center"/>
            <w:hideMark/>
          </w:tcPr>
          <w:p w14:paraId="2852F7E4"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花蓮199</w:t>
            </w:r>
          </w:p>
        </w:tc>
        <w:tc>
          <w:tcPr>
            <w:tcW w:w="1442" w:type="dxa"/>
            <w:tcBorders>
              <w:top w:val="nil"/>
              <w:left w:val="nil"/>
              <w:bottom w:val="single" w:sz="4" w:space="0" w:color="auto"/>
              <w:right w:val="single" w:sz="4" w:space="0" w:color="auto"/>
            </w:tcBorders>
            <w:noWrap/>
            <w:vAlign w:val="center"/>
            <w:hideMark/>
          </w:tcPr>
          <w:p w14:paraId="11FCA884"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12,205 </w:t>
            </w:r>
          </w:p>
        </w:tc>
        <w:tc>
          <w:tcPr>
            <w:tcW w:w="1442" w:type="dxa"/>
            <w:tcBorders>
              <w:top w:val="nil"/>
              <w:left w:val="nil"/>
              <w:bottom w:val="single" w:sz="4" w:space="0" w:color="auto"/>
              <w:right w:val="single" w:sz="4" w:space="0" w:color="auto"/>
            </w:tcBorders>
            <w:noWrap/>
            <w:vAlign w:val="center"/>
            <w:hideMark/>
          </w:tcPr>
          <w:p w14:paraId="24D99CC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47,332 </w:t>
            </w:r>
          </w:p>
        </w:tc>
        <w:tc>
          <w:tcPr>
            <w:tcW w:w="1442" w:type="dxa"/>
            <w:tcBorders>
              <w:top w:val="nil"/>
              <w:left w:val="nil"/>
              <w:bottom w:val="single" w:sz="4" w:space="0" w:color="auto"/>
              <w:right w:val="nil"/>
            </w:tcBorders>
            <w:noWrap/>
            <w:vAlign w:val="center"/>
            <w:hideMark/>
          </w:tcPr>
          <w:p w14:paraId="4B5F78EC"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85,367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28AEC34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287.8%</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5386A148"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80.4%</w:t>
            </w:r>
          </w:p>
        </w:tc>
      </w:tr>
      <w:tr w:rsidR="002C6257" w:rsidRPr="002C6257" w14:paraId="275A03C9" w14:textId="77777777" w:rsidTr="00DD04B5">
        <w:trPr>
          <w:trHeight w:val="655"/>
        </w:trPr>
        <w:tc>
          <w:tcPr>
            <w:tcW w:w="1442" w:type="dxa"/>
            <w:vMerge/>
            <w:tcBorders>
              <w:top w:val="nil"/>
              <w:left w:val="single" w:sz="4" w:space="0" w:color="auto"/>
              <w:bottom w:val="single" w:sz="4" w:space="0" w:color="000000"/>
              <w:right w:val="single" w:sz="4" w:space="0" w:color="auto"/>
            </w:tcBorders>
            <w:vAlign w:val="center"/>
            <w:hideMark/>
          </w:tcPr>
          <w:p w14:paraId="1107C039"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7165F23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2.9%</w:t>
            </w:r>
          </w:p>
        </w:tc>
        <w:tc>
          <w:tcPr>
            <w:tcW w:w="1442" w:type="dxa"/>
            <w:tcBorders>
              <w:top w:val="nil"/>
              <w:left w:val="nil"/>
              <w:bottom w:val="single" w:sz="4" w:space="0" w:color="auto"/>
              <w:right w:val="single" w:sz="4" w:space="0" w:color="auto"/>
            </w:tcBorders>
            <w:noWrap/>
            <w:vAlign w:val="center"/>
            <w:hideMark/>
          </w:tcPr>
          <w:p w14:paraId="6F093770"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12.6%</w:t>
            </w:r>
          </w:p>
        </w:tc>
        <w:tc>
          <w:tcPr>
            <w:tcW w:w="1442" w:type="dxa"/>
            <w:tcBorders>
              <w:top w:val="nil"/>
              <w:left w:val="nil"/>
              <w:bottom w:val="single" w:sz="4" w:space="0" w:color="auto"/>
              <w:right w:val="nil"/>
            </w:tcBorders>
            <w:noWrap/>
            <w:vAlign w:val="center"/>
            <w:hideMark/>
          </w:tcPr>
          <w:p w14:paraId="4FA0A46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26.1%</w:t>
            </w:r>
          </w:p>
        </w:tc>
        <w:tc>
          <w:tcPr>
            <w:tcW w:w="1442" w:type="dxa"/>
            <w:vMerge/>
            <w:tcBorders>
              <w:top w:val="nil"/>
              <w:left w:val="double" w:sz="6" w:space="0" w:color="auto"/>
              <w:bottom w:val="single" w:sz="4" w:space="0" w:color="000000"/>
              <w:right w:val="single" w:sz="4" w:space="0" w:color="auto"/>
            </w:tcBorders>
            <w:vAlign w:val="center"/>
            <w:hideMark/>
          </w:tcPr>
          <w:p w14:paraId="60D089E4"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vMerge/>
            <w:tcBorders>
              <w:top w:val="nil"/>
              <w:left w:val="single" w:sz="4" w:space="0" w:color="auto"/>
              <w:bottom w:val="single" w:sz="4" w:space="0" w:color="000000"/>
              <w:right w:val="single" w:sz="4" w:space="0" w:color="auto"/>
            </w:tcBorders>
            <w:vAlign w:val="center"/>
            <w:hideMark/>
          </w:tcPr>
          <w:p w14:paraId="3B46D4AF"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451B75A7" w14:textId="77777777" w:rsidTr="003E2DC0">
        <w:trPr>
          <w:trHeight w:val="371"/>
        </w:trPr>
        <w:tc>
          <w:tcPr>
            <w:tcW w:w="1442" w:type="dxa"/>
            <w:vMerge w:val="restart"/>
            <w:tcBorders>
              <w:top w:val="nil"/>
              <w:left w:val="single" w:sz="4" w:space="0" w:color="auto"/>
              <w:bottom w:val="single" w:sz="4" w:space="0" w:color="000000"/>
              <w:right w:val="single" w:sz="4" w:space="0" w:color="auto"/>
            </w:tcBorders>
            <w:noWrap/>
            <w:vAlign w:val="center"/>
            <w:hideMark/>
          </w:tcPr>
          <w:p w14:paraId="434FF110"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非定期票</w:t>
            </w:r>
          </w:p>
        </w:tc>
        <w:tc>
          <w:tcPr>
            <w:tcW w:w="1442" w:type="dxa"/>
            <w:tcBorders>
              <w:top w:val="nil"/>
              <w:left w:val="nil"/>
              <w:bottom w:val="single" w:sz="4" w:space="0" w:color="auto"/>
              <w:right w:val="single" w:sz="4" w:space="0" w:color="auto"/>
            </w:tcBorders>
            <w:noWrap/>
            <w:vAlign w:val="center"/>
            <w:hideMark/>
          </w:tcPr>
          <w:p w14:paraId="6CDFD1BF"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407,688 </w:t>
            </w:r>
          </w:p>
        </w:tc>
        <w:tc>
          <w:tcPr>
            <w:tcW w:w="1442" w:type="dxa"/>
            <w:tcBorders>
              <w:top w:val="nil"/>
              <w:left w:val="nil"/>
              <w:bottom w:val="single" w:sz="4" w:space="0" w:color="auto"/>
              <w:right w:val="single" w:sz="4" w:space="0" w:color="auto"/>
            </w:tcBorders>
            <w:noWrap/>
            <w:vAlign w:val="center"/>
            <w:hideMark/>
          </w:tcPr>
          <w:p w14:paraId="617E6B8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319,815 </w:t>
            </w:r>
          </w:p>
        </w:tc>
        <w:tc>
          <w:tcPr>
            <w:tcW w:w="1442" w:type="dxa"/>
            <w:tcBorders>
              <w:top w:val="nil"/>
              <w:left w:val="nil"/>
              <w:bottom w:val="single" w:sz="4" w:space="0" w:color="auto"/>
              <w:right w:val="nil"/>
            </w:tcBorders>
            <w:noWrap/>
            <w:vAlign w:val="center"/>
            <w:hideMark/>
          </w:tcPr>
          <w:p w14:paraId="49F0A7B6"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228,013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305EC065"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-21.6%</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3E079CE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-28.7%</w:t>
            </w:r>
          </w:p>
        </w:tc>
      </w:tr>
      <w:tr w:rsidR="002C6257" w:rsidRPr="002C6257" w14:paraId="556C978C" w14:textId="77777777" w:rsidTr="003E2DC0">
        <w:trPr>
          <w:trHeight w:val="371"/>
        </w:trPr>
        <w:tc>
          <w:tcPr>
            <w:tcW w:w="1442" w:type="dxa"/>
            <w:vMerge/>
            <w:tcBorders>
              <w:top w:val="nil"/>
              <w:left w:val="single" w:sz="4" w:space="0" w:color="auto"/>
              <w:bottom w:val="single" w:sz="4" w:space="0" w:color="000000"/>
              <w:right w:val="single" w:sz="4" w:space="0" w:color="auto"/>
            </w:tcBorders>
            <w:vAlign w:val="center"/>
            <w:hideMark/>
          </w:tcPr>
          <w:p w14:paraId="497D6DCC"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6BE9F4B0"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96.7%</w:t>
            </w:r>
          </w:p>
        </w:tc>
        <w:tc>
          <w:tcPr>
            <w:tcW w:w="1442" w:type="dxa"/>
            <w:tcBorders>
              <w:top w:val="nil"/>
              <w:left w:val="nil"/>
              <w:bottom w:val="single" w:sz="4" w:space="0" w:color="auto"/>
              <w:right w:val="single" w:sz="4" w:space="0" w:color="auto"/>
            </w:tcBorders>
            <w:noWrap/>
            <w:vAlign w:val="center"/>
            <w:hideMark/>
          </w:tcPr>
          <w:p w14:paraId="095CEC04"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85.0%</w:t>
            </w:r>
          </w:p>
        </w:tc>
        <w:tc>
          <w:tcPr>
            <w:tcW w:w="1442" w:type="dxa"/>
            <w:tcBorders>
              <w:top w:val="nil"/>
              <w:left w:val="nil"/>
              <w:bottom w:val="single" w:sz="4" w:space="0" w:color="auto"/>
              <w:right w:val="nil"/>
            </w:tcBorders>
            <w:noWrap/>
            <w:vAlign w:val="center"/>
            <w:hideMark/>
          </w:tcPr>
          <w:p w14:paraId="4CD71478"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69.8%</w:t>
            </w:r>
          </w:p>
        </w:tc>
        <w:tc>
          <w:tcPr>
            <w:tcW w:w="1442" w:type="dxa"/>
            <w:vMerge/>
            <w:tcBorders>
              <w:top w:val="nil"/>
              <w:left w:val="double" w:sz="6" w:space="0" w:color="auto"/>
              <w:bottom w:val="single" w:sz="4" w:space="0" w:color="000000"/>
              <w:right w:val="single" w:sz="4" w:space="0" w:color="auto"/>
            </w:tcBorders>
            <w:vAlign w:val="center"/>
            <w:hideMark/>
          </w:tcPr>
          <w:p w14:paraId="72391037"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vMerge/>
            <w:tcBorders>
              <w:top w:val="nil"/>
              <w:left w:val="single" w:sz="4" w:space="0" w:color="auto"/>
              <w:bottom w:val="single" w:sz="4" w:space="0" w:color="000000"/>
              <w:right w:val="single" w:sz="4" w:space="0" w:color="auto"/>
            </w:tcBorders>
            <w:vAlign w:val="center"/>
            <w:hideMark/>
          </w:tcPr>
          <w:p w14:paraId="122FF8E8"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4D931652" w14:textId="77777777" w:rsidTr="003E2DC0">
        <w:trPr>
          <w:trHeight w:val="371"/>
        </w:trPr>
        <w:tc>
          <w:tcPr>
            <w:tcW w:w="1442" w:type="dxa"/>
            <w:vMerge w:val="restart"/>
            <w:tcBorders>
              <w:top w:val="nil"/>
              <w:left w:val="single" w:sz="4" w:space="0" w:color="auto"/>
              <w:bottom w:val="single" w:sz="4" w:space="0" w:color="000000"/>
              <w:right w:val="single" w:sz="4" w:space="0" w:color="auto"/>
            </w:tcBorders>
            <w:noWrap/>
            <w:vAlign w:val="center"/>
            <w:hideMark/>
          </w:tcPr>
          <w:p w14:paraId="41FEC9B3"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總計</w:t>
            </w:r>
          </w:p>
        </w:tc>
        <w:tc>
          <w:tcPr>
            <w:tcW w:w="1442" w:type="dxa"/>
            <w:tcBorders>
              <w:top w:val="nil"/>
              <w:left w:val="nil"/>
              <w:bottom w:val="single" w:sz="4" w:space="0" w:color="auto"/>
              <w:right w:val="single" w:sz="4" w:space="0" w:color="auto"/>
            </w:tcBorders>
            <w:noWrap/>
            <w:vAlign w:val="center"/>
            <w:hideMark/>
          </w:tcPr>
          <w:p w14:paraId="668CAAD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421,721 </w:t>
            </w:r>
          </w:p>
        </w:tc>
        <w:tc>
          <w:tcPr>
            <w:tcW w:w="1442" w:type="dxa"/>
            <w:tcBorders>
              <w:top w:val="nil"/>
              <w:left w:val="nil"/>
              <w:bottom w:val="single" w:sz="4" w:space="0" w:color="auto"/>
              <w:right w:val="single" w:sz="4" w:space="0" w:color="auto"/>
            </w:tcBorders>
            <w:noWrap/>
            <w:vAlign w:val="center"/>
            <w:hideMark/>
          </w:tcPr>
          <w:p w14:paraId="3D822F7A"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376,407 </w:t>
            </w:r>
          </w:p>
        </w:tc>
        <w:tc>
          <w:tcPr>
            <w:tcW w:w="1442" w:type="dxa"/>
            <w:tcBorders>
              <w:top w:val="nil"/>
              <w:left w:val="nil"/>
              <w:bottom w:val="single" w:sz="4" w:space="0" w:color="auto"/>
              <w:right w:val="nil"/>
            </w:tcBorders>
            <w:noWrap/>
            <w:vAlign w:val="center"/>
            <w:hideMark/>
          </w:tcPr>
          <w:p w14:paraId="46643875"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326,583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0DD6B1E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-10.8%</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0072C24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-13.2%</w:t>
            </w:r>
          </w:p>
        </w:tc>
      </w:tr>
      <w:tr w:rsidR="002C6257" w:rsidRPr="002C6257" w14:paraId="3B7C5813" w14:textId="77777777" w:rsidTr="003E2DC0">
        <w:trPr>
          <w:trHeight w:val="371"/>
        </w:trPr>
        <w:tc>
          <w:tcPr>
            <w:tcW w:w="1442" w:type="dxa"/>
            <w:vMerge/>
            <w:tcBorders>
              <w:top w:val="nil"/>
              <w:left w:val="single" w:sz="4" w:space="0" w:color="auto"/>
              <w:bottom w:val="single" w:sz="4" w:space="0" w:color="000000"/>
              <w:right w:val="single" w:sz="4" w:space="0" w:color="auto"/>
            </w:tcBorders>
            <w:vAlign w:val="center"/>
            <w:hideMark/>
          </w:tcPr>
          <w:p w14:paraId="1ECC3869"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tcBorders>
              <w:top w:val="nil"/>
              <w:left w:val="nil"/>
              <w:bottom w:val="single" w:sz="4" w:space="0" w:color="auto"/>
              <w:right w:val="single" w:sz="4" w:space="0" w:color="auto"/>
            </w:tcBorders>
            <w:noWrap/>
            <w:vAlign w:val="center"/>
            <w:hideMark/>
          </w:tcPr>
          <w:p w14:paraId="1B9CD350"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42" w:type="dxa"/>
            <w:tcBorders>
              <w:top w:val="nil"/>
              <w:left w:val="nil"/>
              <w:bottom w:val="single" w:sz="4" w:space="0" w:color="auto"/>
              <w:right w:val="single" w:sz="4" w:space="0" w:color="auto"/>
            </w:tcBorders>
            <w:noWrap/>
            <w:vAlign w:val="center"/>
            <w:hideMark/>
          </w:tcPr>
          <w:p w14:paraId="6A635C4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42" w:type="dxa"/>
            <w:tcBorders>
              <w:top w:val="nil"/>
              <w:left w:val="nil"/>
              <w:bottom w:val="single" w:sz="4" w:space="0" w:color="auto"/>
              <w:right w:val="nil"/>
            </w:tcBorders>
            <w:noWrap/>
            <w:vAlign w:val="center"/>
            <w:hideMark/>
          </w:tcPr>
          <w:p w14:paraId="00D732A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42" w:type="dxa"/>
            <w:vMerge/>
            <w:tcBorders>
              <w:top w:val="nil"/>
              <w:left w:val="double" w:sz="6" w:space="0" w:color="auto"/>
              <w:bottom w:val="single" w:sz="4" w:space="0" w:color="000000"/>
              <w:right w:val="single" w:sz="4" w:space="0" w:color="auto"/>
            </w:tcBorders>
            <w:vAlign w:val="center"/>
            <w:hideMark/>
          </w:tcPr>
          <w:p w14:paraId="5ABF3956"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42" w:type="dxa"/>
            <w:vMerge/>
            <w:tcBorders>
              <w:top w:val="nil"/>
              <w:left w:val="single" w:sz="4" w:space="0" w:color="auto"/>
              <w:bottom w:val="single" w:sz="4" w:space="0" w:color="000000"/>
              <w:right w:val="single" w:sz="4" w:space="0" w:color="auto"/>
            </w:tcBorders>
            <w:vAlign w:val="center"/>
            <w:hideMark/>
          </w:tcPr>
          <w:p w14:paraId="75077E11"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bl>
    <w:p w14:paraId="587924FE" w14:textId="60737632" w:rsidR="00EF605B" w:rsidRDefault="00C05A57" w:rsidP="000464D4">
      <w:pPr>
        <w:spacing w:beforeLines="50" w:before="120" w:after="400"/>
        <w:ind w:firstLineChars="200" w:firstLine="540"/>
        <w:jc w:val="both"/>
        <w:rPr>
          <w:rFonts w:ascii="標楷體" w:eastAsia="標楷體" w:hAnsi="標楷體"/>
          <w:sz w:val="27"/>
          <w:szCs w:val="27"/>
        </w:rPr>
      </w:pPr>
      <w:r w:rsidRPr="00C05A57">
        <w:rPr>
          <w:rFonts w:ascii="標楷體" w:eastAsia="標楷體" w:hAnsi="標楷體" w:hint="eastAsia"/>
          <w:sz w:val="27"/>
          <w:szCs w:val="27"/>
        </w:rPr>
        <w:t>非定期票成長率呈現-28.7%的大幅衰減，由113年的85.0%衰減至 69.8%。然而，兩種花蓮定期票年總量卻呈現明顯的上升，特別是花蓮199成長率分別是287.8%和80.4%，持卡身分總人次最高達到85,367人，佔比從12.6%升至26.1%。這顯示出民眾在災後交通不便且經濟受影響的情況下，更可能傾向選擇經濟實惠的定期票，TPASS的政策推動成效逐漸顯露。</w:t>
      </w:r>
    </w:p>
    <w:p w14:paraId="13BCF8AA" w14:textId="77777777" w:rsidR="00EF605B" w:rsidRPr="00EF605B" w:rsidRDefault="00EF605B" w:rsidP="00EF605B">
      <w:pPr>
        <w:spacing w:beforeLines="50" w:before="120" w:after="400"/>
        <w:jc w:val="both"/>
        <w:rPr>
          <w:rFonts w:ascii="標楷體" w:eastAsia="標楷體" w:hAnsi="標楷體"/>
          <w:b/>
          <w:bCs/>
          <w:sz w:val="27"/>
          <w:szCs w:val="27"/>
        </w:rPr>
      </w:pPr>
      <w:r w:rsidRPr="00EF605B">
        <w:rPr>
          <w:rFonts w:ascii="標楷體" w:eastAsia="標楷體" w:hAnsi="標楷體" w:hint="eastAsia"/>
          <w:b/>
          <w:bCs/>
          <w:sz w:val="27"/>
          <w:szCs w:val="27"/>
        </w:rPr>
        <w:t>1.5 小結</w:t>
      </w:r>
    </w:p>
    <w:p w14:paraId="365EFF14" w14:textId="77777777" w:rsidR="000464D4" w:rsidRDefault="00EF605B" w:rsidP="000464D4">
      <w:pPr>
        <w:spacing w:beforeLines="50" w:before="120" w:after="400"/>
        <w:ind w:firstLineChars="200" w:firstLine="540"/>
        <w:jc w:val="both"/>
        <w:rPr>
          <w:rFonts w:ascii="標楷體" w:eastAsia="標楷體" w:hAnsi="標楷體"/>
          <w:sz w:val="27"/>
          <w:szCs w:val="27"/>
        </w:rPr>
      </w:pPr>
      <w:r w:rsidRPr="00EF605B">
        <w:rPr>
          <w:rFonts w:ascii="標楷體" w:eastAsia="標楷體" w:hAnsi="標楷體" w:hint="eastAsia"/>
          <w:sz w:val="27"/>
          <w:szCs w:val="27"/>
        </w:rPr>
        <w:t>綜合112年至114年間花蓮縣市區客運運量趨勢呈現明顯下滑，其主因與113年0403強震所帶來的交通中斷與觀光停滯密切相關，影響至114年仍未完全恢復。原本主要以觀光客搭乘的路線，302、310搭乘人數大幅衰退，而以在地通勤為主的路線，301、311則逐漸成為運量佔比較多之路線，顯示客運可能由觀光轉為民生使用較多。</w:t>
      </w:r>
    </w:p>
    <w:p w14:paraId="5200C6C1" w14:textId="48F0D397" w:rsidR="00EF605B" w:rsidRPr="00EF605B" w:rsidRDefault="00EF605B" w:rsidP="00A71F00">
      <w:pPr>
        <w:spacing w:beforeLines="50" w:before="120" w:after="400"/>
        <w:ind w:firstLineChars="200" w:firstLine="540"/>
        <w:jc w:val="both"/>
        <w:rPr>
          <w:rFonts w:ascii="標楷體" w:eastAsia="標楷體" w:hAnsi="標楷體" w:hint="eastAsia"/>
          <w:sz w:val="27"/>
          <w:szCs w:val="27"/>
        </w:rPr>
      </w:pPr>
      <w:r w:rsidRPr="00EF605B">
        <w:rPr>
          <w:rFonts w:ascii="標楷體" w:eastAsia="標楷體" w:hAnsi="標楷體" w:hint="eastAsia"/>
          <w:sz w:val="27"/>
          <w:szCs w:val="27"/>
        </w:rPr>
        <w:t>從時間趨勢來看，113年4月為轉折點，運量出現明顯下滑，後續雖有些微回升，但整體搭乘人次仍低於震前搭乘客運之人次；114年則進入災後調整期，運量波動趨緩，呈現以在地需求為主的穩定。在搭乘持卡身分方面，普通票（含TPASS）持續維持最大宗，且因定期票政策推動而提升佔比；學生族群亦為重要乘車客源，而敬老與其他優待族群則因震後外出</w:t>
      </w:r>
      <w:r w:rsidRPr="00EF605B">
        <w:rPr>
          <w:rFonts w:ascii="標楷體" w:eastAsia="標楷體" w:hAnsi="標楷體" w:hint="eastAsia"/>
          <w:sz w:val="27"/>
          <w:szCs w:val="27"/>
        </w:rPr>
        <w:lastRenderedPageBreak/>
        <w:t>意願下降而明顯減少。</w:t>
      </w:r>
      <w:r w:rsidR="00A71F00">
        <w:rPr>
          <w:rFonts w:ascii="標楷體" w:eastAsia="標楷體" w:hAnsi="標楷體" w:hint="eastAsia"/>
          <w:sz w:val="27"/>
          <w:szCs w:val="27"/>
        </w:rPr>
        <w:t>且</w:t>
      </w:r>
      <w:r w:rsidRPr="00EF605B">
        <w:rPr>
          <w:rFonts w:ascii="標楷體" w:eastAsia="標楷體" w:hAnsi="標楷體" w:hint="eastAsia"/>
          <w:sz w:val="27"/>
          <w:szCs w:val="27"/>
        </w:rPr>
        <w:t>非定期票之人次大幅下降，定期票兩種分別是花蓮399與花蓮199則快速成長，顯示在交通不便與經濟壓力下，民眾更傾向選擇穩定且具成本效益的通勤方式。</w:t>
      </w:r>
    </w:p>
    <w:p w14:paraId="281B33FD" w14:textId="5691FE7E" w:rsidR="000B3F5F" w:rsidRPr="0045746B" w:rsidRDefault="0045746B" w:rsidP="0045746B">
      <w:pPr>
        <w:spacing w:beforeLines="50" w:before="120" w:after="400"/>
        <w:jc w:val="center"/>
        <w:rPr>
          <w:rFonts w:ascii="標楷體" w:eastAsia="標楷體" w:hAnsi="標楷體"/>
          <w:b/>
          <w:bCs/>
          <w:sz w:val="27"/>
          <w:szCs w:val="27"/>
        </w:rPr>
      </w:pPr>
      <w:r>
        <w:rPr>
          <w:rFonts w:ascii="標楷體" w:eastAsia="標楷體" w:hAnsi="標楷體" w:hint="eastAsia"/>
          <w:b/>
          <w:bCs/>
          <w:sz w:val="27"/>
          <w:szCs w:val="27"/>
        </w:rPr>
        <w:t xml:space="preserve">第2章 </w:t>
      </w:r>
      <w:r w:rsidR="009E23CF" w:rsidRPr="0045746B">
        <w:rPr>
          <w:rFonts w:ascii="標楷體" w:eastAsia="標楷體" w:hAnsi="標楷體" w:hint="eastAsia"/>
          <w:b/>
          <w:bCs/>
          <w:sz w:val="27"/>
          <w:szCs w:val="27"/>
        </w:rPr>
        <w:t>臺東縣市區客運運量趨勢分析</w:t>
      </w:r>
    </w:p>
    <w:p w14:paraId="4B40F028" w14:textId="5BFCB300" w:rsidR="004C7684" w:rsidRPr="004C7684" w:rsidRDefault="004C7684" w:rsidP="004C7684">
      <w:pPr>
        <w:spacing w:beforeLines="50" w:before="120" w:after="400"/>
        <w:rPr>
          <w:rFonts w:ascii="標楷體" w:eastAsia="標楷體" w:hAnsi="標楷體"/>
          <w:b/>
          <w:bCs/>
          <w:sz w:val="27"/>
          <w:szCs w:val="27"/>
        </w:rPr>
      </w:pPr>
      <w:r>
        <w:rPr>
          <w:rFonts w:ascii="標楷體" w:eastAsia="標楷體" w:hAnsi="標楷體" w:hint="eastAsia"/>
          <w:b/>
          <w:bCs/>
          <w:sz w:val="27"/>
          <w:szCs w:val="27"/>
        </w:rPr>
        <w:t>2.1運量趨勢分析</w:t>
      </w:r>
    </w:p>
    <w:p w14:paraId="313A4FF6" w14:textId="77777777" w:rsidR="009E3088" w:rsidRDefault="00F33ACB" w:rsidP="00712D88">
      <w:pPr>
        <w:spacing w:beforeLines="50" w:before="120" w:after="400"/>
        <w:jc w:val="center"/>
        <w:rPr>
          <w:rFonts w:ascii="標楷體" w:eastAsia="標楷體" w:hAnsi="標楷體"/>
          <w:sz w:val="27"/>
          <w:szCs w:val="27"/>
        </w:rPr>
      </w:pPr>
      <w:r>
        <w:rPr>
          <w:rFonts w:ascii="標楷體" w:eastAsia="標楷體" w:hAnsi="標楷體"/>
          <w:noProof/>
          <w:sz w:val="27"/>
          <w:szCs w:val="27"/>
        </w:rPr>
        <w:drawing>
          <wp:inline distT="0" distB="0" distL="0" distR="0" wp14:anchorId="0116840B" wp14:editId="3D5E0F39">
            <wp:extent cx="4814047" cy="2407024"/>
            <wp:effectExtent l="0" t="0" r="5715" b="0"/>
            <wp:docPr id="136833595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5956" name="圖片 1368335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5873" cy="2412937"/>
                    </a:xfrm>
                    <a:prstGeom prst="rect">
                      <a:avLst/>
                    </a:prstGeom>
                  </pic:spPr>
                </pic:pic>
              </a:graphicData>
            </a:graphic>
          </wp:inline>
        </w:drawing>
      </w:r>
    </w:p>
    <w:p w14:paraId="3C020C69" w14:textId="0A583C27" w:rsidR="004C7684" w:rsidRDefault="004C7684" w:rsidP="004C7684">
      <w:pPr>
        <w:spacing w:beforeLines="50" w:before="120" w:after="400"/>
        <w:jc w:val="center"/>
        <w:rPr>
          <w:rFonts w:ascii="標楷體" w:eastAsia="標楷體" w:hAnsi="標楷體"/>
          <w:sz w:val="27"/>
          <w:szCs w:val="27"/>
        </w:rPr>
      </w:pPr>
      <w:r w:rsidRPr="00BF198E">
        <w:rPr>
          <w:rFonts w:ascii="標楷體" w:eastAsia="標楷體" w:hAnsi="標楷體" w:hint="eastAsia"/>
          <w:sz w:val="27"/>
          <w:szCs w:val="27"/>
        </w:rPr>
        <w:t>圖</w:t>
      </w:r>
      <w:r>
        <w:rPr>
          <w:rFonts w:ascii="標楷體" w:eastAsia="標楷體" w:hAnsi="標楷體" w:hint="eastAsia"/>
          <w:sz w:val="27"/>
          <w:szCs w:val="27"/>
        </w:rPr>
        <w:t>2.1.1 112年至114年臺東縣市區客運運量趨勢折線圖</w:t>
      </w:r>
    </w:p>
    <w:p w14:paraId="1FE8AB58" w14:textId="3A2B1A33" w:rsidR="004C7684" w:rsidRPr="004C7684" w:rsidRDefault="004C7684" w:rsidP="004C7684">
      <w:pPr>
        <w:spacing w:beforeLines="50" w:before="120" w:after="400"/>
        <w:jc w:val="center"/>
        <w:rPr>
          <w:rFonts w:ascii="標楷體" w:eastAsia="標楷體" w:hAnsi="標楷體"/>
          <w:sz w:val="27"/>
          <w:szCs w:val="27"/>
        </w:rPr>
      </w:pPr>
      <w:r>
        <w:rPr>
          <w:rFonts w:ascii="標楷體" w:eastAsia="標楷體" w:hAnsi="標楷體" w:hint="eastAsia"/>
          <w:sz w:val="27"/>
          <w:szCs w:val="27"/>
        </w:rPr>
        <w:t>表2.1.1 112年至114年臺東縣市區客運運量統計表</w:t>
      </w:r>
    </w:p>
    <w:tbl>
      <w:tblPr>
        <w:tblW w:w="8718" w:type="dxa"/>
        <w:tblCellMar>
          <w:left w:w="28" w:type="dxa"/>
          <w:right w:w="28" w:type="dxa"/>
        </w:tblCellMar>
        <w:tblLook w:val="04A0" w:firstRow="1" w:lastRow="0" w:firstColumn="1" w:lastColumn="0" w:noHBand="0" w:noVBand="1"/>
      </w:tblPr>
      <w:tblGrid>
        <w:gridCol w:w="1453"/>
        <w:gridCol w:w="1453"/>
        <w:gridCol w:w="1453"/>
        <w:gridCol w:w="1453"/>
        <w:gridCol w:w="1453"/>
        <w:gridCol w:w="1453"/>
      </w:tblGrid>
      <w:tr w:rsidR="002C6257" w:rsidRPr="002C6257" w14:paraId="3F9F8B85" w14:textId="77777777" w:rsidTr="000E1665">
        <w:trPr>
          <w:trHeight w:val="735"/>
        </w:trPr>
        <w:tc>
          <w:tcPr>
            <w:tcW w:w="1453"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3284FD4"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      年份</w:t>
            </w:r>
            <w:r w:rsidRPr="002C6257">
              <w:rPr>
                <w:rFonts w:ascii="標楷體" w:eastAsia="標楷體" w:hAnsi="標楷體" w:cs="新細明體" w:hint="eastAsia"/>
                <w:color w:val="000000"/>
                <w:kern w:val="0"/>
                <w:sz w:val="27"/>
                <w:szCs w:val="27"/>
                <w14:ligatures w14:val="none"/>
              </w:rPr>
              <w:br/>
              <w:t>路線</w:t>
            </w:r>
          </w:p>
        </w:tc>
        <w:tc>
          <w:tcPr>
            <w:tcW w:w="1453" w:type="dxa"/>
            <w:tcBorders>
              <w:top w:val="single" w:sz="4" w:space="0" w:color="auto"/>
              <w:left w:val="nil"/>
              <w:bottom w:val="single" w:sz="4" w:space="0" w:color="auto"/>
              <w:right w:val="single" w:sz="4" w:space="0" w:color="auto"/>
            </w:tcBorders>
            <w:noWrap/>
            <w:vAlign w:val="center"/>
            <w:hideMark/>
          </w:tcPr>
          <w:p w14:paraId="0C8B4139"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112</w:t>
            </w:r>
          </w:p>
        </w:tc>
        <w:tc>
          <w:tcPr>
            <w:tcW w:w="1453" w:type="dxa"/>
            <w:tcBorders>
              <w:top w:val="single" w:sz="4" w:space="0" w:color="auto"/>
              <w:left w:val="nil"/>
              <w:bottom w:val="single" w:sz="4" w:space="0" w:color="auto"/>
              <w:right w:val="single" w:sz="4" w:space="0" w:color="auto"/>
            </w:tcBorders>
            <w:noWrap/>
            <w:vAlign w:val="center"/>
            <w:hideMark/>
          </w:tcPr>
          <w:p w14:paraId="5551ECF1"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113</w:t>
            </w:r>
          </w:p>
        </w:tc>
        <w:tc>
          <w:tcPr>
            <w:tcW w:w="1453" w:type="dxa"/>
            <w:tcBorders>
              <w:top w:val="single" w:sz="4" w:space="0" w:color="auto"/>
              <w:left w:val="nil"/>
              <w:bottom w:val="single" w:sz="4" w:space="0" w:color="auto"/>
              <w:right w:val="single" w:sz="4" w:space="0" w:color="auto"/>
            </w:tcBorders>
            <w:noWrap/>
            <w:vAlign w:val="center"/>
            <w:hideMark/>
          </w:tcPr>
          <w:p w14:paraId="42FBAD19"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114</w:t>
            </w:r>
          </w:p>
        </w:tc>
        <w:tc>
          <w:tcPr>
            <w:tcW w:w="1453" w:type="dxa"/>
            <w:tcBorders>
              <w:top w:val="single" w:sz="4" w:space="0" w:color="auto"/>
              <w:left w:val="double" w:sz="6" w:space="0" w:color="auto"/>
              <w:bottom w:val="single" w:sz="4" w:space="0" w:color="auto"/>
              <w:right w:val="single" w:sz="4" w:space="0" w:color="auto"/>
            </w:tcBorders>
            <w:noWrap/>
            <w:vAlign w:val="center"/>
            <w:hideMark/>
          </w:tcPr>
          <w:p w14:paraId="4C2C5FDD" w14:textId="77777777" w:rsidR="002C6257" w:rsidRPr="002C6257" w:rsidRDefault="002C6257" w:rsidP="002C6257">
            <w:pPr>
              <w:widowControl/>
              <w:spacing w:after="0" w:line="240" w:lineRule="auto"/>
              <w:jc w:val="center"/>
              <w:rPr>
                <w:rFonts w:ascii="標楷體" w:eastAsia="標楷體" w:hAnsi="標楷體" w:cs="新細明體"/>
                <w:color w:val="000000"/>
                <w:kern w:val="0"/>
                <w14:ligatures w14:val="none"/>
              </w:rPr>
            </w:pPr>
            <w:r w:rsidRPr="002C6257">
              <w:rPr>
                <w:rFonts w:ascii="標楷體" w:eastAsia="標楷體" w:hAnsi="標楷體" w:cs="新細明體" w:hint="eastAsia"/>
                <w:color w:val="000000"/>
                <w:kern w:val="0"/>
                <w14:ligatures w14:val="none"/>
              </w:rPr>
              <w:t>113年成長率</w:t>
            </w:r>
          </w:p>
        </w:tc>
        <w:tc>
          <w:tcPr>
            <w:tcW w:w="1453" w:type="dxa"/>
            <w:tcBorders>
              <w:top w:val="single" w:sz="4" w:space="0" w:color="auto"/>
              <w:left w:val="nil"/>
              <w:bottom w:val="single" w:sz="4" w:space="0" w:color="auto"/>
              <w:right w:val="single" w:sz="4" w:space="0" w:color="auto"/>
            </w:tcBorders>
            <w:noWrap/>
            <w:vAlign w:val="center"/>
            <w:hideMark/>
          </w:tcPr>
          <w:p w14:paraId="5D667B93" w14:textId="77777777" w:rsidR="002C6257" w:rsidRPr="002C6257" w:rsidRDefault="002C6257" w:rsidP="002C6257">
            <w:pPr>
              <w:widowControl/>
              <w:spacing w:after="0" w:line="240" w:lineRule="auto"/>
              <w:jc w:val="center"/>
              <w:rPr>
                <w:rFonts w:ascii="標楷體" w:eastAsia="標楷體" w:hAnsi="標楷體" w:cs="新細明體"/>
                <w:color w:val="000000"/>
                <w:kern w:val="0"/>
                <w14:ligatures w14:val="none"/>
              </w:rPr>
            </w:pPr>
            <w:r w:rsidRPr="002C6257">
              <w:rPr>
                <w:rFonts w:ascii="標楷體" w:eastAsia="標楷體" w:hAnsi="標楷體" w:cs="新細明體" w:hint="eastAsia"/>
                <w:color w:val="000000"/>
                <w:kern w:val="0"/>
                <w14:ligatures w14:val="none"/>
              </w:rPr>
              <w:t>114年成長率</w:t>
            </w:r>
          </w:p>
        </w:tc>
      </w:tr>
      <w:tr w:rsidR="002C6257" w:rsidRPr="002C6257" w14:paraId="63AE9656" w14:textId="77777777" w:rsidTr="000E166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66B85457"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陸海空線</w:t>
            </w:r>
          </w:p>
        </w:tc>
        <w:tc>
          <w:tcPr>
            <w:tcW w:w="1453" w:type="dxa"/>
            <w:tcBorders>
              <w:top w:val="nil"/>
              <w:left w:val="nil"/>
              <w:bottom w:val="single" w:sz="4" w:space="0" w:color="auto"/>
              <w:right w:val="single" w:sz="4" w:space="0" w:color="auto"/>
            </w:tcBorders>
            <w:noWrap/>
            <w:vAlign w:val="center"/>
            <w:hideMark/>
          </w:tcPr>
          <w:p w14:paraId="4888847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58,424 </w:t>
            </w:r>
          </w:p>
        </w:tc>
        <w:tc>
          <w:tcPr>
            <w:tcW w:w="1453" w:type="dxa"/>
            <w:tcBorders>
              <w:top w:val="nil"/>
              <w:left w:val="nil"/>
              <w:bottom w:val="single" w:sz="4" w:space="0" w:color="auto"/>
              <w:right w:val="single" w:sz="4" w:space="0" w:color="auto"/>
            </w:tcBorders>
            <w:noWrap/>
            <w:vAlign w:val="center"/>
            <w:hideMark/>
          </w:tcPr>
          <w:p w14:paraId="384DC00A"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64,937 </w:t>
            </w:r>
          </w:p>
        </w:tc>
        <w:tc>
          <w:tcPr>
            <w:tcW w:w="1453" w:type="dxa"/>
            <w:tcBorders>
              <w:top w:val="nil"/>
              <w:left w:val="nil"/>
              <w:bottom w:val="single" w:sz="4" w:space="0" w:color="auto"/>
              <w:right w:val="single" w:sz="4" w:space="0" w:color="auto"/>
            </w:tcBorders>
            <w:noWrap/>
            <w:vAlign w:val="center"/>
            <w:hideMark/>
          </w:tcPr>
          <w:p w14:paraId="19CD031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59,580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68FB8F4C"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11.1%</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15B53493"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-8.2%</w:t>
            </w:r>
          </w:p>
        </w:tc>
      </w:tr>
      <w:tr w:rsidR="002C6257" w:rsidRPr="002C6257" w14:paraId="76CFA3A0"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3BCA3E27"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58BF40FF"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51.4%</w:t>
            </w:r>
          </w:p>
        </w:tc>
        <w:tc>
          <w:tcPr>
            <w:tcW w:w="1453" w:type="dxa"/>
            <w:tcBorders>
              <w:top w:val="nil"/>
              <w:left w:val="nil"/>
              <w:bottom w:val="single" w:sz="4" w:space="0" w:color="auto"/>
              <w:right w:val="single" w:sz="4" w:space="0" w:color="auto"/>
            </w:tcBorders>
            <w:noWrap/>
            <w:vAlign w:val="center"/>
            <w:hideMark/>
          </w:tcPr>
          <w:p w14:paraId="3C2D66E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44.0%</w:t>
            </w:r>
          </w:p>
        </w:tc>
        <w:tc>
          <w:tcPr>
            <w:tcW w:w="1453" w:type="dxa"/>
            <w:tcBorders>
              <w:top w:val="nil"/>
              <w:left w:val="nil"/>
              <w:bottom w:val="single" w:sz="4" w:space="0" w:color="auto"/>
              <w:right w:val="single" w:sz="4" w:space="0" w:color="auto"/>
            </w:tcBorders>
            <w:noWrap/>
            <w:vAlign w:val="center"/>
            <w:hideMark/>
          </w:tcPr>
          <w:p w14:paraId="34D0A353"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37.6%</w:t>
            </w:r>
          </w:p>
        </w:tc>
        <w:tc>
          <w:tcPr>
            <w:tcW w:w="1453" w:type="dxa"/>
            <w:vMerge/>
            <w:tcBorders>
              <w:top w:val="nil"/>
              <w:left w:val="double" w:sz="6" w:space="0" w:color="auto"/>
              <w:bottom w:val="single" w:sz="4" w:space="0" w:color="auto"/>
              <w:right w:val="single" w:sz="4" w:space="0" w:color="auto"/>
            </w:tcBorders>
            <w:vAlign w:val="center"/>
            <w:hideMark/>
          </w:tcPr>
          <w:p w14:paraId="43167BF9"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vMerge/>
            <w:tcBorders>
              <w:top w:val="nil"/>
              <w:left w:val="single" w:sz="4" w:space="0" w:color="auto"/>
              <w:bottom w:val="single" w:sz="4" w:space="0" w:color="auto"/>
              <w:right w:val="single" w:sz="4" w:space="0" w:color="auto"/>
            </w:tcBorders>
            <w:vAlign w:val="center"/>
            <w:hideMark/>
          </w:tcPr>
          <w:p w14:paraId="509ECA9C"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09FBDFC2" w14:textId="77777777" w:rsidTr="000E166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16C532FB"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市區循環</w:t>
            </w:r>
          </w:p>
        </w:tc>
        <w:tc>
          <w:tcPr>
            <w:tcW w:w="1453" w:type="dxa"/>
            <w:tcBorders>
              <w:top w:val="nil"/>
              <w:left w:val="nil"/>
              <w:bottom w:val="single" w:sz="4" w:space="0" w:color="auto"/>
              <w:right w:val="single" w:sz="4" w:space="0" w:color="auto"/>
            </w:tcBorders>
            <w:noWrap/>
            <w:vAlign w:val="center"/>
            <w:hideMark/>
          </w:tcPr>
          <w:p w14:paraId="2641726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55,154 </w:t>
            </w:r>
          </w:p>
        </w:tc>
        <w:tc>
          <w:tcPr>
            <w:tcW w:w="1453" w:type="dxa"/>
            <w:tcBorders>
              <w:top w:val="nil"/>
              <w:left w:val="nil"/>
              <w:bottom w:val="single" w:sz="4" w:space="0" w:color="auto"/>
              <w:right w:val="single" w:sz="4" w:space="0" w:color="auto"/>
            </w:tcBorders>
            <w:noWrap/>
            <w:vAlign w:val="center"/>
            <w:hideMark/>
          </w:tcPr>
          <w:p w14:paraId="37CF454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82,699 </w:t>
            </w:r>
          </w:p>
        </w:tc>
        <w:tc>
          <w:tcPr>
            <w:tcW w:w="1453" w:type="dxa"/>
            <w:tcBorders>
              <w:top w:val="nil"/>
              <w:left w:val="nil"/>
              <w:bottom w:val="single" w:sz="4" w:space="0" w:color="auto"/>
              <w:right w:val="single" w:sz="4" w:space="0" w:color="auto"/>
            </w:tcBorders>
            <w:noWrap/>
            <w:vAlign w:val="center"/>
            <w:hideMark/>
          </w:tcPr>
          <w:p w14:paraId="25A22098"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74,060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57C93298"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49.9%</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5CA6E714"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-10.4%</w:t>
            </w:r>
          </w:p>
        </w:tc>
      </w:tr>
      <w:tr w:rsidR="002C6257" w:rsidRPr="002C6257" w14:paraId="6F33D93F"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1EC3C1C3"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56ED16BA"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48.6%</w:t>
            </w:r>
          </w:p>
        </w:tc>
        <w:tc>
          <w:tcPr>
            <w:tcW w:w="1453" w:type="dxa"/>
            <w:tcBorders>
              <w:top w:val="nil"/>
              <w:left w:val="nil"/>
              <w:bottom w:val="single" w:sz="4" w:space="0" w:color="auto"/>
              <w:right w:val="single" w:sz="4" w:space="0" w:color="auto"/>
            </w:tcBorders>
            <w:noWrap/>
            <w:vAlign w:val="center"/>
            <w:hideMark/>
          </w:tcPr>
          <w:p w14:paraId="608DC2F2"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56.0%</w:t>
            </w:r>
          </w:p>
        </w:tc>
        <w:tc>
          <w:tcPr>
            <w:tcW w:w="1453" w:type="dxa"/>
            <w:tcBorders>
              <w:top w:val="nil"/>
              <w:left w:val="nil"/>
              <w:bottom w:val="single" w:sz="4" w:space="0" w:color="auto"/>
              <w:right w:val="single" w:sz="4" w:space="0" w:color="auto"/>
            </w:tcBorders>
            <w:noWrap/>
            <w:vAlign w:val="center"/>
            <w:hideMark/>
          </w:tcPr>
          <w:p w14:paraId="397CB4E7"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46.8%</w:t>
            </w:r>
          </w:p>
        </w:tc>
        <w:tc>
          <w:tcPr>
            <w:tcW w:w="1453" w:type="dxa"/>
            <w:vMerge/>
            <w:tcBorders>
              <w:top w:val="nil"/>
              <w:left w:val="double" w:sz="6" w:space="0" w:color="auto"/>
              <w:bottom w:val="single" w:sz="4" w:space="0" w:color="auto"/>
              <w:right w:val="single" w:sz="4" w:space="0" w:color="auto"/>
            </w:tcBorders>
            <w:vAlign w:val="center"/>
            <w:hideMark/>
          </w:tcPr>
          <w:p w14:paraId="0034C67B"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vMerge/>
            <w:tcBorders>
              <w:top w:val="nil"/>
              <w:left w:val="single" w:sz="4" w:space="0" w:color="auto"/>
              <w:bottom w:val="single" w:sz="4" w:space="0" w:color="auto"/>
              <w:right w:val="single" w:sz="4" w:space="0" w:color="auto"/>
            </w:tcBorders>
            <w:vAlign w:val="center"/>
            <w:hideMark/>
          </w:tcPr>
          <w:p w14:paraId="03AF17E2"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47F73531" w14:textId="77777777" w:rsidTr="000E166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33222B2D"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101</w:t>
            </w:r>
          </w:p>
        </w:tc>
        <w:tc>
          <w:tcPr>
            <w:tcW w:w="1453" w:type="dxa"/>
            <w:tcBorders>
              <w:top w:val="nil"/>
              <w:left w:val="nil"/>
              <w:bottom w:val="single" w:sz="4" w:space="0" w:color="auto"/>
              <w:right w:val="single" w:sz="4" w:space="0" w:color="auto"/>
            </w:tcBorders>
            <w:noWrap/>
            <w:vAlign w:val="center"/>
            <w:hideMark/>
          </w:tcPr>
          <w:p w14:paraId="40DF3696"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4E3DFF25"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3B720270"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15,307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1FD44DEB"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vMerge w:val="restart"/>
            <w:tcBorders>
              <w:top w:val="nil"/>
              <w:left w:val="nil"/>
              <w:bottom w:val="single" w:sz="4" w:space="0" w:color="auto"/>
              <w:right w:val="single" w:sz="4" w:space="0" w:color="auto"/>
            </w:tcBorders>
            <w:noWrap/>
            <w:vAlign w:val="center"/>
            <w:hideMark/>
          </w:tcPr>
          <w:p w14:paraId="2EBDF1EF"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r>
      <w:tr w:rsidR="002C6257" w:rsidRPr="002C6257" w14:paraId="70AC3A17"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71C06AB2"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7DCA1CF4"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4DC5CB3B"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38126363"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9.7%</w:t>
            </w:r>
          </w:p>
        </w:tc>
        <w:tc>
          <w:tcPr>
            <w:tcW w:w="1453" w:type="dxa"/>
            <w:vMerge/>
            <w:tcBorders>
              <w:top w:val="nil"/>
              <w:left w:val="double" w:sz="6" w:space="0" w:color="auto"/>
              <w:bottom w:val="single" w:sz="4" w:space="0" w:color="auto"/>
              <w:right w:val="single" w:sz="4" w:space="0" w:color="auto"/>
            </w:tcBorders>
            <w:vAlign w:val="center"/>
            <w:hideMark/>
          </w:tcPr>
          <w:p w14:paraId="347B9559"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c>
          <w:tcPr>
            <w:tcW w:w="1453" w:type="dxa"/>
            <w:vMerge/>
            <w:tcBorders>
              <w:top w:val="nil"/>
              <w:left w:val="nil"/>
              <w:bottom w:val="single" w:sz="4" w:space="0" w:color="auto"/>
              <w:right w:val="single" w:sz="4" w:space="0" w:color="auto"/>
            </w:tcBorders>
            <w:vAlign w:val="center"/>
            <w:hideMark/>
          </w:tcPr>
          <w:p w14:paraId="041D3CA5"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r>
      <w:tr w:rsidR="002C6257" w:rsidRPr="002C6257" w14:paraId="023C3F67" w14:textId="77777777" w:rsidTr="000E166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1A3D6E62"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202</w:t>
            </w:r>
          </w:p>
        </w:tc>
        <w:tc>
          <w:tcPr>
            <w:tcW w:w="1453" w:type="dxa"/>
            <w:tcBorders>
              <w:top w:val="nil"/>
              <w:left w:val="nil"/>
              <w:bottom w:val="single" w:sz="4" w:space="0" w:color="auto"/>
              <w:right w:val="single" w:sz="4" w:space="0" w:color="auto"/>
            </w:tcBorders>
            <w:noWrap/>
            <w:vAlign w:val="center"/>
            <w:hideMark/>
          </w:tcPr>
          <w:p w14:paraId="41C059FA"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0B48A464"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7CD73843"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3,892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67965B6C"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vMerge w:val="restart"/>
            <w:tcBorders>
              <w:top w:val="nil"/>
              <w:left w:val="nil"/>
              <w:bottom w:val="single" w:sz="4" w:space="0" w:color="auto"/>
              <w:right w:val="single" w:sz="4" w:space="0" w:color="auto"/>
            </w:tcBorders>
            <w:noWrap/>
            <w:vAlign w:val="center"/>
            <w:hideMark/>
          </w:tcPr>
          <w:p w14:paraId="0E3E2C75"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r>
      <w:tr w:rsidR="002C6257" w:rsidRPr="002C6257" w14:paraId="48995FAA"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5C58FD0D"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5CF0C320"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1B7A8695"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4689C17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2.5%</w:t>
            </w:r>
          </w:p>
        </w:tc>
        <w:tc>
          <w:tcPr>
            <w:tcW w:w="1453" w:type="dxa"/>
            <w:vMerge/>
            <w:tcBorders>
              <w:top w:val="nil"/>
              <w:left w:val="double" w:sz="6" w:space="0" w:color="auto"/>
              <w:bottom w:val="single" w:sz="4" w:space="0" w:color="auto"/>
              <w:right w:val="single" w:sz="4" w:space="0" w:color="auto"/>
            </w:tcBorders>
            <w:vAlign w:val="center"/>
            <w:hideMark/>
          </w:tcPr>
          <w:p w14:paraId="2DCEF88C"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c>
          <w:tcPr>
            <w:tcW w:w="1453" w:type="dxa"/>
            <w:vMerge/>
            <w:tcBorders>
              <w:top w:val="nil"/>
              <w:left w:val="nil"/>
              <w:bottom w:val="single" w:sz="4" w:space="0" w:color="auto"/>
              <w:right w:val="single" w:sz="4" w:space="0" w:color="auto"/>
            </w:tcBorders>
            <w:vAlign w:val="center"/>
            <w:hideMark/>
          </w:tcPr>
          <w:p w14:paraId="7821ED4B"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r>
      <w:tr w:rsidR="002C6257" w:rsidRPr="002C6257" w14:paraId="4B6357D7" w14:textId="77777777" w:rsidTr="00B226A7">
        <w:trPr>
          <w:trHeight w:val="367"/>
        </w:trPr>
        <w:tc>
          <w:tcPr>
            <w:tcW w:w="1453" w:type="dxa"/>
            <w:vMerge w:val="restart"/>
            <w:tcBorders>
              <w:top w:val="single" w:sz="4" w:space="0" w:color="auto"/>
              <w:left w:val="single" w:sz="4" w:space="0" w:color="auto"/>
              <w:bottom w:val="single" w:sz="4" w:space="0" w:color="auto"/>
              <w:right w:val="single" w:sz="4" w:space="0" w:color="auto"/>
            </w:tcBorders>
            <w:noWrap/>
            <w:vAlign w:val="center"/>
            <w:hideMark/>
          </w:tcPr>
          <w:p w14:paraId="3EF7DBB1"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lastRenderedPageBreak/>
              <w:t>201</w:t>
            </w:r>
          </w:p>
        </w:tc>
        <w:tc>
          <w:tcPr>
            <w:tcW w:w="1453" w:type="dxa"/>
            <w:tcBorders>
              <w:top w:val="single" w:sz="4" w:space="0" w:color="auto"/>
              <w:left w:val="nil"/>
              <w:bottom w:val="single" w:sz="4" w:space="0" w:color="auto"/>
              <w:right w:val="single" w:sz="4" w:space="0" w:color="auto"/>
            </w:tcBorders>
            <w:noWrap/>
            <w:vAlign w:val="center"/>
            <w:hideMark/>
          </w:tcPr>
          <w:p w14:paraId="45B3F476"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single" w:sz="4" w:space="0" w:color="auto"/>
              <w:left w:val="nil"/>
              <w:bottom w:val="single" w:sz="4" w:space="0" w:color="auto"/>
              <w:right w:val="single" w:sz="4" w:space="0" w:color="auto"/>
            </w:tcBorders>
            <w:noWrap/>
            <w:vAlign w:val="center"/>
            <w:hideMark/>
          </w:tcPr>
          <w:p w14:paraId="23B62092"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single" w:sz="4" w:space="0" w:color="auto"/>
              <w:left w:val="nil"/>
              <w:bottom w:val="single" w:sz="4" w:space="0" w:color="auto"/>
              <w:right w:val="single" w:sz="4" w:space="0" w:color="auto"/>
            </w:tcBorders>
            <w:noWrap/>
            <w:vAlign w:val="center"/>
            <w:hideMark/>
          </w:tcPr>
          <w:p w14:paraId="1D0C426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3,512 </w:t>
            </w:r>
          </w:p>
        </w:tc>
        <w:tc>
          <w:tcPr>
            <w:tcW w:w="1453" w:type="dxa"/>
            <w:vMerge w:val="restart"/>
            <w:tcBorders>
              <w:top w:val="single" w:sz="4" w:space="0" w:color="auto"/>
              <w:left w:val="double" w:sz="6" w:space="0" w:color="auto"/>
              <w:bottom w:val="single" w:sz="4" w:space="0" w:color="auto"/>
              <w:right w:val="single" w:sz="4" w:space="0" w:color="auto"/>
            </w:tcBorders>
            <w:noWrap/>
            <w:vAlign w:val="center"/>
            <w:hideMark/>
          </w:tcPr>
          <w:p w14:paraId="7A5B45B2"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vMerge w:val="restart"/>
            <w:tcBorders>
              <w:top w:val="single" w:sz="4" w:space="0" w:color="auto"/>
              <w:left w:val="nil"/>
              <w:bottom w:val="single" w:sz="4" w:space="0" w:color="auto"/>
              <w:right w:val="single" w:sz="4" w:space="0" w:color="auto"/>
            </w:tcBorders>
            <w:noWrap/>
            <w:vAlign w:val="center"/>
            <w:hideMark/>
          </w:tcPr>
          <w:p w14:paraId="1A8DC24A"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r>
      <w:tr w:rsidR="002C6257" w:rsidRPr="002C6257" w14:paraId="5118CCF5"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3D2DAD78"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1C64B0AF"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5DDAE61D"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31BADDBF"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2.2%</w:t>
            </w:r>
          </w:p>
        </w:tc>
        <w:tc>
          <w:tcPr>
            <w:tcW w:w="1453" w:type="dxa"/>
            <w:vMerge/>
            <w:tcBorders>
              <w:top w:val="nil"/>
              <w:left w:val="double" w:sz="6" w:space="0" w:color="auto"/>
              <w:bottom w:val="single" w:sz="4" w:space="0" w:color="auto"/>
              <w:right w:val="single" w:sz="4" w:space="0" w:color="auto"/>
            </w:tcBorders>
            <w:vAlign w:val="center"/>
            <w:hideMark/>
          </w:tcPr>
          <w:p w14:paraId="68D9C1D9"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c>
          <w:tcPr>
            <w:tcW w:w="1453" w:type="dxa"/>
            <w:vMerge/>
            <w:tcBorders>
              <w:top w:val="nil"/>
              <w:left w:val="nil"/>
              <w:bottom w:val="single" w:sz="4" w:space="0" w:color="auto"/>
              <w:right w:val="single" w:sz="4" w:space="0" w:color="auto"/>
            </w:tcBorders>
            <w:vAlign w:val="center"/>
            <w:hideMark/>
          </w:tcPr>
          <w:p w14:paraId="04EE9D65" w14:textId="77777777" w:rsidR="002C6257" w:rsidRPr="00E077AA" w:rsidRDefault="002C6257" w:rsidP="002C6257">
            <w:pPr>
              <w:widowControl/>
              <w:spacing w:after="0" w:line="240" w:lineRule="auto"/>
              <w:rPr>
                <w:rFonts w:ascii="Times New Roman" w:eastAsia="標楷體" w:hAnsi="Times New Roman" w:cs="Times New Roman"/>
                <w:color w:val="000000"/>
                <w:kern w:val="0"/>
                <w:sz w:val="27"/>
                <w:szCs w:val="27"/>
                <w14:ligatures w14:val="none"/>
              </w:rPr>
            </w:pPr>
          </w:p>
        </w:tc>
      </w:tr>
      <w:tr w:rsidR="002C6257" w:rsidRPr="002C6257" w14:paraId="66779C9E" w14:textId="77777777" w:rsidTr="000E166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3F7BC5B8"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203</w:t>
            </w:r>
          </w:p>
        </w:tc>
        <w:tc>
          <w:tcPr>
            <w:tcW w:w="1453" w:type="dxa"/>
            <w:tcBorders>
              <w:top w:val="nil"/>
              <w:left w:val="nil"/>
              <w:bottom w:val="single" w:sz="4" w:space="0" w:color="auto"/>
              <w:right w:val="single" w:sz="4" w:space="0" w:color="auto"/>
            </w:tcBorders>
            <w:noWrap/>
            <w:vAlign w:val="center"/>
            <w:hideMark/>
          </w:tcPr>
          <w:p w14:paraId="0A5D0135"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2D040E2B"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0FA05F24"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1,994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166EA18D"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vMerge w:val="restart"/>
            <w:tcBorders>
              <w:top w:val="nil"/>
              <w:left w:val="nil"/>
              <w:bottom w:val="single" w:sz="4" w:space="0" w:color="auto"/>
              <w:right w:val="single" w:sz="4" w:space="0" w:color="auto"/>
            </w:tcBorders>
            <w:noWrap/>
            <w:vAlign w:val="center"/>
            <w:hideMark/>
          </w:tcPr>
          <w:p w14:paraId="2D385DEA"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r>
      <w:tr w:rsidR="002C6257" w:rsidRPr="002C6257" w14:paraId="7AC67F0B" w14:textId="77777777" w:rsidTr="000E1665">
        <w:trPr>
          <w:trHeight w:val="367"/>
        </w:trPr>
        <w:tc>
          <w:tcPr>
            <w:tcW w:w="1453" w:type="dxa"/>
            <w:vMerge/>
            <w:tcBorders>
              <w:top w:val="nil"/>
              <w:left w:val="single" w:sz="4" w:space="0" w:color="auto"/>
              <w:bottom w:val="single" w:sz="4" w:space="0" w:color="auto"/>
              <w:right w:val="single" w:sz="4" w:space="0" w:color="auto"/>
            </w:tcBorders>
            <w:vAlign w:val="center"/>
            <w:hideMark/>
          </w:tcPr>
          <w:p w14:paraId="15C04599"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0C3ABD27"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447727FB" w14:textId="77777777" w:rsidR="002C6257" w:rsidRPr="00E077AA" w:rsidRDefault="002C6257" w:rsidP="002C6257">
            <w:pPr>
              <w:widowControl/>
              <w:spacing w:after="0" w:line="240" w:lineRule="auto"/>
              <w:jc w:val="right"/>
              <w:rPr>
                <w:rFonts w:ascii="Times New Roman" w:eastAsia="標楷體" w:hAnsi="Times New Roman" w:cs="Times New Roman"/>
                <w:color w:val="000000"/>
                <w:kern w:val="0"/>
                <w:sz w:val="27"/>
                <w:szCs w:val="27"/>
                <w14:ligatures w14:val="none"/>
              </w:rPr>
            </w:pPr>
            <w:r w:rsidRPr="00E077AA">
              <w:rPr>
                <w:rFonts w:ascii="Times New Roman" w:eastAsia="標楷體" w:hAnsi="Times New Roman" w:cs="Times New Roman"/>
                <w:color w:val="000000"/>
                <w:kern w:val="0"/>
                <w:sz w:val="27"/>
                <w:szCs w:val="27"/>
                <w14:ligatures w14:val="none"/>
              </w:rPr>
              <w:t>NA</w:t>
            </w:r>
          </w:p>
        </w:tc>
        <w:tc>
          <w:tcPr>
            <w:tcW w:w="1453" w:type="dxa"/>
            <w:tcBorders>
              <w:top w:val="nil"/>
              <w:left w:val="nil"/>
              <w:bottom w:val="single" w:sz="4" w:space="0" w:color="auto"/>
              <w:right w:val="single" w:sz="4" w:space="0" w:color="auto"/>
            </w:tcBorders>
            <w:noWrap/>
            <w:vAlign w:val="center"/>
            <w:hideMark/>
          </w:tcPr>
          <w:p w14:paraId="2A45A57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1.3%</w:t>
            </w:r>
          </w:p>
        </w:tc>
        <w:tc>
          <w:tcPr>
            <w:tcW w:w="1453" w:type="dxa"/>
            <w:vMerge/>
            <w:tcBorders>
              <w:top w:val="nil"/>
              <w:left w:val="double" w:sz="6" w:space="0" w:color="auto"/>
              <w:bottom w:val="single" w:sz="4" w:space="0" w:color="auto"/>
              <w:right w:val="single" w:sz="4" w:space="0" w:color="auto"/>
            </w:tcBorders>
            <w:vAlign w:val="center"/>
            <w:hideMark/>
          </w:tcPr>
          <w:p w14:paraId="4CE9CBE7"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vMerge/>
            <w:tcBorders>
              <w:top w:val="nil"/>
              <w:left w:val="nil"/>
              <w:bottom w:val="single" w:sz="4" w:space="0" w:color="auto"/>
              <w:right w:val="single" w:sz="4" w:space="0" w:color="auto"/>
            </w:tcBorders>
            <w:vAlign w:val="center"/>
            <w:hideMark/>
          </w:tcPr>
          <w:p w14:paraId="4040388E"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r w:rsidR="002C6257" w:rsidRPr="002C6257" w14:paraId="0B751C61" w14:textId="77777777" w:rsidTr="000E1665">
        <w:trPr>
          <w:trHeight w:val="367"/>
        </w:trPr>
        <w:tc>
          <w:tcPr>
            <w:tcW w:w="1453" w:type="dxa"/>
            <w:vMerge w:val="restart"/>
            <w:tcBorders>
              <w:top w:val="nil"/>
              <w:left w:val="single" w:sz="4" w:space="0" w:color="auto"/>
              <w:bottom w:val="single" w:sz="4" w:space="0" w:color="000000"/>
              <w:right w:val="single" w:sz="4" w:space="0" w:color="auto"/>
            </w:tcBorders>
            <w:noWrap/>
            <w:vAlign w:val="center"/>
            <w:hideMark/>
          </w:tcPr>
          <w:p w14:paraId="2C04B292" w14:textId="77777777" w:rsidR="002C6257" w:rsidRPr="002C6257" w:rsidRDefault="002C6257" w:rsidP="002C6257">
            <w:pPr>
              <w:widowControl/>
              <w:spacing w:after="0" w:line="240" w:lineRule="auto"/>
              <w:jc w:val="center"/>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總計</w:t>
            </w:r>
          </w:p>
        </w:tc>
        <w:tc>
          <w:tcPr>
            <w:tcW w:w="1453" w:type="dxa"/>
            <w:tcBorders>
              <w:top w:val="nil"/>
              <w:left w:val="nil"/>
              <w:bottom w:val="single" w:sz="4" w:space="0" w:color="auto"/>
              <w:right w:val="single" w:sz="4" w:space="0" w:color="auto"/>
            </w:tcBorders>
            <w:noWrap/>
            <w:vAlign w:val="center"/>
            <w:hideMark/>
          </w:tcPr>
          <w:p w14:paraId="4B436255"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113,578 </w:t>
            </w:r>
          </w:p>
        </w:tc>
        <w:tc>
          <w:tcPr>
            <w:tcW w:w="1453" w:type="dxa"/>
            <w:tcBorders>
              <w:top w:val="nil"/>
              <w:left w:val="nil"/>
              <w:bottom w:val="single" w:sz="4" w:space="0" w:color="auto"/>
              <w:right w:val="single" w:sz="4" w:space="0" w:color="auto"/>
            </w:tcBorders>
            <w:noWrap/>
            <w:vAlign w:val="center"/>
            <w:hideMark/>
          </w:tcPr>
          <w:p w14:paraId="732021CE"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147,636 </w:t>
            </w:r>
          </w:p>
        </w:tc>
        <w:tc>
          <w:tcPr>
            <w:tcW w:w="1453" w:type="dxa"/>
            <w:tcBorders>
              <w:top w:val="nil"/>
              <w:left w:val="nil"/>
              <w:bottom w:val="single" w:sz="4" w:space="0" w:color="auto"/>
              <w:right w:val="single" w:sz="4" w:space="0" w:color="auto"/>
            </w:tcBorders>
            <w:noWrap/>
            <w:vAlign w:val="center"/>
            <w:hideMark/>
          </w:tcPr>
          <w:p w14:paraId="32BDCE41"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 xml:space="preserve">158,345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369E552D"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30.0%</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733676B6"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7.2%</w:t>
            </w:r>
          </w:p>
        </w:tc>
      </w:tr>
      <w:tr w:rsidR="002C6257" w:rsidRPr="002C6257" w14:paraId="7EE57037" w14:textId="77777777" w:rsidTr="000E1665">
        <w:trPr>
          <w:trHeight w:val="367"/>
        </w:trPr>
        <w:tc>
          <w:tcPr>
            <w:tcW w:w="1453" w:type="dxa"/>
            <w:vMerge/>
            <w:tcBorders>
              <w:top w:val="nil"/>
              <w:left w:val="single" w:sz="4" w:space="0" w:color="auto"/>
              <w:bottom w:val="single" w:sz="4" w:space="0" w:color="000000"/>
              <w:right w:val="single" w:sz="4" w:space="0" w:color="auto"/>
            </w:tcBorders>
            <w:vAlign w:val="center"/>
            <w:hideMark/>
          </w:tcPr>
          <w:p w14:paraId="26CE7D3F"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tcBorders>
              <w:top w:val="nil"/>
              <w:left w:val="nil"/>
              <w:bottom w:val="single" w:sz="4" w:space="0" w:color="auto"/>
              <w:right w:val="single" w:sz="4" w:space="0" w:color="auto"/>
            </w:tcBorders>
            <w:noWrap/>
            <w:vAlign w:val="center"/>
            <w:hideMark/>
          </w:tcPr>
          <w:p w14:paraId="5AA7A2B7"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53" w:type="dxa"/>
            <w:tcBorders>
              <w:top w:val="nil"/>
              <w:left w:val="nil"/>
              <w:bottom w:val="single" w:sz="4" w:space="0" w:color="auto"/>
              <w:right w:val="single" w:sz="4" w:space="0" w:color="auto"/>
            </w:tcBorders>
            <w:noWrap/>
            <w:vAlign w:val="center"/>
            <w:hideMark/>
          </w:tcPr>
          <w:p w14:paraId="6C1A3599"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53" w:type="dxa"/>
            <w:tcBorders>
              <w:top w:val="nil"/>
              <w:left w:val="nil"/>
              <w:bottom w:val="single" w:sz="4" w:space="0" w:color="auto"/>
              <w:right w:val="single" w:sz="4" w:space="0" w:color="auto"/>
            </w:tcBorders>
            <w:noWrap/>
            <w:vAlign w:val="center"/>
            <w:hideMark/>
          </w:tcPr>
          <w:p w14:paraId="448716BB" w14:textId="77777777" w:rsidR="002C6257" w:rsidRPr="002C6257" w:rsidRDefault="002C6257" w:rsidP="002C6257">
            <w:pPr>
              <w:widowControl/>
              <w:spacing w:after="0" w:line="240" w:lineRule="auto"/>
              <w:jc w:val="right"/>
              <w:rPr>
                <w:rFonts w:ascii="標楷體" w:eastAsia="標楷體" w:hAnsi="標楷體" w:cs="新細明體"/>
                <w:color w:val="000000"/>
                <w:kern w:val="0"/>
                <w:sz w:val="27"/>
                <w:szCs w:val="27"/>
                <w14:ligatures w14:val="none"/>
              </w:rPr>
            </w:pPr>
            <w:r w:rsidRPr="002C6257">
              <w:rPr>
                <w:rFonts w:ascii="標楷體" w:eastAsia="標楷體" w:hAnsi="標楷體" w:cs="新細明體" w:hint="eastAsia"/>
                <w:color w:val="000000"/>
                <w:kern w:val="0"/>
                <w:sz w:val="27"/>
                <w:szCs w:val="27"/>
                <w14:ligatures w14:val="none"/>
              </w:rPr>
              <w:t>100%</w:t>
            </w:r>
          </w:p>
        </w:tc>
        <w:tc>
          <w:tcPr>
            <w:tcW w:w="1453" w:type="dxa"/>
            <w:vMerge/>
            <w:tcBorders>
              <w:top w:val="nil"/>
              <w:left w:val="double" w:sz="6" w:space="0" w:color="auto"/>
              <w:bottom w:val="single" w:sz="4" w:space="0" w:color="auto"/>
              <w:right w:val="single" w:sz="4" w:space="0" w:color="auto"/>
            </w:tcBorders>
            <w:vAlign w:val="center"/>
            <w:hideMark/>
          </w:tcPr>
          <w:p w14:paraId="0D7FF05C"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c>
          <w:tcPr>
            <w:tcW w:w="1453" w:type="dxa"/>
            <w:vMerge/>
            <w:tcBorders>
              <w:top w:val="nil"/>
              <w:left w:val="single" w:sz="4" w:space="0" w:color="auto"/>
              <w:bottom w:val="single" w:sz="4" w:space="0" w:color="auto"/>
              <w:right w:val="single" w:sz="4" w:space="0" w:color="auto"/>
            </w:tcBorders>
            <w:vAlign w:val="center"/>
            <w:hideMark/>
          </w:tcPr>
          <w:p w14:paraId="0034A688" w14:textId="77777777" w:rsidR="002C6257" w:rsidRPr="002C6257" w:rsidRDefault="002C6257" w:rsidP="002C6257">
            <w:pPr>
              <w:widowControl/>
              <w:spacing w:after="0" w:line="240" w:lineRule="auto"/>
              <w:rPr>
                <w:rFonts w:ascii="標楷體" w:eastAsia="標楷體" w:hAnsi="標楷體" w:cs="新細明體"/>
                <w:color w:val="000000"/>
                <w:kern w:val="0"/>
                <w:sz w:val="27"/>
                <w:szCs w:val="27"/>
                <w14:ligatures w14:val="none"/>
              </w:rPr>
            </w:pPr>
          </w:p>
        </w:tc>
      </w:tr>
    </w:tbl>
    <w:p w14:paraId="7F837AC7" w14:textId="23721C7C" w:rsidR="009E3088" w:rsidRDefault="00110D0F" w:rsidP="00110D0F">
      <w:pPr>
        <w:spacing w:beforeLines="50" w:before="120" w:after="400"/>
        <w:jc w:val="both"/>
        <w:rPr>
          <w:rFonts w:ascii="標楷體" w:eastAsia="標楷體" w:hAnsi="標楷體"/>
          <w:sz w:val="27"/>
          <w:szCs w:val="27"/>
        </w:rPr>
      </w:pPr>
      <w:r w:rsidRPr="00110D0F">
        <w:rPr>
          <w:rFonts w:ascii="標楷體" w:eastAsia="標楷體" w:hAnsi="標楷體" w:hint="eastAsia"/>
          <w:sz w:val="27"/>
          <w:szCs w:val="27"/>
        </w:rPr>
        <w:t>由圖2.1.1可觀察出，112年至114年搭乘總次數隨時間上升，可能與臺東縣市區推出的路線相關，而觀察表2.1.1搭乘總運量由112年的113,578人次，增至113年的147,636人次。這段期間最顯著的趨勢是陸海空線與市區循環線內涵蓋的許多路線，其中陸海空線佔比逐年下降，在 114 年佔比37.6%，搭乘總共是59,580人次，至114年11月1日調整路線，原市區循環和陸海空線改成101、201、202，陸海空線其中一條廢除且推出新路線203，搭乘人次在114年佔比皆不多，推測在臺東市區路線尚未完全被推廣。</w:t>
      </w:r>
    </w:p>
    <w:p w14:paraId="5912C881" w14:textId="69FA872D" w:rsidR="00D7766E" w:rsidRPr="00702CA2" w:rsidRDefault="00AE6F92" w:rsidP="00D7766E">
      <w:pPr>
        <w:spacing w:beforeLines="50" w:before="120" w:after="400"/>
        <w:rPr>
          <w:rFonts w:ascii="標楷體" w:eastAsia="標楷體" w:hAnsi="標楷體"/>
          <w:b/>
          <w:bCs/>
          <w:sz w:val="27"/>
          <w:szCs w:val="27"/>
        </w:rPr>
      </w:pPr>
      <w:r>
        <w:rPr>
          <w:rFonts w:ascii="標楷體" w:eastAsia="標楷體" w:hAnsi="標楷體" w:hint="eastAsia"/>
          <w:b/>
          <w:bCs/>
          <w:sz w:val="27"/>
          <w:szCs w:val="27"/>
        </w:rPr>
        <w:t>2</w:t>
      </w:r>
      <w:r w:rsidR="00D7766E" w:rsidRPr="00702CA2">
        <w:rPr>
          <w:rFonts w:ascii="標楷體" w:eastAsia="標楷體" w:hAnsi="標楷體" w:hint="eastAsia"/>
          <w:b/>
          <w:bCs/>
          <w:sz w:val="27"/>
          <w:szCs w:val="27"/>
        </w:rPr>
        <w:t>.2 月總運量趨勢</w:t>
      </w:r>
    </w:p>
    <w:p w14:paraId="20315A4D" w14:textId="77777777" w:rsidR="00110D0F" w:rsidRDefault="00F33ACB" w:rsidP="00712D88">
      <w:pPr>
        <w:spacing w:beforeLines="50" w:before="120" w:after="400"/>
        <w:jc w:val="center"/>
        <w:rPr>
          <w:rFonts w:ascii="標楷體" w:eastAsia="標楷體" w:hAnsi="標楷體"/>
          <w:sz w:val="27"/>
          <w:szCs w:val="27"/>
        </w:rPr>
      </w:pPr>
      <w:r>
        <w:rPr>
          <w:rFonts w:ascii="標楷體" w:eastAsia="標楷體" w:hAnsi="標楷體"/>
          <w:noProof/>
          <w:sz w:val="27"/>
          <w:szCs w:val="27"/>
        </w:rPr>
        <w:drawing>
          <wp:inline distT="0" distB="0" distL="0" distR="0" wp14:anchorId="194C43A9" wp14:editId="6C3EAEDC">
            <wp:extent cx="5779698" cy="2889849"/>
            <wp:effectExtent l="0" t="0" r="0" b="6350"/>
            <wp:docPr id="160345676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56762" name="圖片 1603456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4919" cy="2892460"/>
                    </a:xfrm>
                    <a:prstGeom prst="rect">
                      <a:avLst/>
                    </a:prstGeom>
                  </pic:spPr>
                </pic:pic>
              </a:graphicData>
            </a:graphic>
          </wp:inline>
        </w:drawing>
      </w:r>
    </w:p>
    <w:p w14:paraId="7FA6C1E3" w14:textId="6931F6EF" w:rsidR="00AE6F92" w:rsidRDefault="00AE6F92" w:rsidP="00AE6F92">
      <w:pPr>
        <w:spacing w:beforeLines="50" w:before="120" w:after="400"/>
        <w:jc w:val="center"/>
        <w:rPr>
          <w:rFonts w:ascii="標楷體" w:eastAsia="標楷體" w:hAnsi="標楷體"/>
          <w:sz w:val="27"/>
          <w:szCs w:val="27"/>
        </w:rPr>
      </w:pPr>
      <w:r w:rsidRPr="00BF198E">
        <w:rPr>
          <w:rFonts w:ascii="標楷體" w:eastAsia="標楷體" w:hAnsi="標楷體" w:hint="eastAsia"/>
          <w:sz w:val="27"/>
          <w:szCs w:val="27"/>
        </w:rPr>
        <w:t>圖</w:t>
      </w:r>
      <w:r>
        <w:rPr>
          <w:rFonts w:ascii="標楷體" w:eastAsia="標楷體" w:hAnsi="標楷體" w:hint="eastAsia"/>
          <w:sz w:val="27"/>
          <w:szCs w:val="27"/>
        </w:rPr>
        <w:t>2.2.1 112年至114年1月至12月臺東縣市區客運月總運量折線圖</w:t>
      </w:r>
    </w:p>
    <w:p w14:paraId="3B5B02BF" w14:textId="6BC0CE3F" w:rsidR="00AE6F92" w:rsidRDefault="00061D92" w:rsidP="00E077AA">
      <w:pPr>
        <w:spacing w:beforeLines="50" w:before="120" w:after="400"/>
        <w:ind w:firstLineChars="200" w:firstLine="540"/>
        <w:jc w:val="both"/>
        <w:rPr>
          <w:rFonts w:ascii="標楷體" w:eastAsia="標楷體" w:hAnsi="標楷體"/>
          <w:sz w:val="27"/>
          <w:szCs w:val="27"/>
        </w:rPr>
      </w:pPr>
      <w:r w:rsidRPr="00061D92">
        <w:rPr>
          <w:rFonts w:ascii="標楷體" w:eastAsia="標楷體" w:hAnsi="標楷體" w:hint="eastAsia"/>
          <w:sz w:val="27"/>
          <w:szCs w:val="27"/>
        </w:rPr>
        <w:lastRenderedPageBreak/>
        <w:t>由圖2.2.1可以看出，112年各月運量相較113年和114年幾乎處於低點，113 年月運量折線整體稍微抬升，而114年在上半年搭乘月總次數皆大於其他兩年，多數月份呈現上升狀態，顯示臺東縣市區客運經月份節日假期，有著些微不同。這與花蓮縣因地震天災導致的斷崖式下跌完全不同，臺東縣趨勢展現了穩定成長的事實。臺東縣市區客運運量具有季節性規律，最高點與最低點的分佈固定。每年的最低點出現在1月至2月間，推測受農曆年後出行淡季影響。隨後搭乘次數會隨月份推移起伏，並於8月至9月的開學季有明顯減少。此外，113年11月出現了此年度的最高點，推測可能是年終活動或特定政策推行對搭乘次數的影響。相比公路客運，市區客運在臺東展現了更高的增長空間，各月雖有季節性波動，但整體向上的趨勢稍穩定，成為臺東推動大眾運輸的一大指標。</w:t>
      </w:r>
    </w:p>
    <w:p w14:paraId="687341F4" w14:textId="24FA5344" w:rsidR="00061D92" w:rsidRPr="00E077AA" w:rsidRDefault="00061D92" w:rsidP="00E077AA">
      <w:pPr>
        <w:spacing w:beforeLines="50" w:before="120" w:after="400"/>
        <w:rPr>
          <w:rFonts w:ascii="標楷體" w:eastAsia="標楷體" w:hAnsi="標楷體" w:hint="eastAsia"/>
          <w:b/>
          <w:bCs/>
          <w:sz w:val="27"/>
          <w:szCs w:val="27"/>
        </w:rPr>
      </w:pPr>
      <w:r>
        <w:rPr>
          <w:rFonts w:ascii="標楷體" w:eastAsia="標楷體" w:hAnsi="標楷體" w:hint="eastAsia"/>
          <w:b/>
          <w:bCs/>
          <w:sz w:val="27"/>
          <w:szCs w:val="27"/>
        </w:rPr>
        <w:t>2</w:t>
      </w:r>
      <w:r w:rsidRPr="00CF3CFF">
        <w:rPr>
          <w:rFonts w:ascii="標楷體" w:eastAsia="標楷體" w:hAnsi="標楷體" w:hint="eastAsia"/>
          <w:b/>
          <w:bCs/>
          <w:sz w:val="27"/>
          <w:szCs w:val="27"/>
        </w:rPr>
        <w:t>.3 持卡身分及客群分析</w:t>
      </w:r>
    </w:p>
    <w:p w14:paraId="6ED60223" w14:textId="20620122" w:rsidR="0014375D" w:rsidRDefault="00D9457F" w:rsidP="00712D88">
      <w:pPr>
        <w:spacing w:beforeLines="50" w:before="120" w:after="400"/>
        <w:jc w:val="center"/>
        <w:rPr>
          <w:rFonts w:ascii="標楷體" w:eastAsia="標楷體" w:hAnsi="標楷體"/>
          <w:sz w:val="27"/>
          <w:szCs w:val="27"/>
        </w:rPr>
      </w:pPr>
      <w:r>
        <w:rPr>
          <w:rFonts w:ascii="標楷體" w:eastAsia="標楷體" w:hAnsi="標楷體"/>
          <w:noProof/>
          <w:sz w:val="27"/>
          <w:szCs w:val="27"/>
        </w:rPr>
        <w:drawing>
          <wp:inline distT="0" distB="0" distL="0" distR="0" wp14:anchorId="31AD0257" wp14:editId="29DE6649">
            <wp:extent cx="5325036" cy="3993777"/>
            <wp:effectExtent l="0" t="0" r="9525" b="6985"/>
            <wp:docPr id="41313722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7223" name="圖片 4131372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1809" cy="3998857"/>
                    </a:xfrm>
                    <a:prstGeom prst="rect">
                      <a:avLst/>
                    </a:prstGeom>
                  </pic:spPr>
                </pic:pic>
              </a:graphicData>
            </a:graphic>
          </wp:inline>
        </w:drawing>
      </w:r>
    </w:p>
    <w:p w14:paraId="399234BF" w14:textId="29CED8F3" w:rsidR="00061D92" w:rsidRDefault="00061D92" w:rsidP="006B5730">
      <w:pPr>
        <w:spacing w:beforeLines="50" w:before="120" w:after="400"/>
        <w:jc w:val="center"/>
        <w:rPr>
          <w:rFonts w:ascii="標楷體" w:eastAsia="標楷體" w:hAnsi="標楷體"/>
          <w:sz w:val="27"/>
          <w:szCs w:val="27"/>
        </w:rPr>
      </w:pPr>
      <w:r>
        <w:rPr>
          <w:rFonts w:ascii="標楷體" w:eastAsia="標楷體" w:hAnsi="標楷體" w:hint="eastAsia"/>
          <w:sz w:val="27"/>
          <w:szCs w:val="27"/>
        </w:rPr>
        <w:t>圖2.3.1 114年臺東縣市區客運搭車持卡身分長條圖</w:t>
      </w:r>
    </w:p>
    <w:p w14:paraId="38FE5582" w14:textId="60A04641" w:rsidR="00061D92" w:rsidRPr="0093444B" w:rsidRDefault="00061D92" w:rsidP="00061D92">
      <w:pPr>
        <w:spacing w:beforeLines="50" w:before="120" w:after="400"/>
        <w:jc w:val="center"/>
        <w:rPr>
          <w:rFonts w:ascii="標楷體" w:eastAsia="標楷體" w:hAnsi="標楷體"/>
          <w:sz w:val="27"/>
          <w:szCs w:val="27"/>
        </w:rPr>
      </w:pPr>
      <w:r>
        <w:rPr>
          <w:rFonts w:ascii="標楷體" w:eastAsia="標楷體" w:hAnsi="標楷體" w:hint="eastAsia"/>
          <w:sz w:val="27"/>
          <w:szCs w:val="27"/>
        </w:rPr>
        <w:lastRenderedPageBreak/>
        <w:t>表2.3.1 112年至114年臺東縣市區客運搭車持卡身分統計表</w:t>
      </w:r>
    </w:p>
    <w:tbl>
      <w:tblPr>
        <w:tblW w:w="9144" w:type="dxa"/>
        <w:tblInd w:w="-289" w:type="dxa"/>
        <w:tblCellMar>
          <w:left w:w="28" w:type="dxa"/>
          <w:right w:w="28" w:type="dxa"/>
        </w:tblCellMar>
        <w:tblLook w:val="04A0" w:firstRow="1" w:lastRow="0" w:firstColumn="1" w:lastColumn="0" w:noHBand="0" w:noVBand="1"/>
      </w:tblPr>
      <w:tblGrid>
        <w:gridCol w:w="1754"/>
        <w:gridCol w:w="1478"/>
        <w:gridCol w:w="1478"/>
        <w:gridCol w:w="1478"/>
        <w:gridCol w:w="1478"/>
        <w:gridCol w:w="1478"/>
      </w:tblGrid>
      <w:tr w:rsidR="002A5628" w:rsidRPr="002A5628" w14:paraId="31BFACC3" w14:textId="77777777" w:rsidTr="001A0D51">
        <w:trPr>
          <w:trHeight w:val="735"/>
        </w:trPr>
        <w:tc>
          <w:tcPr>
            <w:tcW w:w="1754"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61D7644" w14:textId="2B82B5CA"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     </w:t>
            </w:r>
            <w:r w:rsidR="00D31952">
              <w:rPr>
                <w:rFonts w:ascii="標楷體" w:eastAsia="標楷體" w:hAnsi="標楷體" w:cs="新細明體" w:hint="eastAsia"/>
                <w:color w:val="000000"/>
                <w:kern w:val="0"/>
                <w:sz w:val="27"/>
                <w:szCs w:val="27"/>
                <w14:ligatures w14:val="none"/>
              </w:rPr>
              <w:t xml:space="preserve"> </w:t>
            </w:r>
            <w:r w:rsidRPr="002A5628">
              <w:rPr>
                <w:rFonts w:ascii="標楷體" w:eastAsia="標楷體" w:hAnsi="標楷體" w:cs="新細明體" w:hint="eastAsia"/>
                <w:color w:val="000000"/>
                <w:kern w:val="0"/>
                <w:sz w:val="27"/>
                <w:szCs w:val="27"/>
                <w14:ligatures w14:val="none"/>
              </w:rPr>
              <w:t xml:space="preserve"> 年份</w:t>
            </w:r>
            <w:r w:rsidRPr="002A5628">
              <w:rPr>
                <w:rFonts w:ascii="標楷體" w:eastAsia="標楷體" w:hAnsi="標楷體" w:cs="新細明體" w:hint="eastAsia"/>
                <w:color w:val="000000"/>
                <w:kern w:val="0"/>
                <w:sz w:val="27"/>
                <w:szCs w:val="27"/>
                <w14:ligatures w14:val="none"/>
              </w:rPr>
              <w:br/>
              <w:t>持卡身分</w:t>
            </w:r>
          </w:p>
        </w:tc>
        <w:tc>
          <w:tcPr>
            <w:tcW w:w="1478" w:type="dxa"/>
            <w:tcBorders>
              <w:top w:val="single" w:sz="4" w:space="0" w:color="auto"/>
              <w:left w:val="nil"/>
              <w:bottom w:val="single" w:sz="4" w:space="0" w:color="auto"/>
              <w:right w:val="single" w:sz="4" w:space="0" w:color="auto"/>
            </w:tcBorders>
            <w:noWrap/>
            <w:vAlign w:val="center"/>
            <w:hideMark/>
          </w:tcPr>
          <w:p w14:paraId="034ED524"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112</w:t>
            </w:r>
          </w:p>
        </w:tc>
        <w:tc>
          <w:tcPr>
            <w:tcW w:w="1478" w:type="dxa"/>
            <w:tcBorders>
              <w:top w:val="single" w:sz="4" w:space="0" w:color="auto"/>
              <w:left w:val="nil"/>
              <w:bottom w:val="single" w:sz="4" w:space="0" w:color="auto"/>
              <w:right w:val="single" w:sz="4" w:space="0" w:color="auto"/>
            </w:tcBorders>
            <w:noWrap/>
            <w:vAlign w:val="center"/>
            <w:hideMark/>
          </w:tcPr>
          <w:p w14:paraId="02536FAB"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113</w:t>
            </w:r>
          </w:p>
        </w:tc>
        <w:tc>
          <w:tcPr>
            <w:tcW w:w="1478" w:type="dxa"/>
            <w:tcBorders>
              <w:top w:val="single" w:sz="4" w:space="0" w:color="auto"/>
              <w:left w:val="nil"/>
              <w:bottom w:val="single" w:sz="4" w:space="0" w:color="auto"/>
              <w:right w:val="nil"/>
            </w:tcBorders>
            <w:noWrap/>
            <w:vAlign w:val="center"/>
            <w:hideMark/>
          </w:tcPr>
          <w:p w14:paraId="55EF9F55"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114</w:t>
            </w:r>
          </w:p>
        </w:tc>
        <w:tc>
          <w:tcPr>
            <w:tcW w:w="1478" w:type="dxa"/>
            <w:tcBorders>
              <w:top w:val="single" w:sz="4" w:space="0" w:color="auto"/>
              <w:left w:val="double" w:sz="6" w:space="0" w:color="auto"/>
              <w:bottom w:val="single" w:sz="4" w:space="0" w:color="auto"/>
              <w:right w:val="single" w:sz="4" w:space="0" w:color="auto"/>
            </w:tcBorders>
            <w:noWrap/>
            <w:vAlign w:val="center"/>
            <w:hideMark/>
          </w:tcPr>
          <w:p w14:paraId="64C050CB" w14:textId="77777777" w:rsidR="002A5628" w:rsidRPr="002A5628" w:rsidRDefault="002A5628" w:rsidP="002A5628">
            <w:pPr>
              <w:widowControl/>
              <w:spacing w:after="0" w:line="240" w:lineRule="auto"/>
              <w:jc w:val="center"/>
              <w:rPr>
                <w:rFonts w:ascii="標楷體" w:eastAsia="標楷體" w:hAnsi="標楷體" w:cs="新細明體"/>
                <w:color w:val="000000"/>
                <w:kern w:val="0"/>
                <w14:ligatures w14:val="none"/>
              </w:rPr>
            </w:pPr>
            <w:r w:rsidRPr="002A5628">
              <w:rPr>
                <w:rFonts w:ascii="標楷體" w:eastAsia="標楷體" w:hAnsi="標楷體" w:cs="新細明體" w:hint="eastAsia"/>
                <w:color w:val="000000"/>
                <w:kern w:val="0"/>
                <w14:ligatures w14:val="none"/>
              </w:rPr>
              <w:t>113年成長率</w:t>
            </w:r>
          </w:p>
        </w:tc>
        <w:tc>
          <w:tcPr>
            <w:tcW w:w="1478" w:type="dxa"/>
            <w:tcBorders>
              <w:top w:val="single" w:sz="4" w:space="0" w:color="auto"/>
              <w:left w:val="nil"/>
              <w:bottom w:val="single" w:sz="4" w:space="0" w:color="auto"/>
              <w:right w:val="single" w:sz="4" w:space="0" w:color="auto"/>
            </w:tcBorders>
            <w:noWrap/>
            <w:vAlign w:val="center"/>
            <w:hideMark/>
          </w:tcPr>
          <w:p w14:paraId="40E87AE6" w14:textId="77777777" w:rsidR="002A5628" w:rsidRPr="002A5628" w:rsidRDefault="002A5628" w:rsidP="002A5628">
            <w:pPr>
              <w:widowControl/>
              <w:spacing w:after="0" w:line="240" w:lineRule="auto"/>
              <w:jc w:val="center"/>
              <w:rPr>
                <w:rFonts w:ascii="標楷體" w:eastAsia="標楷體" w:hAnsi="標楷體" w:cs="新細明體"/>
                <w:color w:val="000000"/>
                <w:kern w:val="0"/>
                <w14:ligatures w14:val="none"/>
              </w:rPr>
            </w:pPr>
            <w:r w:rsidRPr="002A5628">
              <w:rPr>
                <w:rFonts w:ascii="標楷體" w:eastAsia="標楷體" w:hAnsi="標楷體" w:cs="新細明體" w:hint="eastAsia"/>
                <w:color w:val="000000"/>
                <w:kern w:val="0"/>
                <w14:ligatures w14:val="none"/>
              </w:rPr>
              <w:t>114年成長率</w:t>
            </w:r>
          </w:p>
        </w:tc>
      </w:tr>
      <w:tr w:rsidR="002A5628" w:rsidRPr="002A5628" w14:paraId="183C2F15" w14:textId="77777777" w:rsidTr="001A0D51">
        <w:trPr>
          <w:trHeight w:val="367"/>
        </w:trPr>
        <w:tc>
          <w:tcPr>
            <w:tcW w:w="1754" w:type="dxa"/>
            <w:vMerge w:val="restart"/>
            <w:tcBorders>
              <w:top w:val="nil"/>
              <w:left w:val="single" w:sz="4" w:space="0" w:color="auto"/>
              <w:bottom w:val="single" w:sz="4" w:space="0" w:color="auto"/>
              <w:right w:val="single" w:sz="4" w:space="0" w:color="auto"/>
            </w:tcBorders>
            <w:vAlign w:val="center"/>
            <w:hideMark/>
          </w:tcPr>
          <w:p w14:paraId="21537B33"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普通       (含TPASS)</w:t>
            </w:r>
          </w:p>
        </w:tc>
        <w:tc>
          <w:tcPr>
            <w:tcW w:w="1478" w:type="dxa"/>
            <w:tcBorders>
              <w:top w:val="nil"/>
              <w:left w:val="nil"/>
              <w:bottom w:val="single" w:sz="4" w:space="0" w:color="auto"/>
              <w:right w:val="single" w:sz="4" w:space="0" w:color="auto"/>
            </w:tcBorders>
            <w:noWrap/>
            <w:vAlign w:val="center"/>
            <w:hideMark/>
          </w:tcPr>
          <w:p w14:paraId="1AAA1C8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71,923 </w:t>
            </w:r>
          </w:p>
        </w:tc>
        <w:tc>
          <w:tcPr>
            <w:tcW w:w="1478" w:type="dxa"/>
            <w:tcBorders>
              <w:top w:val="nil"/>
              <w:left w:val="nil"/>
              <w:bottom w:val="single" w:sz="4" w:space="0" w:color="auto"/>
              <w:right w:val="single" w:sz="4" w:space="0" w:color="auto"/>
            </w:tcBorders>
            <w:noWrap/>
            <w:vAlign w:val="center"/>
            <w:hideMark/>
          </w:tcPr>
          <w:p w14:paraId="0B147DE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95,925 </w:t>
            </w:r>
          </w:p>
        </w:tc>
        <w:tc>
          <w:tcPr>
            <w:tcW w:w="1478" w:type="dxa"/>
            <w:tcBorders>
              <w:top w:val="nil"/>
              <w:left w:val="nil"/>
              <w:bottom w:val="single" w:sz="4" w:space="0" w:color="auto"/>
              <w:right w:val="nil"/>
            </w:tcBorders>
            <w:noWrap/>
            <w:vAlign w:val="center"/>
            <w:hideMark/>
          </w:tcPr>
          <w:p w14:paraId="2C2F8048"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108,722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355910D1"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33.4%</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34E6E06B"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13.3%</w:t>
            </w:r>
          </w:p>
        </w:tc>
      </w:tr>
      <w:tr w:rsidR="002A5628" w:rsidRPr="002A5628" w14:paraId="1E6CD67D"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57E6F3AC"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521EEC6B"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63.3%</w:t>
            </w:r>
          </w:p>
        </w:tc>
        <w:tc>
          <w:tcPr>
            <w:tcW w:w="1478" w:type="dxa"/>
            <w:tcBorders>
              <w:top w:val="nil"/>
              <w:left w:val="nil"/>
              <w:bottom w:val="single" w:sz="4" w:space="0" w:color="auto"/>
              <w:right w:val="single" w:sz="4" w:space="0" w:color="auto"/>
            </w:tcBorders>
            <w:noWrap/>
            <w:vAlign w:val="center"/>
            <w:hideMark/>
          </w:tcPr>
          <w:p w14:paraId="0760A409"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65.0%</w:t>
            </w:r>
          </w:p>
        </w:tc>
        <w:tc>
          <w:tcPr>
            <w:tcW w:w="1478" w:type="dxa"/>
            <w:tcBorders>
              <w:top w:val="nil"/>
              <w:left w:val="nil"/>
              <w:bottom w:val="single" w:sz="4" w:space="0" w:color="auto"/>
              <w:right w:val="nil"/>
            </w:tcBorders>
            <w:noWrap/>
            <w:vAlign w:val="center"/>
            <w:hideMark/>
          </w:tcPr>
          <w:p w14:paraId="2181949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68.7%</w:t>
            </w:r>
          </w:p>
        </w:tc>
        <w:tc>
          <w:tcPr>
            <w:tcW w:w="1478" w:type="dxa"/>
            <w:vMerge/>
            <w:tcBorders>
              <w:top w:val="nil"/>
              <w:left w:val="double" w:sz="6" w:space="0" w:color="auto"/>
              <w:bottom w:val="single" w:sz="4" w:space="0" w:color="auto"/>
              <w:right w:val="single" w:sz="4" w:space="0" w:color="auto"/>
            </w:tcBorders>
            <w:vAlign w:val="center"/>
            <w:hideMark/>
          </w:tcPr>
          <w:p w14:paraId="032EE603"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393AC38D"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r w:rsidR="002A5628" w:rsidRPr="002A5628" w14:paraId="6C2FA2AC" w14:textId="77777777" w:rsidTr="001A0D51">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506D30DB"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敬老優待</w:t>
            </w:r>
          </w:p>
        </w:tc>
        <w:tc>
          <w:tcPr>
            <w:tcW w:w="1478" w:type="dxa"/>
            <w:tcBorders>
              <w:top w:val="nil"/>
              <w:left w:val="nil"/>
              <w:bottom w:val="single" w:sz="4" w:space="0" w:color="auto"/>
              <w:right w:val="single" w:sz="4" w:space="0" w:color="auto"/>
            </w:tcBorders>
            <w:noWrap/>
            <w:vAlign w:val="center"/>
            <w:hideMark/>
          </w:tcPr>
          <w:p w14:paraId="07F82B49"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12,334 </w:t>
            </w:r>
          </w:p>
        </w:tc>
        <w:tc>
          <w:tcPr>
            <w:tcW w:w="1478" w:type="dxa"/>
            <w:tcBorders>
              <w:top w:val="nil"/>
              <w:left w:val="nil"/>
              <w:bottom w:val="single" w:sz="4" w:space="0" w:color="auto"/>
              <w:right w:val="single" w:sz="4" w:space="0" w:color="auto"/>
            </w:tcBorders>
            <w:noWrap/>
            <w:vAlign w:val="center"/>
            <w:hideMark/>
          </w:tcPr>
          <w:p w14:paraId="56A14E4F"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17,461 </w:t>
            </w:r>
          </w:p>
        </w:tc>
        <w:tc>
          <w:tcPr>
            <w:tcW w:w="1478" w:type="dxa"/>
            <w:tcBorders>
              <w:top w:val="nil"/>
              <w:left w:val="nil"/>
              <w:bottom w:val="single" w:sz="4" w:space="0" w:color="auto"/>
              <w:right w:val="nil"/>
            </w:tcBorders>
            <w:noWrap/>
            <w:vAlign w:val="center"/>
            <w:hideMark/>
          </w:tcPr>
          <w:p w14:paraId="05460EC9"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17,386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6BB1DF94"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41.6%</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21DB113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-0.4%</w:t>
            </w:r>
          </w:p>
        </w:tc>
      </w:tr>
      <w:tr w:rsidR="002A5628" w:rsidRPr="002A5628" w14:paraId="410E4038"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7A8095D2"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3200848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10.9%</w:t>
            </w:r>
          </w:p>
        </w:tc>
        <w:tc>
          <w:tcPr>
            <w:tcW w:w="1478" w:type="dxa"/>
            <w:tcBorders>
              <w:top w:val="nil"/>
              <w:left w:val="nil"/>
              <w:bottom w:val="single" w:sz="4" w:space="0" w:color="auto"/>
              <w:right w:val="single" w:sz="4" w:space="0" w:color="auto"/>
            </w:tcBorders>
            <w:noWrap/>
            <w:vAlign w:val="center"/>
            <w:hideMark/>
          </w:tcPr>
          <w:p w14:paraId="58E86CBB"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11.8%</w:t>
            </w:r>
          </w:p>
        </w:tc>
        <w:tc>
          <w:tcPr>
            <w:tcW w:w="1478" w:type="dxa"/>
            <w:tcBorders>
              <w:top w:val="nil"/>
              <w:left w:val="nil"/>
              <w:bottom w:val="single" w:sz="4" w:space="0" w:color="auto"/>
              <w:right w:val="nil"/>
            </w:tcBorders>
            <w:noWrap/>
            <w:vAlign w:val="center"/>
            <w:hideMark/>
          </w:tcPr>
          <w:p w14:paraId="67A02549"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11.0%</w:t>
            </w:r>
          </w:p>
        </w:tc>
        <w:tc>
          <w:tcPr>
            <w:tcW w:w="1478" w:type="dxa"/>
            <w:vMerge/>
            <w:tcBorders>
              <w:top w:val="nil"/>
              <w:left w:val="double" w:sz="6" w:space="0" w:color="auto"/>
              <w:bottom w:val="single" w:sz="4" w:space="0" w:color="auto"/>
              <w:right w:val="single" w:sz="4" w:space="0" w:color="auto"/>
            </w:tcBorders>
            <w:vAlign w:val="center"/>
            <w:hideMark/>
          </w:tcPr>
          <w:p w14:paraId="05C35C2E"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32B41173"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r w:rsidR="002A5628" w:rsidRPr="002A5628" w14:paraId="51B4C8D4" w14:textId="77777777" w:rsidTr="001A0D51">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5AC27D35"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學生</w:t>
            </w:r>
          </w:p>
        </w:tc>
        <w:tc>
          <w:tcPr>
            <w:tcW w:w="1478" w:type="dxa"/>
            <w:tcBorders>
              <w:top w:val="nil"/>
              <w:left w:val="nil"/>
              <w:bottom w:val="single" w:sz="4" w:space="0" w:color="auto"/>
              <w:right w:val="single" w:sz="4" w:space="0" w:color="auto"/>
            </w:tcBorders>
            <w:noWrap/>
            <w:vAlign w:val="center"/>
            <w:hideMark/>
          </w:tcPr>
          <w:p w14:paraId="724A446D"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13,904 </w:t>
            </w:r>
          </w:p>
        </w:tc>
        <w:tc>
          <w:tcPr>
            <w:tcW w:w="1478" w:type="dxa"/>
            <w:tcBorders>
              <w:top w:val="nil"/>
              <w:left w:val="nil"/>
              <w:bottom w:val="single" w:sz="4" w:space="0" w:color="auto"/>
              <w:right w:val="single" w:sz="4" w:space="0" w:color="auto"/>
            </w:tcBorders>
            <w:noWrap/>
            <w:vAlign w:val="center"/>
            <w:hideMark/>
          </w:tcPr>
          <w:p w14:paraId="262FF23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14,081 </w:t>
            </w:r>
          </w:p>
        </w:tc>
        <w:tc>
          <w:tcPr>
            <w:tcW w:w="1478" w:type="dxa"/>
            <w:tcBorders>
              <w:top w:val="nil"/>
              <w:left w:val="nil"/>
              <w:bottom w:val="single" w:sz="4" w:space="0" w:color="auto"/>
              <w:right w:val="nil"/>
            </w:tcBorders>
            <w:noWrap/>
            <w:vAlign w:val="center"/>
            <w:hideMark/>
          </w:tcPr>
          <w:p w14:paraId="186B57E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12,887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69174C45"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1.3%</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3DD5E4B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-8.5%</w:t>
            </w:r>
          </w:p>
        </w:tc>
      </w:tr>
      <w:tr w:rsidR="002A5628" w:rsidRPr="002A5628" w14:paraId="51BE263E"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1F894043"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6F731C9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12.2%</w:t>
            </w:r>
          </w:p>
        </w:tc>
        <w:tc>
          <w:tcPr>
            <w:tcW w:w="1478" w:type="dxa"/>
            <w:tcBorders>
              <w:top w:val="nil"/>
              <w:left w:val="nil"/>
              <w:bottom w:val="single" w:sz="4" w:space="0" w:color="auto"/>
              <w:right w:val="single" w:sz="4" w:space="0" w:color="auto"/>
            </w:tcBorders>
            <w:noWrap/>
            <w:vAlign w:val="center"/>
            <w:hideMark/>
          </w:tcPr>
          <w:p w14:paraId="2E1D7772"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9.5%</w:t>
            </w:r>
          </w:p>
        </w:tc>
        <w:tc>
          <w:tcPr>
            <w:tcW w:w="1478" w:type="dxa"/>
            <w:tcBorders>
              <w:top w:val="nil"/>
              <w:left w:val="nil"/>
              <w:bottom w:val="single" w:sz="4" w:space="0" w:color="auto"/>
              <w:right w:val="nil"/>
            </w:tcBorders>
            <w:noWrap/>
            <w:vAlign w:val="center"/>
            <w:hideMark/>
          </w:tcPr>
          <w:p w14:paraId="3B7C241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8.1%</w:t>
            </w:r>
          </w:p>
        </w:tc>
        <w:tc>
          <w:tcPr>
            <w:tcW w:w="1478" w:type="dxa"/>
            <w:vMerge/>
            <w:tcBorders>
              <w:top w:val="nil"/>
              <w:left w:val="double" w:sz="6" w:space="0" w:color="auto"/>
              <w:bottom w:val="single" w:sz="4" w:space="0" w:color="auto"/>
              <w:right w:val="single" w:sz="4" w:space="0" w:color="auto"/>
            </w:tcBorders>
            <w:vAlign w:val="center"/>
            <w:hideMark/>
          </w:tcPr>
          <w:p w14:paraId="24821BE4"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2E74CBE0"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r w:rsidR="002A5628" w:rsidRPr="002A5628" w14:paraId="1DD1CFFF" w14:textId="77777777" w:rsidTr="001A0D51">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06CDF883"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愛心優待</w:t>
            </w:r>
          </w:p>
        </w:tc>
        <w:tc>
          <w:tcPr>
            <w:tcW w:w="1478" w:type="dxa"/>
            <w:tcBorders>
              <w:top w:val="nil"/>
              <w:left w:val="nil"/>
              <w:bottom w:val="single" w:sz="4" w:space="0" w:color="auto"/>
              <w:right w:val="single" w:sz="4" w:space="0" w:color="auto"/>
            </w:tcBorders>
            <w:noWrap/>
            <w:vAlign w:val="center"/>
            <w:hideMark/>
          </w:tcPr>
          <w:p w14:paraId="26C360DB"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5,086 </w:t>
            </w:r>
          </w:p>
        </w:tc>
        <w:tc>
          <w:tcPr>
            <w:tcW w:w="1478" w:type="dxa"/>
            <w:tcBorders>
              <w:top w:val="nil"/>
              <w:left w:val="nil"/>
              <w:bottom w:val="single" w:sz="4" w:space="0" w:color="auto"/>
              <w:right w:val="single" w:sz="4" w:space="0" w:color="auto"/>
            </w:tcBorders>
            <w:noWrap/>
            <w:vAlign w:val="center"/>
            <w:hideMark/>
          </w:tcPr>
          <w:p w14:paraId="30676BEE"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5,515 </w:t>
            </w:r>
          </w:p>
        </w:tc>
        <w:tc>
          <w:tcPr>
            <w:tcW w:w="1478" w:type="dxa"/>
            <w:tcBorders>
              <w:top w:val="nil"/>
              <w:left w:val="nil"/>
              <w:bottom w:val="single" w:sz="4" w:space="0" w:color="auto"/>
              <w:right w:val="nil"/>
            </w:tcBorders>
            <w:noWrap/>
            <w:vAlign w:val="center"/>
            <w:hideMark/>
          </w:tcPr>
          <w:p w14:paraId="0AA4500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5,917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5C9F93E1"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8.4%</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70F90F6E"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7.3%</w:t>
            </w:r>
          </w:p>
        </w:tc>
      </w:tr>
      <w:tr w:rsidR="002A5628" w:rsidRPr="002A5628" w14:paraId="659281FE"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152525CF"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4D282434"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4.5%</w:t>
            </w:r>
          </w:p>
        </w:tc>
        <w:tc>
          <w:tcPr>
            <w:tcW w:w="1478" w:type="dxa"/>
            <w:tcBorders>
              <w:top w:val="nil"/>
              <w:left w:val="nil"/>
              <w:bottom w:val="single" w:sz="4" w:space="0" w:color="auto"/>
              <w:right w:val="single" w:sz="4" w:space="0" w:color="auto"/>
            </w:tcBorders>
            <w:noWrap/>
            <w:vAlign w:val="center"/>
            <w:hideMark/>
          </w:tcPr>
          <w:p w14:paraId="1801CCF7"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3.7%</w:t>
            </w:r>
          </w:p>
        </w:tc>
        <w:tc>
          <w:tcPr>
            <w:tcW w:w="1478" w:type="dxa"/>
            <w:tcBorders>
              <w:top w:val="nil"/>
              <w:left w:val="nil"/>
              <w:bottom w:val="single" w:sz="4" w:space="0" w:color="auto"/>
              <w:right w:val="nil"/>
            </w:tcBorders>
            <w:noWrap/>
            <w:vAlign w:val="center"/>
            <w:hideMark/>
          </w:tcPr>
          <w:p w14:paraId="1820CCB1"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3.7%</w:t>
            </w:r>
          </w:p>
        </w:tc>
        <w:tc>
          <w:tcPr>
            <w:tcW w:w="1478" w:type="dxa"/>
            <w:vMerge/>
            <w:tcBorders>
              <w:top w:val="nil"/>
              <w:left w:val="double" w:sz="6" w:space="0" w:color="auto"/>
              <w:bottom w:val="single" w:sz="4" w:space="0" w:color="auto"/>
              <w:right w:val="single" w:sz="4" w:space="0" w:color="auto"/>
            </w:tcBorders>
            <w:vAlign w:val="center"/>
            <w:hideMark/>
          </w:tcPr>
          <w:p w14:paraId="3D59552D"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27258600"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r w:rsidR="002A5628" w:rsidRPr="002A5628" w14:paraId="6299FB0A" w14:textId="77777777" w:rsidTr="001A0D51">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4091DEDD"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其他優待</w:t>
            </w:r>
          </w:p>
        </w:tc>
        <w:tc>
          <w:tcPr>
            <w:tcW w:w="1478" w:type="dxa"/>
            <w:tcBorders>
              <w:top w:val="nil"/>
              <w:left w:val="nil"/>
              <w:bottom w:val="single" w:sz="4" w:space="0" w:color="auto"/>
              <w:right w:val="single" w:sz="4" w:space="0" w:color="auto"/>
            </w:tcBorders>
            <w:noWrap/>
            <w:vAlign w:val="center"/>
            <w:hideMark/>
          </w:tcPr>
          <w:p w14:paraId="371FAC36"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10,331 </w:t>
            </w:r>
          </w:p>
        </w:tc>
        <w:tc>
          <w:tcPr>
            <w:tcW w:w="1478" w:type="dxa"/>
            <w:tcBorders>
              <w:top w:val="nil"/>
              <w:left w:val="nil"/>
              <w:bottom w:val="single" w:sz="4" w:space="0" w:color="auto"/>
              <w:right w:val="single" w:sz="4" w:space="0" w:color="auto"/>
            </w:tcBorders>
            <w:noWrap/>
            <w:vAlign w:val="center"/>
            <w:hideMark/>
          </w:tcPr>
          <w:p w14:paraId="551E6AF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14,654 </w:t>
            </w:r>
          </w:p>
        </w:tc>
        <w:tc>
          <w:tcPr>
            <w:tcW w:w="1478" w:type="dxa"/>
            <w:tcBorders>
              <w:top w:val="nil"/>
              <w:left w:val="nil"/>
              <w:bottom w:val="single" w:sz="4" w:space="0" w:color="auto"/>
              <w:right w:val="nil"/>
            </w:tcBorders>
            <w:noWrap/>
            <w:vAlign w:val="center"/>
            <w:hideMark/>
          </w:tcPr>
          <w:p w14:paraId="0AFB1772"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13,433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5DBF3858"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41.8%</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0BE17033"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-8.3%</w:t>
            </w:r>
          </w:p>
        </w:tc>
      </w:tr>
      <w:tr w:rsidR="002A5628" w:rsidRPr="002A5628" w14:paraId="6C3F98FE"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48409669"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70D70392"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9.1%</w:t>
            </w:r>
          </w:p>
        </w:tc>
        <w:tc>
          <w:tcPr>
            <w:tcW w:w="1478" w:type="dxa"/>
            <w:tcBorders>
              <w:top w:val="nil"/>
              <w:left w:val="nil"/>
              <w:bottom w:val="single" w:sz="4" w:space="0" w:color="auto"/>
              <w:right w:val="single" w:sz="4" w:space="0" w:color="auto"/>
            </w:tcBorders>
            <w:noWrap/>
            <w:vAlign w:val="center"/>
            <w:hideMark/>
          </w:tcPr>
          <w:p w14:paraId="03B0F88C"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9.9%</w:t>
            </w:r>
          </w:p>
        </w:tc>
        <w:tc>
          <w:tcPr>
            <w:tcW w:w="1478" w:type="dxa"/>
            <w:tcBorders>
              <w:top w:val="nil"/>
              <w:left w:val="nil"/>
              <w:bottom w:val="single" w:sz="4" w:space="0" w:color="auto"/>
              <w:right w:val="nil"/>
            </w:tcBorders>
            <w:noWrap/>
            <w:vAlign w:val="center"/>
            <w:hideMark/>
          </w:tcPr>
          <w:p w14:paraId="373BB3C1"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8.5%</w:t>
            </w:r>
          </w:p>
        </w:tc>
        <w:tc>
          <w:tcPr>
            <w:tcW w:w="1478" w:type="dxa"/>
            <w:vMerge/>
            <w:tcBorders>
              <w:top w:val="nil"/>
              <w:left w:val="double" w:sz="6" w:space="0" w:color="auto"/>
              <w:bottom w:val="single" w:sz="4" w:space="0" w:color="auto"/>
              <w:right w:val="single" w:sz="4" w:space="0" w:color="auto"/>
            </w:tcBorders>
            <w:vAlign w:val="center"/>
            <w:hideMark/>
          </w:tcPr>
          <w:p w14:paraId="086BC2FE"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29242F84"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r w:rsidR="002A5628" w:rsidRPr="002A5628" w14:paraId="3B6C9941" w14:textId="77777777" w:rsidTr="001A0D51">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5EDD3165" w14:textId="77777777" w:rsidR="002A5628" w:rsidRPr="002A5628" w:rsidRDefault="002A5628" w:rsidP="002A5628">
            <w:pPr>
              <w:widowControl/>
              <w:spacing w:after="0" w:line="240" w:lineRule="auto"/>
              <w:jc w:val="center"/>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總計</w:t>
            </w:r>
          </w:p>
        </w:tc>
        <w:tc>
          <w:tcPr>
            <w:tcW w:w="1478" w:type="dxa"/>
            <w:tcBorders>
              <w:top w:val="nil"/>
              <w:left w:val="nil"/>
              <w:bottom w:val="single" w:sz="4" w:space="0" w:color="auto"/>
              <w:right w:val="single" w:sz="4" w:space="0" w:color="auto"/>
            </w:tcBorders>
            <w:noWrap/>
            <w:vAlign w:val="center"/>
            <w:hideMark/>
          </w:tcPr>
          <w:p w14:paraId="66BCE9E6"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113,578 </w:t>
            </w:r>
          </w:p>
        </w:tc>
        <w:tc>
          <w:tcPr>
            <w:tcW w:w="1478" w:type="dxa"/>
            <w:tcBorders>
              <w:top w:val="nil"/>
              <w:left w:val="nil"/>
              <w:bottom w:val="single" w:sz="4" w:space="0" w:color="auto"/>
              <w:right w:val="single" w:sz="4" w:space="0" w:color="auto"/>
            </w:tcBorders>
            <w:noWrap/>
            <w:vAlign w:val="center"/>
            <w:hideMark/>
          </w:tcPr>
          <w:p w14:paraId="78660035"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147,636 </w:t>
            </w:r>
          </w:p>
        </w:tc>
        <w:tc>
          <w:tcPr>
            <w:tcW w:w="1478" w:type="dxa"/>
            <w:tcBorders>
              <w:top w:val="nil"/>
              <w:left w:val="nil"/>
              <w:bottom w:val="single" w:sz="4" w:space="0" w:color="auto"/>
              <w:right w:val="nil"/>
            </w:tcBorders>
            <w:noWrap/>
            <w:vAlign w:val="center"/>
            <w:hideMark/>
          </w:tcPr>
          <w:p w14:paraId="7C22E16B"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 xml:space="preserve">158,345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612EC2ED"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30.0%</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59F8DE14"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7.3%</w:t>
            </w:r>
          </w:p>
        </w:tc>
      </w:tr>
      <w:tr w:rsidR="002A5628" w:rsidRPr="002A5628" w14:paraId="69EEADC8" w14:textId="77777777" w:rsidTr="001A0D51">
        <w:trPr>
          <w:trHeight w:val="367"/>
        </w:trPr>
        <w:tc>
          <w:tcPr>
            <w:tcW w:w="1754" w:type="dxa"/>
            <w:vMerge/>
            <w:tcBorders>
              <w:top w:val="nil"/>
              <w:left w:val="single" w:sz="4" w:space="0" w:color="auto"/>
              <w:bottom w:val="single" w:sz="4" w:space="0" w:color="auto"/>
              <w:right w:val="single" w:sz="4" w:space="0" w:color="auto"/>
            </w:tcBorders>
            <w:vAlign w:val="center"/>
            <w:hideMark/>
          </w:tcPr>
          <w:p w14:paraId="50403358"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tcBorders>
              <w:top w:val="nil"/>
              <w:left w:val="nil"/>
              <w:bottom w:val="single" w:sz="4" w:space="0" w:color="auto"/>
              <w:right w:val="single" w:sz="4" w:space="0" w:color="auto"/>
            </w:tcBorders>
            <w:noWrap/>
            <w:vAlign w:val="center"/>
            <w:hideMark/>
          </w:tcPr>
          <w:p w14:paraId="49FEA3EA"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100%</w:t>
            </w:r>
          </w:p>
        </w:tc>
        <w:tc>
          <w:tcPr>
            <w:tcW w:w="1478" w:type="dxa"/>
            <w:tcBorders>
              <w:top w:val="nil"/>
              <w:left w:val="nil"/>
              <w:bottom w:val="single" w:sz="4" w:space="0" w:color="auto"/>
              <w:right w:val="single" w:sz="4" w:space="0" w:color="auto"/>
            </w:tcBorders>
            <w:noWrap/>
            <w:vAlign w:val="center"/>
            <w:hideMark/>
          </w:tcPr>
          <w:p w14:paraId="48E325E5"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100%</w:t>
            </w:r>
          </w:p>
        </w:tc>
        <w:tc>
          <w:tcPr>
            <w:tcW w:w="1478" w:type="dxa"/>
            <w:tcBorders>
              <w:top w:val="nil"/>
              <w:left w:val="nil"/>
              <w:bottom w:val="single" w:sz="4" w:space="0" w:color="auto"/>
              <w:right w:val="nil"/>
            </w:tcBorders>
            <w:noWrap/>
            <w:vAlign w:val="center"/>
            <w:hideMark/>
          </w:tcPr>
          <w:p w14:paraId="4D318C85" w14:textId="77777777" w:rsidR="002A5628" w:rsidRPr="002A5628" w:rsidRDefault="002A5628" w:rsidP="002A5628">
            <w:pPr>
              <w:widowControl/>
              <w:spacing w:after="0" w:line="240" w:lineRule="auto"/>
              <w:jc w:val="right"/>
              <w:rPr>
                <w:rFonts w:ascii="標楷體" w:eastAsia="標楷體" w:hAnsi="標楷體" w:cs="新細明體"/>
                <w:color w:val="000000"/>
                <w:kern w:val="0"/>
                <w:sz w:val="27"/>
                <w:szCs w:val="27"/>
                <w14:ligatures w14:val="none"/>
              </w:rPr>
            </w:pPr>
            <w:r w:rsidRPr="002A5628">
              <w:rPr>
                <w:rFonts w:ascii="標楷體" w:eastAsia="標楷體" w:hAnsi="標楷體" w:cs="新細明體" w:hint="eastAsia"/>
                <w:color w:val="000000"/>
                <w:kern w:val="0"/>
                <w:sz w:val="27"/>
                <w:szCs w:val="27"/>
                <w14:ligatures w14:val="none"/>
              </w:rPr>
              <w:t>100%</w:t>
            </w:r>
          </w:p>
        </w:tc>
        <w:tc>
          <w:tcPr>
            <w:tcW w:w="1478" w:type="dxa"/>
            <w:vMerge/>
            <w:tcBorders>
              <w:top w:val="nil"/>
              <w:left w:val="double" w:sz="6" w:space="0" w:color="auto"/>
              <w:bottom w:val="single" w:sz="4" w:space="0" w:color="auto"/>
              <w:right w:val="single" w:sz="4" w:space="0" w:color="auto"/>
            </w:tcBorders>
            <w:vAlign w:val="center"/>
            <w:hideMark/>
          </w:tcPr>
          <w:p w14:paraId="00E8AB5A"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c>
          <w:tcPr>
            <w:tcW w:w="1478" w:type="dxa"/>
            <w:vMerge/>
            <w:tcBorders>
              <w:top w:val="nil"/>
              <w:left w:val="single" w:sz="4" w:space="0" w:color="auto"/>
              <w:bottom w:val="single" w:sz="4" w:space="0" w:color="auto"/>
              <w:right w:val="single" w:sz="4" w:space="0" w:color="auto"/>
            </w:tcBorders>
            <w:vAlign w:val="center"/>
            <w:hideMark/>
          </w:tcPr>
          <w:p w14:paraId="790257C9" w14:textId="77777777" w:rsidR="002A5628" w:rsidRPr="002A5628" w:rsidRDefault="002A5628" w:rsidP="002A5628">
            <w:pPr>
              <w:widowControl/>
              <w:spacing w:after="0" w:line="240" w:lineRule="auto"/>
              <w:rPr>
                <w:rFonts w:ascii="標楷體" w:eastAsia="標楷體" w:hAnsi="標楷體" w:cs="新細明體"/>
                <w:color w:val="000000"/>
                <w:kern w:val="0"/>
                <w:sz w:val="27"/>
                <w:szCs w:val="27"/>
                <w14:ligatures w14:val="none"/>
              </w:rPr>
            </w:pPr>
          </w:p>
        </w:tc>
      </w:tr>
    </w:tbl>
    <w:p w14:paraId="25FF9B09" w14:textId="754B8270" w:rsidR="00D9457F" w:rsidRDefault="00AA5BC4" w:rsidP="00744FB1">
      <w:pPr>
        <w:spacing w:beforeLines="50" w:before="120" w:after="400"/>
        <w:ind w:firstLineChars="200" w:firstLine="540"/>
        <w:jc w:val="both"/>
        <w:rPr>
          <w:rFonts w:ascii="標楷體" w:eastAsia="標楷體" w:hAnsi="標楷體"/>
          <w:sz w:val="27"/>
          <w:szCs w:val="27"/>
        </w:rPr>
      </w:pPr>
      <w:r w:rsidRPr="00AA5BC4">
        <w:rPr>
          <w:rFonts w:ascii="標楷體" w:eastAsia="標楷體" w:hAnsi="標楷體" w:hint="eastAsia"/>
          <w:sz w:val="27"/>
          <w:szCs w:val="27"/>
        </w:rPr>
        <w:t>114年臺東縣市區客運搭車持卡身分以普通票（含TPASS）佔比68.7%最多，有108,722 搭乘人次。其次持卡身分為敬老優待17,386搭乘人次，佔 11.0%、其他優待13,433 搭乘人次，佔8.5%、學生12,887 搭乘人次，佔8.1%以及愛心優待最少5,917搭乘人次，佔3.7%。顯示臺東市區客運從早期的社福接駁，轉向以一般通勤民眾與政策TPASS月票使用者為結構。整體年總運量呈現逐年攀升，從112年的113,578搭乘人次成長至114年的158,345人次。其中普通票（含TPASS）113年成長率為33.4%，114年再增加13.3%。反觀學生票則呈現衰退趨勢，114 年成長率為-8.5%，佔比也從112年的12.2%降至8.1%。這反映出少子化或交通工具選擇改變之下，學生族群的使用率有所下降，而政策推銷的TPASS則成功拉動了普通客群。</w:t>
      </w:r>
    </w:p>
    <w:p w14:paraId="7D20377F" w14:textId="405C128B" w:rsidR="00AA5BC4" w:rsidRPr="004C7267" w:rsidRDefault="00AA5BC4" w:rsidP="00AA5BC4">
      <w:pPr>
        <w:spacing w:beforeLines="50" w:before="120" w:after="400"/>
        <w:jc w:val="both"/>
        <w:rPr>
          <w:rFonts w:ascii="標楷體" w:eastAsia="標楷體" w:hAnsi="標楷體"/>
          <w:b/>
          <w:bCs/>
          <w:sz w:val="27"/>
          <w:szCs w:val="27"/>
        </w:rPr>
      </w:pPr>
      <w:r>
        <w:rPr>
          <w:rFonts w:ascii="標楷體" w:eastAsia="標楷體" w:hAnsi="標楷體" w:hint="eastAsia"/>
          <w:b/>
          <w:bCs/>
          <w:sz w:val="27"/>
          <w:szCs w:val="27"/>
        </w:rPr>
        <w:t>2</w:t>
      </w:r>
      <w:r w:rsidRPr="004C7267">
        <w:rPr>
          <w:rFonts w:ascii="標楷體" w:eastAsia="標楷體" w:hAnsi="標楷體" w:hint="eastAsia"/>
          <w:b/>
          <w:bCs/>
          <w:sz w:val="27"/>
          <w:szCs w:val="27"/>
        </w:rPr>
        <w:t>.4 定期票客群分析</w:t>
      </w:r>
    </w:p>
    <w:p w14:paraId="6A727419" w14:textId="0756AF41" w:rsidR="00D9457F" w:rsidRDefault="00D9457F" w:rsidP="00712D88">
      <w:pPr>
        <w:spacing w:beforeLines="50" w:before="120" w:after="400"/>
        <w:jc w:val="center"/>
        <w:rPr>
          <w:rFonts w:ascii="標楷體" w:eastAsia="標楷體" w:hAnsi="標楷體"/>
          <w:sz w:val="27"/>
          <w:szCs w:val="27"/>
        </w:rPr>
      </w:pPr>
      <w:r>
        <w:rPr>
          <w:rFonts w:ascii="標楷體" w:eastAsia="標楷體" w:hAnsi="標楷體" w:hint="eastAsia"/>
          <w:noProof/>
          <w:sz w:val="27"/>
          <w:szCs w:val="27"/>
        </w:rPr>
        <w:lastRenderedPageBreak/>
        <w:drawing>
          <wp:inline distT="0" distB="0" distL="0" distR="0" wp14:anchorId="238DFFE5" wp14:editId="619BA0B1">
            <wp:extent cx="4921624" cy="3691218"/>
            <wp:effectExtent l="0" t="0" r="0" b="5080"/>
            <wp:docPr id="155424065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40653" name="圖片 1554240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7141" cy="3695356"/>
                    </a:xfrm>
                    <a:prstGeom prst="rect">
                      <a:avLst/>
                    </a:prstGeom>
                  </pic:spPr>
                </pic:pic>
              </a:graphicData>
            </a:graphic>
          </wp:inline>
        </w:drawing>
      </w:r>
    </w:p>
    <w:p w14:paraId="6AB3ACD4" w14:textId="772D9024" w:rsidR="00AA5BC4" w:rsidRDefault="00AA5BC4" w:rsidP="00AA5BC4">
      <w:pPr>
        <w:spacing w:beforeLines="50" w:before="120" w:after="400"/>
        <w:jc w:val="center"/>
        <w:rPr>
          <w:rFonts w:ascii="標楷體" w:eastAsia="標楷體" w:hAnsi="標楷體"/>
          <w:sz w:val="27"/>
          <w:szCs w:val="27"/>
        </w:rPr>
      </w:pPr>
      <w:r>
        <w:rPr>
          <w:rFonts w:ascii="標楷體" w:eastAsia="標楷體" w:hAnsi="標楷體" w:hint="eastAsia"/>
          <w:sz w:val="27"/>
          <w:szCs w:val="27"/>
        </w:rPr>
        <w:t>圖2.4.1 114年</w:t>
      </w:r>
      <w:r w:rsidR="005211A8">
        <w:rPr>
          <w:rFonts w:ascii="標楷體" w:eastAsia="標楷體" w:hAnsi="標楷體" w:hint="eastAsia"/>
          <w:sz w:val="27"/>
          <w:szCs w:val="27"/>
        </w:rPr>
        <w:t>臺東</w:t>
      </w:r>
      <w:r>
        <w:rPr>
          <w:rFonts w:ascii="標楷體" w:eastAsia="標楷體" w:hAnsi="標楷體" w:hint="eastAsia"/>
          <w:sz w:val="27"/>
          <w:szCs w:val="27"/>
        </w:rPr>
        <w:t>縣市區客運搭車定期票長條圖</w:t>
      </w:r>
    </w:p>
    <w:p w14:paraId="64429DFC" w14:textId="4E18C362" w:rsidR="00AA5BC4" w:rsidRPr="00AA5BC4" w:rsidRDefault="00AA5BC4" w:rsidP="00AA5BC4">
      <w:pPr>
        <w:spacing w:beforeLines="50" w:before="120" w:after="400"/>
        <w:jc w:val="center"/>
        <w:rPr>
          <w:rFonts w:ascii="標楷體" w:eastAsia="標楷體" w:hAnsi="標楷體"/>
          <w:sz w:val="27"/>
          <w:szCs w:val="27"/>
        </w:rPr>
      </w:pPr>
      <w:r>
        <w:rPr>
          <w:rFonts w:ascii="標楷體" w:eastAsia="標楷體" w:hAnsi="標楷體" w:hint="eastAsia"/>
          <w:sz w:val="27"/>
          <w:szCs w:val="27"/>
        </w:rPr>
        <w:t>表2.4.1 112年至114年</w:t>
      </w:r>
      <w:r w:rsidR="005211A8">
        <w:rPr>
          <w:rFonts w:ascii="標楷體" w:eastAsia="標楷體" w:hAnsi="標楷體" w:hint="eastAsia"/>
          <w:sz w:val="27"/>
          <w:szCs w:val="27"/>
        </w:rPr>
        <w:t>臺東</w:t>
      </w:r>
      <w:r>
        <w:rPr>
          <w:rFonts w:ascii="標楷體" w:eastAsia="標楷體" w:hAnsi="標楷體" w:hint="eastAsia"/>
          <w:sz w:val="27"/>
          <w:szCs w:val="27"/>
        </w:rPr>
        <w:t>縣市區客運搭車定期票統計表</w:t>
      </w:r>
    </w:p>
    <w:tbl>
      <w:tblPr>
        <w:tblW w:w="8646" w:type="dxa"/>
        <w:tblCellMar>
          <w:left w:w="28" w:type="dxa"/>
          <w:right w:w="28" w:type="dxa"/>
        </w:tblCellMar>
        <w:tblLook w:val="04A0" w:firstRow="1" w:lastRow="0" w:firstColumn="1" w:lastColumn="0" w:noHBand="0" w:noVBand="1"/>
      </w:tblPr>
      <w:tblGrid>
        <w:gridCol w:w="1441"/>
        <w:gridCol w:w="1441"/>
        <w:gridCol w:w="1441"/>
        <w:gridCol w:w="1441"/>
        <w:gridCol w:w="1441"/>
        <w:gridCol w:w="1441"/>
      </w:tblGrid>
      <w:tr w:rsidR="002807ED" w:rsidRPr="002807ED" w14:paraId="6F623D8F" w14:textId="77777777" w:rsidTr="00056974">
        <w:trPr>
          <w:trHeight w:val="725"/>
        </w:trPr>
        <w:tc>
          <w:tcPr>
            <w:tcW w:w="1441"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A0BD106"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      年份</w:t>
            </w:r>
            <w:r w:rsidRPr="002807ED">
              <w:rPr>
                <w:rFonts w:ascii="標楷體" w:eastAsia="標楷體" w:hAnsi="標楷體" w:cs="新細明體" w:hint="eastAsia"/>
                <w:color w:val="000000"/>
                <w:kern w:val="0"/>
                <w:sz w:val="27"/>
                <w:szCs w:val="27"/>
                <w14:ligatures w14:val="none"/>
              </w:rPr>
              <w:br/>
              <w:t>定期票</w:t>
            </w:r>
          </w:p>
        </w:tc>
        <w:tc>
          <w:tcPr>
            <w:tcW w:w="1441" w:type="dxa"/>
            <w:tcBorders>
              <w:top w:val="single" w:sz="4" w:space="0" w:color="auto"/>
              <w:left w:val="nil"/>
              <w:bottom w:val="single" w:sz="4" w:space="0" w:color="auto"/>
              <w:right w:val="single" w:sz="4" w:space="0" w:color="auto"/>
            </w:tcBorders>
            <w:noWrap/>
            <w:vAlign w:val="center"/>
            <w:hideMark/>
          </w:tcPr>
          <w:p w14:paraId="525E9E8F"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112</w:t>
            </w:r>
          </w:p>
        </w:tc>
        <w:tc>
          <w:tcPr>
            <w:tcW w:w="1441" w:type="dxa"/>
            <w:tcBorders>
              <w:top w:val="single" w:sz="4" w:space="0" w:color="auto"/>
              <w:left w:val="nil"/>
              <w:bottom w:val="single" w:sz="4" w:space="0" w:color="auto"/>
              <w:right w:val="single" w:sz="4" w:space="0" w:color="auto"/>
            </w:tcBorders>
            <w:noWrap/>
            <w:vAlign w:val="center"/>
            <w:hideMark/>
          </w:tcPr>
          <w:p w14:paraId="12F5A374"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113</w:t>
            </w:r>
          </w:p>
        </w:tc>
        <w:tc>
          <w:tcPr>
            <w:tcW w:w="1441" w:type="dxa"/>
            <w:tcBorders>
              <w:top w:val="single" w:sz="4" w:space="0" w:color="auto"/>
              <w:left w:val="nil"/>
              <w:bottom w:val="single" w:sz="4" w:space="0" w:color="auto"/>
              <w:right w:val="nil"/>
            </w:tcBorders>
            <w:noWrap/>
            <w:vAlign w:val="center"/>
            <w:hideMark/>
          </w:tcPr>
          <w:p w14:paraId="748C41E6"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114</w:t>
            </w:r>
          </w:p>
        </w:tc>
        <w:tc>
          <w:tcPr>
            <w:tcW w:w="1441" w:type="dxa"/>
            <w:tcBorders>
              <w:top w:val="single" w:sz="4" w:space="0" w:color="auto"/>
              <w:left w:val="double" w:sz="6" w:space="0" w:color="auto"/>
              <w:bottom w:val="single" w:sz="4" w:space="0" w:color="auto"/>
              <w:right w:val="single" w:sz="4" w:space="0" w:color="auto"/>
            </w:tcBorders>
            <w:noWrap/>
            <w:vAlign w:val="center"/>
            <w:hideMark/>
          </w:tcPr>
          <w:p w14:paraId="43C90D90" w14:textId="77777777" w:rsidR="002807ED" w:rsidRPr="002807ED" w:rsidRDefault="002807ED" w:rsidP="002807ED">
            <w:pPr>
              <w:widowControl/>
              <w:spacing w:after="0" w:line="240" w:lineRule="auto"/>
              <w:jc w:val="center"/>
              <w:rPr>
                <w:rFonts w:ascii="標楷體" w:eastAsia="標楷體" w:hAnsi="標楷體" w:cs="新細明體"/>
                <w:color w:val="000000"/>
                <w:kern w:val="0"/>
                <w14:ligatures w14:val="none"/>
              </w:rPr>
            </w:pPr>
            <w:r w:rsidRPr="002807ED">
              <w:rPr>
                <w:rFonts w:ascii="標楷體" w:eastAsia="標楷體" w:hAnsi="標楷體" w:cs="新細明體" w:hint="eastAsia"/>
                <w:color w:val="000000"/>
                <w:kern w:val="0"/>
                <w14:ligatures w14:val="none"/>
              </w:rPr>
              <w:t>113年成長率</w:t>
            </w:r>
          </w:p>
        </w:tc>
        <w:tc>
          <w:tcPr>
            <w:tcW w:w="1441" w:type="dxa"/>
            <w:tcBorders>
              <w:top w:val="single" w:sz="4" w:space="0" w:color="auto"/>
              <w:left w:val="nil"/>
              <w:bottom w:val="single" w:sz="4" w:space="0" w:color="auto"/>
              <w:right w:val="single" w:sz="4" w:space="0" w:color="auto"/>
            </w:tcBorders>
            <w:noWrap/>
            <w:vAlign w:val="center"/>
            <w:hideMark/>
          </w:tcPr>
          <w:p w14:paraId="131A34A4" w14:textId="77777777" w:rsidR="002807ED" w:rsidRPr="002807ED" w:rsidRDefault="002807ED" w:rsidP="002807ED">
            <w:pPr>
              <w:widowControl/>
              <w:spacing w:after="0" w:line="240" w:lineRule="auto"/>
              <w:jc w:val="center"/>
              <w:rPr>
                <w:rFonts w:ascii="標楷體" w:eastAsia="標楷體" w:hAnsi="標楷體" w:cs="新細明體"/>
                <w:color w:val="000000"/>
                <w:kern w:val="0"/>
                <w14:ligatures w14:val="none"/>
              </w:rPr>
            </w:pPr>
            <w:r w:rsidRPr="002807ED">
              <w:rPr>
                <w:rFonts w:ascii="標楷體" w:eastAsia="標楷體" w:hAnsi="標楷體" w:cs="新細明體" w:hint="eastAsia"/>
                <w:color w:val="000000"/>
                <w:kern w:val="0"/>
                <w14:ligatures w14:val="none"/>
              </w:rPr>
              <w:t>114年成長率</w:t>
            </w:r>
          </w:p>
        </w:tc>
      </w:tr>
      <w:tr w:rsidR="002807ED" w:rsidRPr="002807ED" w14:paraId="41CD2278" w14:textId="77777777" w:rsidTr="00056974">
        <w:trPr>
          <w:trHeight w:val="362"/>
        </w:trPr>
        <w:tc>
          <w:tcPr>
            <w:tcW w:w="1441" w:type="dxa"/>
            <w:vMerge w:val="restart"/>
            <w:tcBorders>
              <w:top w:val="nil"/>
              <w:left w:val="single" w:sz="4" w:space="0" w:color="auto"/>
              <w:bottom w:val="single" w:sz="4" w:space="0" w:color="auto"/>
              <w:right w:val="single" w:sz="4" w:space="0" w:color="auto"/>
            </w:tcBorders>
            <w:noWrap/>
            <w:vAlign w:val="center"/>
            <w:hideMark/>
          </w:tcPr>
          <w:p w14:paraId="26E089D1"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臺東299</w:t>
            </w:r>
          </w:p>
        </w:tc>
        <w:tc>
          <w:tcPr>
            <w:tcW w:w="1441" w:type="dxa"/>
            <w:tcBorders>
              <w:top w:val="nil"/>
              <w:left w:val="nil"/>
              <w:bottom w:val="single" w:sz="4" w:space="0" w:color="auto"/>
              <w:right w:val="single" w:sz="4" w:space="0" w:color="auto"/>
            </w:tcBorders>
            <w:noWrap/>
            <w:vAlign w:val="center"/>
            <w:hideMark/>
          </w:tcPr>
          <w:p w14:paraId="0F13DBF0"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4,071 </w:t>
            </w:r>
          </w:p>
        </w:tc>
        <w:tc>
          <w:tcPr>
            <w:tcW w:w="1441" w:type="dxa"/>
            <w:tcBorders>
              <w:top w:val="nil"/>
              <w:left w:val="nil"/>
              <w:bottom w:val="single" w:sz="4" w:space="0" w:color="auto"/>
              <w:right w:val="single" w:sz="4" w:space="0" w:color="auto"/>
            </w:tcBorders>
            <w:noWrap/>
            <w:vAlign w:val="center"/>
            <w:hideMark/>
          </w:tcPr>
          <w:p w14:paraId="07E944D5"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20,893 </w:t>
            </w:r>
          </w:p>
        </w:tc>
        <w:tc>
          <w:tcPr>
            <w:tcW w:w="1441" w:type="dxa"/>
            <w:tcBorders>
              <w:top w:val="nil"/>
              <w:left w:val="nil"/>
              <w:bottom w:val="single" w:sz="4" w:space="0" w:color="auto"/>
              <w:right w:val="nil"/>
            </w:tcBorders>
            <w:noWrap/>
            <w:vAlign w:val="center"/>
            <w:hideMark/>
          </w:tcPr>
          <w:p w14:paraId="1B024D2A"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29,947 </w:t>
            </w:r>
          </w:p>
        </w:tc>
        <w:tc>
          <w:tcPr>
            <w:tcW w:w="1441" w:type="dxa"/>
            <w:vMerge w:val="restart"/>
            <w:tcBorders>
              <w:top w:val="nil"/>
              <w:left w:val="double" w:sz="6" w:space="0" w:color="auto"/>
              <w:bottom w:val="single" w:sz="4" w:space="0" w:color="auto"/>
              <w:right w:val="single" w:sz="4" w:space="0" w:color="auto"/>
            </w:tcBorders>
            <w:noWrap/>
            <w:vAlign w:val="center"/>
            <w:hideMark/>
          </w:tcPr>
          <w:p w14:paraId="4256F70F"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413.2%</w:t>
            </w:r>
          </w:p>
        </w:tc>
        <w:tc>
          <w:tcPr>
            <w:tcW w:w="1441" w:type="dxa"/>
            <w:vMerge w:val="restart"/>
            <w:tcBorders>
              <w:top w:val="nil"/>
              <w:left w:val="single" w:sz="4" w:space="0" w:color="auto"/>
              <w:bottom w:val="single" w:sz="4" w:space="0" w:color="auto"/>
              <w:right w:val="single" w:sz="4" w:space="0" w:color="auto"/>
            </w:tcBorders>
            <w:noWrap/>
            <w:vAlign w:val="center"/>
            <w:hideMark/>
          </w:tcPr>
          <w:p w14:paraId="1D50DA23"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43.3%</w:t>
            </w:r>
          </w:p>
        </w:tc>
      </w:tr>
      <w:tr w:rsidR="002807ED" w:rsidRPr="002807ED" w14:paraId="365DBEAB" w14:textId="77777777" w:rsidTr="00056974">
        <w:trPr>
          <w:trHeight w:val="362"/>
        </w:trPr>
        <w:tc>
          <w:tcPr>
            <w:tcW w:w="1441" w:type="dxa"/>
            <w:vMerge/>
            <w:tcBorders>
              <w:top w:val="nil"/>
              <w:left w:val="single" w:sz="4" w:space="0" w:color="auto"/>
              <w:bottom w:val="single" w:sz="4" w:space="0" w:color="auto"/>
              <w:right w:val="single" w:sz="4" w:space="0" w:color="auto"/>
            </w:tcBorders>
            <w:vAlign w:val="center"/>
            <w:hideMark/>
          </w:tcPr>
          <w:p w14:paraId="75B02072"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tcBorders>
              <w:top w:val="nil"/>
              <w:left w:val="nil"/>
              <w:bottom w:val="single" w:sz="4" w:space="0" w:color="auto"/>
              <w:right w:val="single" w:sz="4" w:space="0" w:color="auto"/>
            </w:tcBorders>
            <w:noWrap/>
            <w:vAlign w:val="center"/>
            <w:hideMark/>
          </w:tcPr>
          <w:p w14:paraId="00D9A0DE"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3.6%</w:t>
            </w:r>
          </w:p>
        </w:tc>
        <w:tc>
          <w:tcPr>
            <w:tcW w:w="1441" w:type="dxa"/>
            <w:tcBorders>
              <w:top w:val="nil"/>
              <w:left w:val="nil"/>
              <w:bottom w:val="single" w:sz="4" w:space="0" w:color="auto"/>
              <w:right w:val="single" w:sz="4" w:space="0" w:color="auto"/>
            </w:tcBorders>
            <w:noWrap/>
            <w:vAlign w:val="center"/>
            <w:hideMark/>
          </w:tcPr>
          <w:p w14:paraId="37FD040B"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14.2%</w:t>
            </w:r>
          </w:p>
        </w:tc>
        <w:tc>
          <w:tcPr>
            <w:tcW w:w="1441" w:type="dxa"/>
            <w:tcBorders>
              <w:top w:val="nil"/>
              <w:left w:val="nil"/>
              <w:bottom w:val="single" w:sz="4" w:space="0" w:color="auto"/>
              <w:right w:val="nil"/>
            </w:tcBorders>
            <w:noWrap/>
            <w:vAlign w:val="center"/>
            <w:hideMark/>
          </w:tcPr>
          <w:p w14:paraId="0090F7F6"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18.9%</w:t>
            </w:r>
          </w:p>
        </w:tc>
        <w:tc>
          <w:tcPr>
            <w:tcW w:w="1441" w:type="dxa"/>
            <w:vMerge/>
            <w:tcBorders>
              <w:top w:val="nil"/>
              <w:left w:val="double" w:sz="6" w:space="0" w:color="auto"/>
              <w:bottom w:val="single" w:sz="4" w:space="0" w:color="auto"/>
              <w:right w:val="single" w:sz="4" w:space="0" w:color="auto"/>
            </w:tcBorders>
            <w:vAlign w:val="center"/>
            <w:hideMark/>
          </w:tcPr>
          <w:p w14:paraId="54854EC4"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vMerge/>
            <w:tcBorders>
              <w:top w:val="nil"/>
              <w:left w:val="single" w:sz="4" w:space="0" w:color="auto"/>
              <w:bottom w:val="single" w:sz="4" w:space="0" w:color="auto"/>
              <w:right w:val="single" w:sz="4" w:space="0" w:color="auto"/>
            </w:tcBorders>
            <w:vAlign w:val="center"/>
            <w:hideMark/>
          </w:tcPr>
          <w:p w14:paraId="192B8A1A"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r>
      <w:tr w:rsidR="002807ED" w:rsidRPr="002807ED" w14:paraId="275F1CEC" w14:textId="77777777" w:rsidTr="00056974">
        <w:trPr>
          <w:trHeight w:val="362"/>
        </w:trPr>
        <w:tc>
          <w:tcPr>
            <w:tcW w:w="1441" w:type="dxa"/>
            <w:vMerge w:val="restart"/>
            <w:tcBorders>
              <w:top w:val="nil"/>
              <w:left w:val="single" w:sz="4" w:space="0" w:color="auto"/>
              <w:bottom w:val="single" w:sz="4" w:space="0" w:color="auto"/>
              <w:right w:val="single" w:sz="4" w:space="0" w:color="auto"/>
            </w:tcBorders>
            <w:noWrap/>
            <w:vAlign w:val="center"/>
            <w:hideMark/>
          </w:tcPr>
          <w:p w14:paraId="45687AF1"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非定期票</w:t>
            </w:r>
          </w:p>
        </w:tc>
        <w:tc>
          <w:tcPr>
            <w:tcW w:w="1441" w:type="dxa"/>
            <w:tcBorders>
              <w:top w:val="nil"/>
              <w:left w:val="nil"/>
              <w:bottom w:val="single" w:sz="4" w:space="0" w:color="auto"/>
              <w:right w:val="single" w:sz="4" w:space="0" w:color="auto"/>
            </w:tcBorders>
            <w:noWrap/>
            <w:vAlign w:val="center"/>
            <w:hideMark/>
          </w:tcPr>
          <w:p w14:paraId="54413AB4"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109,507 </w:t>
            </w:r>
          </w:p>
        </w:tc>
        <w:tc>
          <w:tcPr>
            <w:tcW w:w="1441" w:type="dxa"/>
            <w:tcBorders>
              <w:top w:val="nil"/>
              <w:left w:val="nil"/>
              <w:bottom w:val="single" w:sz="4" w:space="0" w:color="auto"/>
              <w:right w:val="single" w:sz="4" w:space="0" w:color="auto"/>
            </w:tcBorders>
            <w:noWrap/>
            <w:vAlign w:val="center"/>
            <w:hideMark/>
          </w:tcPr>
          <w:p w14:paraId="6575EC59"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126,743 </w:t>
            </w:r>
          </w:p>
        </w:tc>
        <w:tc>
          <w:tcPr>
            <w:tcW w:w="1441" w:type="dxa"/>
            <w:tcBorders>
              <w:top w:val="nil"/>
              <w:left w:val="nil"/>
              <w:bottom w:val="single" w:sz="4" w:space="0" w:color="auto"/>
              <w:right w:val="nil"/>
            </w:tcBorders>
            <w:noWrap/>
            <w:vAlign w:val="center"/>
            <w:hideMark/>
          </w:tcPr>
          <w:p w14:paraId="77F8EDD1"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128,398 </w:t>
            </w:r>
          </w:p>
        </w:tc>
        <w:tc>
          <w:tcPr>
            <w:tcW w:w="1441" w:type="dxa"/>
            <w:vMerge w:val="restart"/>
            <w:tcBorders>
              <w:top w:val="nil"/>
              <w:left w:val="double" w:sz="6" w:space="0" w:color="auto"/>
              <w:bottom w:val="single" w:sz="4" w:space="0" w:color="auto"/>
              <w:right w:val="single" w:sz="4" w:space="0" w:color="auto"/>
            </w:tcBorders>
            <w:noWrap/>
            <w:vAlign w:val="center"/>
            <w:hideMark/>
          </w:tcPr>
          <w:p w14:paraId="23C862D0"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15.7%</w:t>
            </w:r>
          </w:p>
        </w:tc>
        <w:tc>
          <w:tcPr>
            <w:tcW w:w="1441" w:type="dxa"/>
            <w:vMerge w:val="restart"/>
            <w:tcBorders>
              <w:top w:val="nil"/>
              <w:left w:val="single" w:sz="4" w:space="0" w:color="auto"/>
              <w:bottom w:val="single" w:sz="4" w:space="0" w:color="auto"/>
              <w:right w:val="single" w:sz="4" w:space="0" w:color="auto"/>
            </w:tcBorders>
            <w:noWrap/>
            <w:vAlign w:val="center"/>
            <w:hideMark/>
          </w:tcPr>
          <w:p w14:paraId="59839104"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1.3%</w:t>
            </w:r>
          </w:p>
        </w:tc>
      </w:tr>
      <w:tr w:rsidR="002807ED" w:rsidRPr="002807ED" w14:paraId="430066F3" w14:textId="77777777" w:rsidTr="00056974">
        <w:trPr>
          <w:trHeight w:val="362"/>
        </w:trPr>
        <w:tc>
          <w:tcPr>
            <w:tcW w:w="1441" w:type="dxa"/>
            <w:vMerge/>
            <w:tcBorders>
              <w:top w:val="nil"/>
              <w:left w:val="single" w:sz="4" w:space="0" w:color="auto"/>
              <w:bottom w:val="single" w:sz="4" w:space="0" w:color="auto"/>
              <w:right w:val="single" w:sz="4" w:space="0" w:color="auto"/>
            </w:tcBorders>
            <w:vAlign w:val="center"/>
            <w:hideMark/>
          </w:tcPr>
          <w:p w14:paraId="06E554BE"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tcBorders>
              <w:top w:val="nil"/>
              <w:left w:val="nil"/>
              <w:bottom w:val="single" w:sz="4" w:space="0" w:color="auto"/>
              <w:right w:val="single" w:sz="4" w:space="0" w:color="auto"/>
            </w:tcBorders>
            <w:noWrap/>
            <w:vAlign w:val="center"/>
            <w:hideMark/>
          </w:tcPr>
          <w:p w14:paraId="26F0A9AF"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96.4%</w:t>
            </w:r>
          </w:p>
        </w:tc>
        <w:tc>
          <w:tcPr>
            <w:tcW w:w="1441" w:type="dxa"/>
            <w:tcBorders>
              <w:top w:val="nil"/>
              <w:left w:val="nil"/>
              <w:bottom w:val="single" w:sz="4" w:space="0" w:color="auto"/>
              <w:right w:val="single" w:sz="4" w:space="0" w:color="auto"/>
            </w:tcBorders>
            <w:noWrap/>
            <w:vAlign w:val="center"/>
            <w:hideMark/>
          </w:tcPr>
          <w:p w14:paraId="79AA5BF0"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85.9%</w:t>
            </w:r>
          </w:p>
        </w:tc>
        <w:tc>
          <w:tcPr>
            <w:tcW w:w="1441" w:type="dxa"/>
            <w:tcBorders>
              <w:top w:val="nil"/>
              <w:left w:val="nil"/>
              <w:bottom w:val="single" w:sz="4" w:space="0" w:color="auto"/>
              <w:right w:val="nil"/>
            </w:tcBorders>
            <w:noWrap/>
            <w:vAlign w:val="center"/>
            <w:hideMark/>
          </w:tcPr>
          <w:p w14:paraId="1795FD54"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81.1%</w:t>
            </w:r>
          </w:p>
        </w:tc>
        <w:tc>
          <w:tcPr>
            <w:tcW w:w="1441" w:type="dxa"/>
            <w:vMerge/>
            <w:tcBorders>
              <w:top w:val="nil"/>
              <w:left w:val="double" w:sz="6" w:space="0" w:color="auto"/>
              <w:bottom w:val="single" w:sz="4" w:space="0" w:color="auto"/>
              <w:right w:val="single" w:sz="4" w:space="0" w:color="auto"/>
            </w:tcBorders>
            <w:vAlign w:val="center"/>
            <w:hideMark/>
          </w:tcPr>
          <w:p w14:paraId="70242BCC"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vMerge/>
            <w:tcBorders>
              <w:top w:val="nil"/>
              <w:left w:val="single" w:sz="4" w:space="0" w:color="auto"/>
              <w:bottom w:val="single" w:sz="4" w:space="0" w:color="auto"/>
              <w:right w:val="single" w:sz="4" w:space="0" w:color="auto"/>
            </w:tcBorders>
            <w:vAlign w:val="center"/>
            <w:hideMark/>
          </w:tcPr>
          <w:p w14:paraId="36B1185D"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r>
      <w:tr w:rsidR="002807ED" w:rsidRPr="002807ED" w14:paraId="07CAA5EF" w14:textId="77777777" w:rsidTr="00056974">
        <w:trPr>
          <w:trHeight w:val="362"/>
        </w:trPr>
        <w:tc>
          <w:tcPr>
            <w:tcW w:w="1441" w:type="dxa"/>
            <w:vMerge w:val="restart"/>
            <w:tcBorders>
              <w:top w:val="nil"/>
              <w:left w:val="single" w:sz="4" w:space="0" w:color="auto"/>
              <w:bottom w:val="single" w:sz="4" w:space="0" w:color="auto"/>
              <w:right w:val="single" w:sz="4" w:space="0" w:color="auto"/>
            </w:tcBorders>
            <w:noWrap/>
            <w:vAlign w:val="center"/>
            <w:hideMark/>
          </w:tcPr>
          <w:p w14:paraId="017A56D7" w14:textId="77777777" w:rsidR="002807ED" w:rsidRPr="002807ED" w:rsidRDefault="002807ED" w:rsidP="002807ED">
            <w:pPr>
              <w:widowControl/>
              <w:spacing w:after="0" w:line="240" w:lineRule="auto"/>
              <w:jc w:val="center"/>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總計</w:t>
            </w:r>
          </w:p>
        </w:tc>
        <w:tc>
          <w:tcPr>
            <w:tcW w:w="1441" w:type="dxa"/>
            <w:tcBorders>
              <w:top w:val="nil"/>
              <w:left w:val="nil"/>
              <w:bottom w:val="single" w:sz="4" w:space="0" w:color="auto"/>
              <w:right w:val="single" w:sz="4" w:space="0" w:color="auto"/>
            </w:tcBorders>
            <w:noWrap/>
            <w:vAlign w:val="center"/>
            <w:hideMark/>
          </w:tcPr>
          <w:p w14:paraId="4D62326C"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113,578 </w:t>
            </w:r>
          </w:p>
        </w:tc>
        <w:tc>
          <w:tcPr>
            <w:tcW w:w="1441" w:type="dxa"/>
            <w:tcBorders>
              <w:top w:val="nil"/>
              <w:left w:val="nil"/>
              <w:bottom w:val="single" w:sz="4" w:space="0" w:color="auto"/>
              <w:right w:val="single" w:sz="4" w:space="0" w:color="auto"/>
            </w:tcBorders>
            <w:noWrap/>
            <w:vAlign w:val="center"/>
            <w:hideMark/>
          </w:tcPr>
          <w:p w14:paraId="4B353B8B"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147,636 </w:t>
            </w:r>
          </w:p>
        </w:tc>
        <w:tc>
          <w:tcPr>
            <w:tcW w:w="1441" w:type="dxa"/>
            <w:tcBorders>
              <w:top w:val="nil"/>
              <w:left w:val="nil"/>
              <w:bottom w:val="single" w:sz="4" w:space="0" w:color="auto"/>
              <w:right w:val="nil"/>
            </w:tcBorders>
            <w:noWrap/>
            <w:vAlign w:val="center"/>
            <w:hideMark/>
          </w:tcPr>
          <w:p w14:paraId="543A0E6C"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 xml:space="preserve">158,345 </w:t>
            </w:r>
          </w:p>
        </w:tc>
        <w:tc>
          <w:tcPr>
            <w:tcW w:w="1441" w:type="dxa"/>
            <w:vMerge w:val="restart"/>
            <w:tcBorders>
              <w:top w:val="nil"/>
              <w:left w:val="double" w:sz="6" w:space="0" w:color="auto"/>
              <w:bottom w:val="single" w:sz="4" w:space="0" w:color="auto"/>
              <w:right w:val="single" w:sz="4" w:space="0" w:color="auto"/>
            </w:tcBorders>
            <w:noWrap/>
            <w:vAlign w:val="center"/>
            <w:hideMark/>
          </w:tcPr>
          <w:p w14:paraId="524837A6"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30.0%</w:t>
            </w:r>
          </w:p>
        </w:tc>
        <w:tc>
          <w:tcPr>
            <w:tcW w:w="1441" w:type="dxa"/>
            <w:vMerge w:val="restart"/>
            <w:tcBorders>
              <w:top w:val="nil"/>
              <w:left w:val="single" w:sz="4" w:space="0" w:color="auto"/>
              <w:bottom w:val="single" w:sz="4" w:space="0" w:color="auto"/>
              <w:right w:val="single" w:sz="4" w:space="0" w:color="auto"/>
            </w:tcBorders>
            <w:noWrap/>
            <w:vAlign w:val="center"/>
            <w:hideMark/>
          </w:tcPr>
          <w:p w14:paraId="378BC328"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7.3%</w:t>
            </w:r>
          </w:p>
        </w:tc>
      </w:tr>
      <w:tr w:rsidR="002807ED" w:rsidRPr="002807ED" w14:paraId="7E77C4E2" w14:textId="77777777" w:rsidTr="00056974">
        <w:trPr>
          <w:trHeight w:val="362"/>
        </w:trPr>
        <w:tc>
          <w:tcPr>
            <w:tcW w:w="1441" w:type="dxa"/>
            <w:vMerge/>
            <w:tcBorders>
              <w:top w:val="nil"/>
              <w:left w:val="single" w:sz="4" w:space="0" w:color="auto"/>
              <w:bottom w:val="single" w:sz="4" w:space="0" w:color="auto"/>
              <w:right w:val="single" w:sz="4" w:space="0" w:color="auto"/>
            </w:tcBorders>
            <w:vAlign w:val="center"/>
            <w:hideMark/>
          </w:tcPr>
          <w:p w14:paraId="044C717C"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tcBorders>
              <w:top w:val="nil"/>
              <w:left w:val="nil"/>
              <w:bottom w:val="single" w:sz="4" w:space="0" w:color="auto"/>
              <w:right w:val="single" w:sz="4" w:space="0" w:color="auto"/>
            </w:tcBorders>
            <w:noWrap/>
            <w:vAlign w:val="center"/>
            <w:hideMark/>
          </w:tcPr>
          <w:p w14:paraId="03AA433E"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100%</w:t>
            </w:r>
          </w:p>
        </w:tc>
        <w:tc>
          <w:tcPr>
            <w:tcW w:w="1441" w:type="dxa"/>
            <w:tcBorders>
              <w:top w:val="nil"/>
              <w:left w:val="nil"/>
              <w:bottom w:val="single" w:sz="4" w:space="0" w:color="auto"/>
              <w:right w:val="single" w:sz="4" w:space="0" w:color="auto"/>
            </w:tcBorders>
            <w:noWrap/>
            <w:vAlign w:val="center"/>
            <w:hideMark/>
          </w:tcPr>
          <w:p w14:paraId="35E266E8"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100%</w:t>
            </w:r>
          </w:p>
        </w:tc>
        <w:tc>
          <w:tcPr>
            <w:tcW w:w="1441" w:type="dxa"/>
            <w:tcBorders>
              <w:top w:val="nil"/>
              <w:left w:val="nil"/>
              <w:bottom w:val="single" w:sz="4" w:space="0" w:color="auto"/>
              <w:right w:val="nil"/>
            </w:tcBorders>
            <w:noWrap/>
            <w:vAlign w:val="center"/>
            <w:hideMark/>
          </w:tcPr>
          <w:p w14:paraId="4992B3C3" w14:textId="77777777" w:rsidR="002807ED" w:rsidRPr="002807ED" w:rsidRDefault="002807ED" w:rsidP="002807ED">
            <w:pPr>
              <w:widowControl/>
              <w:spacing w:after="0" w:line="240" w:lineRule="auto"/>
              <w:jc w:val="right"/>
              <w:rPr>
                <w:rFonts w:ascii="標楷體" w:eastAsia="標楷體" w:hAnsi="標楷體" w:cs="新細明體"/>
                <w:color w:val="000000"/>
                <w:kern w:val="0"/>
                <w:sz w:val="27"/>
                <w:szCs w:val="27"/>
                <w14:ligatures w14:val="none"/>
              </w:rPr>
            </w:pPr>
            <w:r w:rsidRPr="002807ED">
              <w:rPr>
                <w:rFonts w:ascii="標楷體" w:eastAsia="標楷體" w:hAnsi="標楷體" w:cs="新細明體" w:hint="eastAsia"/>
                <w:color w:val="000000"/>
                <w:kern w:val="0"/>
                <w:sz w:val="27"/>
                <w:szCs w:val="27"/>
                <w14:ligatures w14:val="none"/>
              </w:rPr>
              <w:t>100%</w:t>
            </w:r>
          </w:p>
        </w:tc>
        <w:tc>
          <w:tcPr>
            <w:tcW w:w="1441" w:type="dxa"/>
            <w:vMerge/>
            <w:tcBorders>
              <w:top w:val="nil"/>
              <w:left w:val="double" w:sz="6" w:space="0" w:color="auto"/>
              <w:bottom w:val="single" w:sz="4" w:space="0" w:color="auto"/>
              <w:right w:val="single" w:sz="4" w:space="0" w:color="auto"/>
            </w:tcBorders>
            <w:vAlign w:val="center"/>
            <w:hideMark/>
          </w:tcPr>
          <w:p w14:paraId="1C0725BF"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c>
          <w:tcPr>
            <w:tcW w:w="1441" w:type="dxa"/>
            <w:vMerge/>
            <w:tcBorders>
              <w:top w:val="nil"/>
              <w:left w:val="single" w:sz="4" w:space="0" w:color="auto"/>
              <w:bottom w:val="single" w:sz="4" w:space="0" w:color="auto"/>
              <w:right w:val="single" w:sz="4" w:space="0" w:color="auto"/>
            </w:tcBorders>
            <w:vAlign w:val="center"/>
            <w:hideMark/>
          </w:tcPr>
          <w:p w14:paraId="593FC50F" w14:textId="77777777" w:rsidR="002807ED" w:rsidRPr="002807ED" w:rsidRDefault="002807ED" w:rsidP="002807ED">
            <w:pPr>
              <w:widowControl/>
              <w:spacing w:after="0" w:line="240" w:lineRule="auto"/>
              <w:rPr>
                <w:rFonts w:ascii="標楷體" w:eastAsia="標楷體" w:hAnsi="標楷體" w:cs="新細明體"/>
                <w:color w:val="000000"/>
                <w:kern w:val="0"/>
                <w:sz w:val="27"/>
                <w:szCs w:val="27"/>
                <w14:ligatures w14:val="none"/>
              </w:rPr>
            </w:pPr>
          </w:p>
        </w:tc>
      </w:tr>
    </w:tbl>
    <w:p w14:paraId="055A0B40" w14:textId="096E6C2F" w:rsidR="00D3058A" w:rsidRDefault="00734555" w:rsidP="00B354BA">
      <w:pPr>
        <w:spacing w:beforeLines="50" w:before="120" w:after="400"/>
        <w:ind w:firstLineChars="200" w:firstLine="540"/>
        <w:jc w:val="both"/>
        <w:rPr>
          <w:rFonts w:ascii="標楷體" w:eastAsia="標楷體" w:hAnsi="標楷體"/>
          <w:sz w:val="27"/>
          <w:szCs w:val="27"/>
        </w:rPr>
      </w:pPr>
      <w:r w:rsidRPr="00734555">
        <w:rPr>
          <w:rFonts w:ascii="標楷體" w:eastAsia="標楷體" w:hAnsi="標楷體" w:hint="eastAsia"/>
          <w:sz w:val="27"/>
          <w:szCs w:val="27"/>
        </w:rPr>
        <w:t>114年臺東縣市區客運定期票的使用仍以非定期票為多數，此身分搭乘人次為128,398人，佔比81.1%。而由政府推動的TPASS 臺東 299定期票，此身分搭乘人次為29,947 人，佔比為 18.9%。其明確反映出定期票在臺東使用者有一定數量之人群，但整體市場仍有超過八成的使用者尚未</w:t>
      </w:r>
      <w:r w:rsidRPr="00734555">
        <w:rPr>
          <w:rFonts w:ascii="標楷體" w:eastAsia="標楷體" w:hAnsi="標楷體" w:hint="eastAsia"/>
          <w:sz w:val="27"/>
          <w:szCs w:val="27"/>
        </w:rPr>
        <w:lastRenderedPageBreak/>
        <w:t>成為定期票用戶，依舊含有成長空間。由表2.</w:t>
      </w:r>
      <w:r>
        <w:rPr>
          <w:rFonts w:ascii="標楷體" w:eastAsia="標楷體" w:hAnsi="標楷體" w:hint="eastAsia"/>
          <w:sz w:val="27"/>
          <w:szCs w:val="27"/>
        </w:rPr>
        <w:t>4</w:t>
      </w:r>
      <w:r w:rsidRPr="00734555">
        <w:rPr>
          <w:rFonts w:ascii="標楷體" w:eastAsia="標楷體" w:hAnsi="標楷體" w:hint="eastAsia"/>
          <w:sz w:val="27"/>
          <w:szCs w:val="27"/>
        </w:rPr>
        <w:t>.1可知臺東 299在112 年僅有 4,071搭乘人次，至 113 年增加至 20,893 人次，年成長率高達413.2%。進入 114 年，該方案持續成長至29,947搭乘人次，年成長率維持在43.3%。相較之下非定期票 114 年的成長率僅為1.3%，顯示臺東客運運量已逐漸轉向至定期票。定期票的成長與政策宣傳及 TPASS 普及化進程逐年吻合。表中最高點出現在 114 年的定期票人次的29,947人，而最低點則是 112 年方案試行時的4,071人次。由於定期票鎖定通勤與通學的需求，其波動幅度相對於受觀光季節影響較大的非定期票更穩定。</w:t>
      </w:r>
    </w:p>
    <w:p w14:paraId="267947E5" w14:textId="3EB45585" w:rsidR="00EF605B" w:rsidRPr="00EF605B" w:rsidRDefault="00EF605B" w:rsidP="00EF605B">
      <w:pPr>
        <w:spacing w:beforeLines="50" w:before="120" w:after="400"/>
        <w:jc w:val="both"/>
        <w:rPr>
          <w:rFonts w:ascii="標楷體" w:eastAsia="標楷體" w:hAnsi="標楷體"/>
          <w:b/>
          <w:bCs/>
          <w:sz w:val="27"/>
          <w:szCs w:val="27"/>
        </w:rPr>
      </w:pPr>
      <w:r>
        <w:rPr>
          <w:rFonts w:ascii="標楷體" w:eastAsia="標楷體" w:hAnsi="標楷體" w:hint="eastAsia"/>
          <w:b/>
          <w:bCs/>
          <w:sz w:val="27"/>
          <w:szCs w:val="27"/>
        </w:rPr>
        <w:t>2</w:t>
      </w:r>
      <w:r w:rsidRPr="00EF605B">
        <w:rPr>
          <w:rFonts w:ascii="標楷體" w:eastAsia="標楷體" w:hAnsi="標楷體" w:hint="eastAsia"/>
          <w:b/>
          <w:bCs/>
          <w:sz w:val="27"/>
          <w:szCs w:val="27"/>
        </w:rPr>
        <w:t>.5 小結</w:t>
      </w:r>
    </w:p>
    <w:p w14:paraId="6DC4AA6B" w14:textId="77777777" w:rsidR="00E027DE" w:rsidRPr="00E027DE" w:rsidRDefault="00E027DE" w:rsidP="00B354BA">
      <w:pPr>
        <w:spacing w:beforeLines="50" w:before="120" w:after="400"/>
        <w:ind w:firstLineChars="200" w:firstLine="540"/>
        <w:jc w:val="both"/>
        <w:rPr>
          <w:rFonts w:ascii="標楷體" w:eastAsia="標楷體" w:hAnsi="標楷體" w:hint="eastAsia"/>
          <w:sz w:val="27"/>
          <w:szCs w:val="27"/>
        </w:rPr>
      </w:pPr>
      <w:r w:rsidRPr="00E027DE">
        <w:rPr>
          <w:rFonts w:ascii="標楷體" w:eastAsia="標楷體" w:hAnsi="標楷體" w:hint="eastAsia"/>
          <w:sz w:val="27"/>
          <w:szCs w:val="27"/>
        </w:rPr>
        <w:t>綜合以上112年至114年間臺東縣市區客運運量趨勢呈現穩定且持續成長，與花蓮縣因天災衝擊所出現的下滑形成鮮明對比。整體運量由112年的低點逐步攀升，113年為關鍵成長點，顯示路線調整、政策推動與觀光活動逐漸發酵，成功帶動公共運輸使用需求。</w:t>
      </w:r>
    </w:p>
    <w:p w14:paraId="2CCABAD1" w14:textId="5234EF2A" w:rsidR="00E027DE" w:rsidRPr="00E027DE" w:rsidRDefault="00E027DE" w:rsidP="00E027DE">
      <w:pPr>
        <w:spacing w:beforeLines="50" w:before="120" w:after="400"/>
        <w:jc w:val="both"/>
        <w:rPr>
          <w:rFonts w:ascii="標楷體" w:eastAsia="標楷體" w:hAnsi="標楷體" w:hint="eastAsia"/>
          <w:sz w:val="27"/>
          <w:szCs w:val="27"/>
        </w:rPr>
      </w:pPr>
      <w:r w:rsidRPr="00E027DE">
        <w:rPr>
          <w:rFonts w:ascii="標楷體" w:eastAsia="標楷體" w:hAnsi="標楷體" w:hint="eastAsia"/>
          <w:sz w:val="27"/>
          <w:szCs w:val="27"/>
        </w:rPr>
        <w:t xml:space="preserve">    在運量結構上，臺東客運逐漸由傳統社福需求縮減，直至發現一般通勤族佔比微升，其中普通票（含TPASS）佔比持續提升，成為主要來源；相對而言，學生票與部分優待票的佔比則略為下降，反映人口結構與使用習慣的轉變。同時，定期票的快速成長不僅顯示政策推廣具體成效，也代表民眾逐漸考慮穩定的通勤使用模式。</w:t>
      </w:r>
    </w:p>
    <w:p w14:paraId="6EB81136" w14:textId="57EE8AB1" w:rsidR="00EF605B" w:rsidRPr="00BF198E" w:rsidRDefault="00E027DE" w:rsidP="005A33C9">
      <w:pPr>
        <w:spacing w:beforeLines="50" w:before="120" w:after="400"/>
        <w:ind w:firstLineChars="200" w:firstLine="540"/>
        <w:jc w:val="both"/>
        <w:rPr>
          <w:rFonts w:ascii="標楷體" w:eastAsia="標楷體" w:hAnsi="標楷體" w:hint="eastAsia"/>
          <w:sz w:val="27"/>
          <w:szCs w:val="27"/>
        </w:rPr>
      </w:pPr>
      <w:r w:rsidRPr="00E027DE">
        <w:rPr>
          <w:rFonts w:ascii="標楷體" w:eastAsia="標楷體" w:hAnsi="標楷體" w:hint="eastAsia"/>
          <w:sz w:val="27"/>
          <w:szCs w:val="27"/>
        </w:rPr>
        <w:t>從時間分布來看，臺東市區客運具有的季節性特徵，可能受觀光旺季、節慶活動與學期變動影響，呈現規律性的高低峰，但整體趨勢仍維持向上。而且路線調整雖在短期內造成部分運量分散，但長期而言有助於完善市區路網與擴展服務範圍。整體而言，臺東縣市區客運在政策TPASS定期票、觀光活動與路線優化的帶動下，不僅提升了運量規模，也展現出良好的成長潛力，推動地方公共運輸發展。</w:t>
      </w:r>
    </w:p>
    <w:sectPr w:rsidR="00EF605B" w:rsidRPr="00BF198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8FE2E" w14:textId="77777777" w:rsidR="00495BA1" w:rsidRDefault="00495BA1" w:rsidP="00C63606">
      <w:pPr>
        <w:spacing w:after="0" w:line="240" w:lineRule="auto"/>
      </w:pPr>
      <w:r>
        <w:separator/>
      </w:r>
    </w:p>
  </w:endnote>
  <w:endnote w:type="continuationSeparator" w:id="0">
    <w:p w14:paraId="6BF3C42D" w14:textId="77777777" w:rsidR="00495BA1" w:rsidRDefault="00495BA1" w:rsidP="00C63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937ED" w14:textId="77777777" w:rsidR="00495BA1" w:rsidRDefault="00495BA1" w:rsidP="00C63606">
      <w:pPr>
        <w:spacing w:after="0" w:line="240" w:lineRule="auto"/>
      </w:pPr>
      <w:r>
        <w:separator/>
      </w:r>
    </w:p>
  </w:footnote>
  <w:footnote w:type="continuationSeparator" w:id="0">
    <w:p w14:paraId="7E10C638" w14:textId="77777777" w:rsidR="00495BA1" w:rsidRDefault="00495BA1" w:rsidP="00C636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00A9"/>
    <w:multiLevelType w:val="hybridMultilevel"/>
    <w:tmpl w:val="F7E6FACC"/>
    <w:lvl w:ilvl="0" w:tplc="5178D44C">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7841F8D"/>
    <w:multiLevelType w:val="hybridMultilevel"/>
    <w:tmpl w:val="23222638"/>
    <w:lvl w:ilvl="0" w:tplc="FFFFFFFF">
      <w:start w:val="1"/>
      <w:numFmt w:val="decimal"/>
      <w:lvlText w:val="第%1章"/>
      <w:lvlJc w:val="left"/>
      <w:pPr>
        <w:ind w:left="1790" w:hanging="840"/>
      </w:pPr>
      <w:rPr>
        <w:rFonts w:hint="default"/>
      </w:rPr>
    </w:lvl>
    <w:lvl w:ilvl="1" w:tplc="FFFFFFFF" w:tentative="1">
      <w:start w:val="1"/>
      <w:numFmt w:val="ideographTraditional"/>
      <w:lvlText w:val="%2、"/>
      <w:lvlJc w:val="left"/>
      <w:pPr>
        <w:ind w:left="1910" w:hanging="480"/>
      </w:pPr>
    </w:lvl>
    <w:lvl w:ilvl="2" w:tplc="FFFFFFFF" w:tentative="1">
      <w:start w:val="1"/>
      <w:numFmt w:val="lowerRoman"/>
      <w:lvlText w:val="%3."/>
      <w:lvlJc w:val="right"/>
      <w:pPr>
        <w:ind w:left="2390" w:hanging="480"/>
      </w:pPr>
    </w:lvl>
    <w:lvl w:ilvl="3" w:tplc="FFFFFFFF" w:tentative="1">
      <w:start w:val="1"/>
      <w:numFmt w:val="decimal"/>
      <w:lvlText w:val="%4."/>
      <w:lvlJc w:val="left"/>
      <w:pPr>
        <w:ind w:left="2870" w:hanging="480"/>
      </w:pPr>
    </w:lvl>
    <w:lvl w:ilvl="4" w:tplc="FFFFFFFF" w:tentative="1">
      <w:start w:val="1"/>
      <w:numFmt w:val="ideographTraditional"/>
      <w:lvlText w:val="%5、"/>
      <w:lvlJc w:val="left"/>
      <w:pPr>
        <w:ind w:left="3350" w:hanging="480"/>
      </w:pPr>
    </w:lvl>
    <w:lvl w:ilvl="5" w:tplc="FFFFFFFF" w:tentative="1">
      <w:start w:val="1"/>
      <w:numFmt w:val="lowerRoman"/>
      <w:lvlText w:val="%6."/>
      <w:lvlJc w:val="right"/>
      <w:pPr>
        <w:ind w:left="3830" w:hanging="480"/>
      </w:pPr>
    </w:lvl>
    <w:lvl w:ilvl="6" w:tplc="FFFFFFFF" w:tentative="1">
      <w:start w:val="1"/>
      <w:numFmt w:val="decimal"/>
      <w:lvlText w:val="%7."/>
      <w:lvlJc w:val="left"/>
      <w:pPr>
        <w:ind w:left="4310" w:hanging="480"/>
      </w:pPr>
    </w:lvl>
    <w:lvl w:ilvl="7" w:tplc="FFFFFFFF" w:tentative="1">
      <w:start w:val="1"/>
      <w:numFmt w:val="ideographTraditional"/>
      <w:lvlText w:val="%8、"/>
      <w:lvlJc w:val="left"/>
      <w:pPr>
        <w:ind w:left="4790" w:hanging="480"/>
      </w:pPr>
    </w:lvl>
    <w:lvl w:ilvl="8" w:tplc="FFFFFFFF" w:tentative="1">
      <w:start w:val="1"/>
      <w:numFmt w:val="lowerRoman"/>
      <w:lvlText w:val="%9."/>
      <w:lvlJc w:val="right"/>
      <w:pPr>
        <w:ind w:left="5270" w:hanging="480"/>
      </w:pPr>
    </w:lvl>
  </w:abstractNum>
  <w:abstractNum w:abstractNumId="2" w15:restartNumberingAfterBreak="0">
    <w:nsid w:val="742165E7"/>
    <w:multiLevelType w:val="hybridMultilevel"/>
    <w:tmpl w:val="23222638"/>
    <w:lvl w:ilvl="0" w:tplc="B8867154">
      <w:start w:val="1"/>
      <w:numFmt w:val="decimal"/>
      <w:lvlText w:val="第%1章"/>
      <w:lvlJc w:val="left"/>
      <w:pPr>
        <w:ind w:left="1790" w:hanging="84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num w:numId="1" w16cid:durableId="105781083">
    <w:abstractNumId w:val="0"/>
  </w:num>
  <w:num w:numId="2" w16cid:durableId="708335176">
    <w:abstractNumId w:val="2"/>
  </w:num>
  <w:num w:numId="3" w16cid:durableId="391082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1D"/>
    <w:rsid w:val="000464D4"/>
    <w:rsid w:val="00056974"/>
    <w:rsid w:val="000572B4"/>
    <w:rsid w:val="00061D92"/>
    <w:rsid w:val="000B3F5F"/>
    <w:rsid w:val="000E1665"/>
    <w:rsid w:val="00110D0F"/>
    <w:rsid w:val="00122671"/>
    <w:rsid w:val="00123E89"/>
    <w:rsid w:val="0014375D"/>
    <w:rsid w:val="001545D4"/>
    <w:rsid w:val="00167FC3"/>
    <w:rsid w:val="00174F6E"/>
    <w:rsid w:val="00187298"/>
    <w:rsid w:val="001A0862"/>
    <w:rsid w:val="001A0D51"/>
    <w:rsid w:val="0020252A"/>
    <w:rsid w:val="00230893"/>
    <w:rsid w:val="00233200"/>
    <w:rsid w:val="002513D8"/>
    <w:rsid w:val="002520AE"/>
    <w:rsid w:val="002807ED"/>
    <w:rsid w:val="00283491"/>
    <w:rsid w:val="002A5628"/>
    <w:rsid w:val="002B4115"/>
    <w:rsid w:val="002C1E47"/>
    <w:rsid w:val="002C5924"/>
    <w:rsid w:val="002C6257"/>
    <w:rsid w:val="002D665D"/>
    <w:rsid w:val="002F66A5"/>
    <w:rsid w:val="003364E1"/>
    <w:rsid w:val="003755F8"/>
    <w:rsid w:val="003E2DC0"/>
    <w:rsid w:val="003F592C"/>
    <w:rsid w:val="00401713"/>
    <w:rsid w:val="004128B9"/>
    <w:rsid w:val="0045746B"/>
    <w:rsid w:val="00481B3C"/>
    <w:rsid w:val="00495BA1"/>
    <w:rsid w:val="00496BF5"/>
    <w:rsid w:val="004B6812"/>
    <w:rsid w:val="004C38D1"/>
    <w:rsid w:val="004C7267"/>
    <w:rsid w:val="004C7684"/>
    <w:rsid w:val="004D0159"/>
    <w:rsid w:val="00500CD6"/>
    <w:rsid w:val="005211A8"/>
    <w:rsid w:val="00546D80"/>
    <w:rsid w:val="005541BE"/>
    <w:rsid w:val="00572800"/>
    <w:rsid w:val="00595B96"/>
    <w:rsid w:val="005A33C9"/>
    <w:rsid w:val="005A369D"/>
    <w:rsid w:val="005A7C0B"/>
    <w:rsid w:val="005C0025"/>
    <w:rsid w:val="005D17FE"/>
    <w:rsid w:val="00615C79"/>
    <w:rsid w:val="0063351D"/>
    <w:rsid w:val="00696402"/>
    <w:rsid w:val="006B3524"/>
    <w:rsid w:val="00702CA2"/>
    <w:rsid w:val="00712D88"/>
    <w:rsid w:val="00734555"/>
    <w:rsid w:val="00744FB1"/>
    <w:rsid w:val="00764555"/>
    <w:rsid w:val="007838FB"/>
    <w:rsid w:val="00791619"/>
    <w:rsid w:val="00791BDC"/>
    <w:rsid w:val="007D4DA8"/>
    <w:rsid w:val="007E0AB3"/>
    <w:rsid w:val="007F2071"/>
    <w:rsid w:val="007F3BDC"/>
    <w:rsid w:val="00877CA7"/>
    <w:rsid w:val="008B0271"/>
    <w:rsid w:val="008B6854"/>
    <w:rsid w:val="008E3CED"/>
    <w:rsid w:val="00911C1F"/>
    <w:rsid w:val="00924A8C"/>
    <w:rsid w:val="0093444B"/>
    <w:rsid w:val="00940C6E"/>
    <w:rsid w:val="00961E18"/>
    <w:rsid w:val="009B6523"/>
    <w:rsid w:val="009C2846"/>
    <w:rsid w:val="009D1703"/>
    <w:rsid w:val="009E23CF"/>
    <w:rsid w:val="009E3088"/>
    <w:rsid w:val="00A0625D"/>
    <w:rsid w:val="00A254A5"/>
    <w:rsid w:val="00A35647"/>
    <w:rsid w:val="00A71F00"/>
    <w:rsid w:val="00AA34D8"/>
    <w:rsid w:val="00AA5BC4"/>
    <w:rsid w:val="00AE6F92"/>
    <w:rsid w:val="00B226A7"/>
    <w:rsid w:val="00B354BA"/>
    <w:rsid w:val="00B35DF7"/>
    <w:rsid w:val="00B4418F"/>
    <w:rsid w:val="00BA5EC9"/>
    <w:rsid w:val="00BD0D0B"/>
    <w:rsid w:val="00BF198E"/>
    <w:rsid w:val="00C0444C"/>
    <w:rsid w:val="00C05A57"/>
    <w:rsid w:val="00C44CFD"/>
    <w:rsid w:val="00C63606"/>
    <w:rsid w:val="00C761D6"/>
    <w:rsid w:val="00CA745A"/>
    <w:rsid w:val="00CC173A"/>
    <w:rsid w:val="00CF3CFF"/>
    <w:rsid w:val="00D3058A"/>
    <w:rsid w:val="00D31952"/>
    <w:rsid w:val="00D6799A"/>
    <w:rsid w:val="00D772F4"/>
    <w:rsid w:val="00D7766E"/>
    <w:rsid w:val="00D9457F"/>
    <w:rsid w:val="00DD04B5"/>
    <w:rsid w:val="00DD3FBE"/>
    <w:rsid w:val="00E0065F"/>
    <w:rsid w:val="00E027DE"/>
    <w:rsid w:val="00E077AA"/>
    <w:rsid w:val="00E17AB9"/>
    <w:rsid w:val="00E46A84"/>
    <w:rsid w:val="00E46AD5"/>
    <w:rsid w:val="00E809D1"/>
    <w:rsid w:val="00EE6499"/>
    <w:rsid w:val="00EF605B"/>
    <w:rsid w:val="00F33ACB"/>
    <w:rsid w:val="00F3648B"/>
    <w:rsid w:val="00F55CEA"/>
    <w:rsid w:val="00F63746"/>
    <w:rsid w:val="00FC2369"/>
    <w:rsid w:val="00FD79E7"/>
    <w:rsid w:val="00FE2B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80BD6"/>
  <w15:chartTrackingRefBased/>
  <w15:docId w15:val="{81B01A4E-63CD-4D8B-AD43-FE61F1E4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605B"/>
    <w:pPr>
      <w:widowControl w:val="0"/>
    </w:pPr>
  </w:style>
  <w:style w:type="paragraph" w:styleId="1">
    <w:name w:val="heading 1"/>
    <w:basedOn w:val="a"/>
    <w:next w:val="a"/>
    <w:link w:val="10"/>
    <w:uiPriority w:val="9"/>
    <w:qFormat/>
    <w:rsid w:val="006335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35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351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3351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35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351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351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351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351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351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3351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3351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3351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351D"/>
    <w:rPr>
      <w:rFonts w:eastAsiaTheme="majorEastAsia" w:cstheme="majorBidi"/>
      <w:color w:val="0F4761" w:themeColor="accent1" w:themeShade="BF"/>
    </w:rPr>
  </w:style>
  <w:style w:type="character" w:customStyle="1" w:styleId="60">
    <w:name w:val="標題 6 字元"/>
    <w:basedOn w:val="a0"/>
    <w:link w:val="6"/>
    <w:uiPriority w:val="9"/>
    <w:semiHidden/>
    <w:rsid w:val="0063351D"/>
    <w:rPr>
      <w:rFonts w:eastAsiaTheme="majorEastAsia" w:cstheme="majorBidi"/>
      <w:color w:val="595959" w:themeColor="text1" w:themeTint="A6"/>
    </w:rPr>
  </w:style>
  <w:style w:type="character" w:customStyle="1" w:styleId="70">
    <w:name w:val="標題 7 字元"/>
    <w:basedOn w:val="a0"/>
    <w:link w:val="7"/>
    <w:uiPriority w:val="9"/>
    <w:semiHidden/>
    <w:rsid w:val="0063351D"/>
    <w:rPr>
      <w:rFonts w:eastAsiaTheme="majorEastAsia" w:cstheme="majorBidi"/>
      <w:color w:val="595959" w:themeColor="text1" w:themeTint="A6"/>
    </w:rPr>
  </w:style>
  <w:style w:type="character" w:customStyle="1" w:styleId="80">
    <w:name w:val="標題 8 字元"/>
    <w:basedOn w:val="a0"/>
    <w:link w:val="8"/>
    <w:uiPriority w:val="9"/>
    <w:semiHidden/>
    <w:rsid w:val="0063351D"/>
    <w:rPr>
      <w:rFonts w:eastAsiaTheme="majorEastAsia" w:cstheme="majorBidi"/>
      <w:color w:val="272727" w:themeColor="text1" w:themeTint="D8"/>
    </w:rPr>
  </w:style>
  <w:style w:type="character" w:customStyle="1" w:styleId="90">
    <w:name w:val="標題 9 字元"/>
    <w:basedOn w:val="a0"/>
    <w:link w:val="9"/>
    <w:uiPriority w:val="9"/>
    <w:semiHidden/>
    <w:rsid w:val="0063351D"/>
    <w:rPr>
      <w:rFonts w:eastAsiaTheme="majorEastAsia" w:cstheme="majorBidi"/>
      <w:color w:val="272727" w:themeColor="text1" w:themeTint="D8"/>
    </w:rPr>
  </w:style>
  <w:style w:type="paragraph" w:styleId="a3">
    <w:name w:val="Title"/>
    <w:basedOn w:val="a"/>
    <w:next w:val="a"/>
    <w:link w:val="a4"/>
    <w:uiPriority w:val="10"/>
    <w:qFormat/>
    <w:rsid w:val="006335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35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5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35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51D"/>
    <w:pPr>
      <w:spacing w:before="160"/>
      <w:jc w:val="center"/>
    </w:pPr>
    <w:rPr>
      <w:i/>
      <w:iCs/>
      <w:color w:val="404040" w:themeColor="text1" w:themeTint="BF"/>
    </w:rPr>
  </w:style>
  <w:style w:type="character" w:customStyle="1" w:styleId="a8">
    <w:name w:val="引文 字元"/>
    <w:basedOn w:val="a0"/>
    <w:link w:val="a7"/>
    <w:uiPriority w:val="29"/>
    <w:rsid w:val="0063351D"/>
    <w:rPr>
      <w:i/>
      <w:iCs/>
      <w:color w:val="404040" w:themeColor="text1" w:themeTint="BF"/>
    </w:rPr>
  </w:style>
  <w:style w:type="paragraph" w:styleId="a9">
    <w:name w:val="List Paragraph"/>
    <w:basedOn w:val="a"/>
    <w:uiPriority w:val="34"/>
    <w:qFormat/>
    <w:rsid w:val="0063351D"/>
    <w:pPr>
      <w:ind w:left="720"/>
      <w:contextualSpacing/>
    </w:pPr>
  </w:style>
  <w:style w:type="character" w:styleId="aa">
    <w:name w:val="Intense Emphasis"/>
    <w:basedOn w:val="a0"/>
    <w:uiPriority w:val="21"/>
    <w:qFormat/>
    <w:rsid w:val="0063351D"/>
    <w:rPr>
      <w:i/>
      <w:iCs/>
      <w:color w:val="0F4761" w:themeColor="accent1" w:themeShade="BF"/>
    </w:rPr>
  </w:style>
  <w:style w:type="paragraph" w:styleId="ab">
    <w:name w:val="Intense Quote"/>
    <w:basedOn w:val="a"/>
    <w:next w:val="a"/>
    <w:link w:val="ac"/>
    <w:uiPriority w:val="30"/>
    <w:qFormat/>
    <w:rsid w:val="00633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351D"/>
    <w:rPr>
      <w:i/>
      <w:iCs/>
      <w:color w:val="0F4761" w:themeColor="accent1" w:themeShade="BF"/>
    </w:rPr>
  </w:style>
  <w:style w:type="character" w:styleId="ad">
    <w:name w:val="Intense Reference"/>
    <w:basedOn w:val="a0"/>
    <w:uiPriority w:val="32"/>
    <w:qFormat/>
    <w:rsid w:val="0063351D"/>
    <w:rPr>
      <w:b/>
      <w:bCs/>
      <w:smallCaps/>
      <w:color w:val="0F4761" w:themeColor="accent1" w:themeShade="BF"/>
      <w:spacing w:val="5"/>
    </w:rPr>
  </w:style>
  <w:style w:type="paragraph" w:styleId="ae">
    <w:name w:val="header"/>
    <w:basedOn w:val="a"/>
    <w:link w:val="af"/>
    <w:uiPriority w:val="99"/>
    <w:unhideWhenUsed/>
    <w:rsid w:val="00C63606"/>
    <w:pPr>
      <w:tabs>
        <w:tab w:val="center" w:pos="4153"/>
        <w:tab w:val="right" w:pos="8306"/>
      </w:tabs>
      <w:snapToGrid w:val="0"/>
    </w:pPr>
    <w:rPr>
      <w:sz w:val="20"/>
      <w:szCs w:val="20"/>
    </w:rPr>
  </w:style>
  <w:style w:type="character" w:customStyle="1" w:styleId="af">
    <w:name w:val="頁首 字元"/>
    <w:basedOn w:val="a0"/>
    <w:link w:val="ae"/>
    <w:uiPriority w:val="99"/>
    <w:rsid w:val="00C63606"/>
    <w:rPr>
      <w:sz w:val="20"/>
      <w:szCs w:val="20"/>
    </w:rPr>
  </w:style>
  <w:style w:type="paragraph" w:styleId="af0">
    <w:name w:val="footer"/>
    <w:basedOn w:val="a"/>
    <w:link w:val="af1"/>
    <w:uiPriority w:val="99"/>
    <w:unhideWhenUsed/>
    <w:rsid w:val="00C63606"/>
    <w:pPr>
      <w:tabs>
        <w:tab w:val="center" w:pos="4153"/>
        <w:tab w:val="right" w:pos="8306"/>
      </w:tabs>
      <w:snapToGrid w:val="0"/>
    </w:pPr>
    <w:rPr>
      <w:sz w:val="20"/>
      <w:szCs w:val="20"/>
    </w:rPr>
  </w:style>
  <w:style w:type="character" w:customStyle="1" w:styleId="af1">
    <w:name w:val="頁尾 字元"/>
    <w:basedOn w:val="a0"/>
    <w:link w:val="af0"/>
    <w:uiPriority w:val="99"/>
    <w:rsid w:val="00C63606"/>
    <w:rPr>
      <w:sz w:val="20"/>
      <w:szCs w:val="20"/>
    </w:rPr>
  </w:style>
  <w:style w:type="table" w:styleId="af2">
    <w:name w:val="Table Grid"/>
    <w:aliases w:val="表格格線2,表格細,功能需求表格,地稅專用表格,標準表格格線"/>
    <w:basedOn w:val="a1"/>
    <w:uiPriority w:val="39"/>
    <w:rsid w:val="008B6854"/>
    <w:pPr>
      <w:spacing w:after="0" w:line="240" w:lineRule="auto"/>
    </w:pPr>
    <w:rPr>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DHU-">
    <w:name w:val="NDHU-圖表"/>
    <w:link w:val="NDHU-0"/>
    <w:qFormat/>
    <w:rsid w:val="008B6854"/>
    <w:pPr>
      <w:adjustRightInd w:val="0"/>
      <w:snapToGrid w:val="0"/>
      <w:spacing w:after="0" w:line="240" w:lineRule="auto"/>
      <w:jc w:val="center"/>
    </w:pPr>
    <w:rPr>
      <w:rFonts w:ascii="Times New Roman" w:eastAsia="標楷體" w:hAnsi="Times New Roman"/>
      <w:sz w:val="26"/>
      <w:szCs w:val="22"/>
      <w14:ligatures w14:val="none"/>
    </w:rPr>
  </w:style>
  <w:style w:type="character" w:customStyle="1" w:styleId="NDHU-0">
    <w:name w:val="NDHU-圖表 字元"/>
    <w:basedOn w:val="a0"/>
    <w:link w:val="NDHU-"/>
    <w:rsid w:val="008B6854"/>
    <w:rPr>
      <w:rFonts w:ascii="Times New Roman" w:eastAsia="標楷體" w:hAnsi="Times New Roman"/>
      <w:sz w:val="26"/>
      <w:szCs w:val="22"/>
      <w14:ligatures w14:val="none"/>
    </w:rPr>
  </w:style>
  <w:style w:type="paragraph" w:styleId="af3">
    <w:name w:val="caption"/>
    <w:aliases w:val="字元,圖表標號"/>
    <w:basedOn w:val="a"/>
    <w:next w:val="a"/>
    <w:link w:val="af4"/>
    <w:uiPriority w:val="35"/>
    <w:unhideWhenUsed/>
    <w:qFormat/>
    <w:rsid w:val="008B6854"/>
    <w:pPr>
      <w:spacing w:beforeLines="50" w:before="120" w:afterLines="50" w:after="120" w:line="288" w:lineRule="auto"/>
      <w:ind w:firstLineChars="200" w:firstLine="520"/>
      <w:jc w:val="both"/>
    </w:pPr>
    <w:rPr>
      <w:rFonts w:ascii="Times New Roman" w:eastAsia="標楷體" w:hAnsi="Times New Roman"/>
      <w:sz w:val="20"/>
      <w:szCs w:val="20"/>
      <w14:ligatures w14:val="none"/>
    </w:rPr>
  </w:style>
  <w:style w:type="character" w:customStyle="1" w:styleId="af4">
    <w:name w:val="標號 字元"/>
    <w:aliases w:val="字元 字元,圖表標號 字元"/>
    <w:basedOn w:val="a0"/>
    <w:link w:val="af3"/>
    <w:uiPriority w:val="35"/>
    <w:rsid w:val="008B6854"/>
    <w:rPr>
      <w:rFonts w:ascii="Times New Roman" w:eastAsia="標楷體" w:hAnsi="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AC82-88FF-4244-A499-935E99DEF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12</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語憶 徐</dc:creator>
  <cp:keywords/>
  <dc:description/>
  <cp:lastModifiedBy>徐語憶</cp:lastModifiedBy>
  <cp:revision>123</cp:revision>
  <dcterms:created xsi:type="dcterms:W3CDTF">2026-04-06T12:30:00Z</dcterms:created>
  <dcterms:modified xsi:type="dcterms:W3CDTF">2026-04-19T10:41:00Z</dcterms:modified>
</cp:coreProperties>
</file>