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13D40" w14:textId="2AC9A9E7" w:rsidR="008B182A" w:rsidRPr="008B182A" w:rsidRDefault="008B182A" w:rsidP="008B182A">
      <w:pPr>
        <w:pStyle w:val="a9"/>
        <w:numPr>
          <w:ilvl w:val="0"/>
          <w:numId w:val="1"/>
        </w:numPr>
        <w:jc w:val="center"/>
        <w:rPr>
          <w:rFonts w:ascii="標楷體" w:eastAsia="標楷體" w:hAnsi="標楷體"/>
          <w:b/>
          <w:bCs/>
          <w:sz w:val="27"/>
          <w:szCs w:val="27"/>
        </w:rPr>
      </w:pPr>
      <w:r w:rsidRPr="008B182A">
        <w:rPr>
          <w:rFonts w:ascii="標楷體" w:eastAsia="標楷體" w:hAnsi="標楷體" w:hint="eastAsia"/>
          <w:b/>
          <w:bCs/>
          <w:sz w:val="27"/>
          <w:szCs w:val="27"/>
        </w:rPr>
        <w:t>花蓮縣</w:t>
      </w:r>
      <w:r w:rsidRPr="008B182A">
        <w:rPr>
          <w:rFonts w:ascii="標楷體" w:eastAsia="標楷體" w:hAnsi="標楷體" w:hint="eastAsia"/>
          <w:b/>
          <w:bCs/>
          <w:sz w:val="27"/>
          <w:szCs w:val="27"/>
        </w:rPr>
        <w:t>公路客運運量趨勢分析</w:t>
      </w:r>
    </w:p>
    <w:p w14:paraId="28965864" w14:textId="77777777" w:rsidR="008B182A" w:rsidRPr="008B182A" w:rsidRDefault="008B182A" w:rsidP="008B182A">
      <w:pPr>
        <w:pStyle w:val="a9"/>
        <w:ind w:left="950"/>
        <w:rPr>
          <w:rFonts w:ascii="標楷體" w:eastAsia="標楷體" w:hAnsi="標楷體" w:hint="eastAsia"/>
          <w:b/>
          <w:bCs/>
          <w:sz w:val="27"/>
          <w:szCs w:val="27"/>
        </w:rPr>
      </w:pPr>
    </w:p>
    <w:p w14:paraId="58ED6B04" w14:textId="2C423046" w:rsidR="008B182A" w:rsidRDefault="008B182A" w:rsidP="008B182A">
      <w:pPr>
        <w:pStyle w:val="a9"/>
        <w:numPr>
          <w:ilvl w:val="1"/>
          <w:numId w:val="2"/>
        </w:numPr>
        <w:spacing w:beforeLines="50" w:before="180" w:after="400"/>
        <w:rPr>
          <w:rFonts w:ascii="標楷體" w:eastAsia="標楷體" w:hAnsi="標楷體"/>
          <w:b/>
          <w:bCs/>
          <w:sz w:val="27"/>
          <w:szCs w:val="27"/>
        </w:rPr>
      </w:pPr>
      <w:r w:rsidRPr="008B182A">
        <w:rPr>
          <w:rFonts w:ascii="標楷體" w:eastAsia="標楷體" w:hAnsi="標楷體"/>
          <w:b/>
          <w:bCs/>
          <w:sz w:val="27"/>
          <w:szCs w:val="27"/>
        </w:rPr>
        <w:t>運量趨勢分析</w:t>
      </w:r>
    </w:p>
    <w:p w14:paraId="5E22A037" w14:textId="00EFF449" w:rsidR="00E900DD" w:rsidRPr="00E900DD" w:rsidRDefault="00E900DD" w:rsidP="00E900DD">
      <w:pPr>
        <w:spacing w:beforeLines="50" w:before="180" w:after="400"/>
        <w:rPr>
          <w:rFonts w:ascii="標楷體" w:eastAsia="標楷體" w:hAnsi="標楷體" w:hint="eastAsia"/>
          <w:b/>
          <w:bCs/>
          <w:sz w:val="27"/>
          <w:szCs w:val="27"/>
        </w:rPr>
      </w:pPr>
      <w:r>
        <w:rPr>
          <w:rFonts w:ascii="標楷體" w:eastAsia="標楷體" w:hAnsi="標楷體"/>
          <w:b/>
          <w:bCs/>
          <w:noProof/>
          <w:sz w:val="27"/>
          <w:szCs w:val="27"/>
        </w:rPr>
        <w:drawing>
          <wp:inline distT="0" distB="0" distL="0" distR="0" wp14:anchorId="219D0BEE" wp14:editId="2BA3146F">
            <wp:extent cx="5225969" cy="3088005"/>
            <wp:effectExtent l="0" t="0" r="0" b="0"/>
            <wp:docPr id="586946323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206" cy="3108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A274AC" w14:textId="70288927" w:rsidR="00CB288F" w:rsidRPr="00E900DD" w:rsidRDefault="00CB288F" w:rsidP="00E900DD">
      <w:pPr>
        <w:pStyle w:val="a9"/>
        <w:spacing w:beforeLines="50" w:before="180" w:after="400"/>
        <w:rPr>
          <w:rFonts w:ascii="標楷體" w:eastAsia="標楷體" w:hAnsi="標楷體"/>
          <w:b/>
          <w:bCs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>圖1.1.1 114年1月至114年6月花蓮</w:t>
      </w:r>
      <w:r w:rsidR="00F57840">
        <w:rPr>
          <w:rFonts w:ascii="標楷體" w:eastAsia="標楷體" w:hAnsi="標楷體" w:hint="eastAsia"/>
          <w:sz w:val="27"/>
          <w:szCs w:val="27"/>
        </w:rPr>
        <w:t>縣</w:t>
      </w:r>
      <w:r>
        <w:rPr>
          <w:rFonts w:ascii="標楷體" w:eastAsia="標楷體" w:hAnsi="標楷體" w:hint="eastAsia"/>
          <w:sz w:val="27"/>
          <w:szCs w:val="27"/>
        </w:rPr>
        <w:t>公路</w:t>
      </w:r>
      <w:r>
        <w:rPr>
          <w:rFonts w:ascii="標楷體" w:eastAsia="標楷體" w:hAnsi="標楷體" w:hint="eastAsia"/>
          <w:sz w:val="27"/>
          <w:szCs w:val="27"/>
        </w:rPr>
        <w:t>客運</w:t>
      </w:r>
      <w:r w:rsidR="00F57840">
        <w:rPr>
          <w:rFonts w:ascii="標楷體" w:eastAsia="標楷體" w:hAnsi="標楷體" w:hint="eastAsia"/>
          <w:sz w:val="27"/>
          <w:szCs w:val="27"/>
        </w:rPr>
        <w:t>總</w:t>
      </w:r>
      <w:r>
        <w:rPr>
          <w:rFonts w:ascii="標楷體" w:eastAsia="標楷體" w:hAnsi="標楷體" w:hint="eastAsia"/>
          <w:sz w:val="27"/>
          <w:szCs w:val="27"/>
        </w:rPr>
        <w:t>運量折線圖</w:t>
      </w:r>
    </w:p>
    <w:p w14:paraId="68FE7742" w14:textId="162FD366" w:rsidR="0076253E" w:rsidRDefault="0076253E" w:rsidP="0076253E">
      <w:pPr>
        <w:spacing w:beforeLines="50" w:before="180" w:after="400"/>
        <w:ind w:firstLineChars="200" w:firstLine="540"/>
        <w:rPr>
          <w:rFonts w:ascii="標楷體" w:eastAsia="標楷體" w:hAnsi="標楷體" w:hint="eastAsia"/>
          <w:sz w:val="27"/>
          <w:szCs w:val="27"/>
        </w:rPr>
      </w:pPr>
      <w:r w:rsidRPr="0076253E">
        <w:rPr>
          <w:rFonts w:ascii="標楷體" w:eastAsia="標楷體" w:hAnsi="標楷體"/>
          <w:sz w:val="27"/>
          <w:szCs w:val="27"/>
        </w:rPr>
        <w:t>由圖1.1.</w:t>
      </w:r>
      <w:r>
        <w:rPr>
          <w:rFonts w:ascii="標楷體" w:eastAsia="標楷體" w:hAnsi="標楷體" w:hint="eastAsia"/>
          <w:sz w:val="27"/>
          <w:szCs w:val="27"/>
        </w:rPr>
        <w:t>1</w:t>
      </w:r>
      <w:r w:rsidRPr="0076253E">
        <w:rPr>
          <w:rFonts w:ascii="標楷體" w:eastAsia="標楷體" w:hAnsi="標楷體"/>
          <w:sz w:val="27"/>
          <w:szCs w:val="27"/>
        </w:rPr>
        <w:t>可以看出，114年1</w:t>
      </w:r>
      <w:r w:rsidR="00F57840">
        <w:rPr>
          <w:rFonts w:ascii="標楷體" w:eastAsia="標楷體" w:hAnsi="標楷體" w:hint="eastAsia"/>
          <w:sz w:val="27"/>
          <w:szCs w:val="27"/>
        </w:rPr>
        <w:t>月</w:t>
      </w:r>
      <w:r w:rsidRPr="0076253E">
        <w:rPr>
          <w:rFonts w:ascii="標楷體" w:eastAsia="標楷體" w:hAnsi="標楷體"/>
          <w:sz w:val="27"/>
          <w:szCs w:val="27"/>
        </w:rPr>
        <w:t>至6月花蓮縣公路客運</w:t>
      </w:r>
      <w:r w:rsidR="00F57840">
        <w:rPr>
          <w:rFonts w:ascii="標楷體" w:eastAsia="標楷體" w:hAnsi="標楷體" w:hint="eastAsia"/>
          <w:sz w:val="27"/>
          <w:szCs w:val="27"/>
        </w:rPr>
        <w:t>總</w:t>
      </w:r>
      <w:r w:rsidRPr="0076253E">
        <w:rPr>
          <w:rFonts w:ascii="標楷體" w:eastAsia="標楷體" w:hAnsi="標楷體"/>
          <w:sz w:val="27"/>
          <w:szCs w:val="27"/>
        </w:rPr>
        <w:t>運量呈現「先降後升再回落」的趨勢。1月運量約9萬人次，2月略為下降至約8.8萬人次，為期間低點，推測與春節後旅運需求短暫減弱有關。自3月起運量明顯回升至約11萬人次，並於4月大幅攀升至約15.5萬人次，達到整體高峰，顯示連續假期及觀光活動帶動跨區移動需求增加。其後5月與6月運量回落至約10萬至11萬人次，反映觀光熱潮趨緩，運量逐漸回歸穩定水準。整體而言，花蓮公路客運運量在震後逐步回升，並受觀光與假期影響呈現階段性波動。</w:t>
      </w:r>
    </w:p>
    <w:p w14:paraId="19BA126A" w14:textId="77777777" w:rsidR="00E900DD" w:rsidRDefault="00E900DD" w:rsidP="00CB288F">
      <w:pPr>
        <w:spacing w:beforeLines="50" w:before="180" w:after="400"/>
        <w:rPr>
          <w:rFonts w:ascii="標楷體" w:eastAsia="標楷體" w:hAnsi="標楷體"/>
          <w:sz w:val="27"/>
          <w:szCs w:val="27"/>
        </w:rPr>
      </w:pPr>
    </w:p>
    <w:p w14:paraId="7B295BCE" w14:textId="7CB3E14C" w:rsidR="00E900DD" w:rsidRDefault="00E900DD" w:rsidP="00CB288F">
      <w:pPr>
        <w:spacing w:beforeLines="50" w:before="180" w:after="400"/>
        <w:rPr>
          <w:rFonts w:ascii="標楷體" w:eastAsia="標楷體" w:hAnsi="標楷體" w:hint="eastAsia"/>
          <w:sz w:val="27"/>
          <w:szCs w:val="27"/>
        </w:rPr>
      </w:pPr>
      <w:r w:rsidRPr="00E900DD">
        <w:rPr>
          <w:rFonts w:ascii="標楷體" w:eastAsia="標楷體" w:hAnsi="標楷體"/>
          <w:sz w:val="27"/>
          <w:szCs w:val="27"/>
        </w:rPr>
        <w:lastRenderedPageBreak/>
        <w:drawing>
          <wp:inline distT="0" distB="0" distL="0" distR="0" wp14:anchorId="061C09D8" wp14:editId="668D8623">
            <wp:extent cx="5000263" cy="2762606"/>
            <wp:effectExtent l="0" t="0" r="0" b="0"/>
            <wp:docPr id="12216768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76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4843" cy="276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065C" w14:textId="062C6F37" w:rsidR="0076253E" w:rsidRDefault="0076253E" w:rsidP="00E900DD">
      <w:pPr>
        <w:spacing w:beforeLines="50" w:before="180" w:after="400"/>
        <w:jc w:val="center"/>
        <w:rPr>
          <w:rFonts w:ascii="標楷體" w:eastAsia="標楷體" w:hAnsi="標楷體"/>
          <w:sz w:val="27"/>
          <w:szCs w:val="27"/>
        </w:rPr>
      </w:pPr>
      <w:r w:rsidRPr="0076253E">
        <w:rPr>
          <w:rFonts w:ascii="標楷體" w:eastAsia="標楷體" w:hAnsi="標楷體"/>
          <w:sz w:val="27"/>
          <w:szCs w:val="27"/>
        </w:rPr>
        <w:t>圖1.1.</w:t>
      </w:r>
      <w:r>
        <w:rPr>
          <w:rFonts w:ascii="標楷體" w:eastAsia="標楷體" w:hAnsi="標楷體" w:hint="eastAsia"/>
          <w:sz w:val="27"/>
          <w:szCs w:val="27"/>
        </w:rPr>
        <w:t>2</w:t>
      </w:r>
      <w:r w:rsidRPr="0076253E">
        <w:rPr>
          <w:rFonts w:ascii="標楷體" w:eastAsia="標楷體" w:hAnsi="標楷體"/>
          <w:sz w:val="27"/>
          <w:szCs w:val="27"/>
        </w:rPr>
        <w:t xml:space="preserve"> 114年1月至114年6月花蓮縣公路客運持卡身分長條圖</w:t>
      </w:r>
    </w:p>
    <w:tbl>
      <w:tblPr>
        <w:tblStyle w:val="ae"/>
        <w:tblW w:w="8644" w:type="dxa"/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E900DD" w14:paraId="7FC6F456" w14:textId="77777777" w:rsidTr="00F907A4">
        <w:trPr>
          <w:trHeight w:val="567"/>
        </w:trPr>
        <w:tc>
          <w:tcPr>
            <w:tcW w:w="2881" w:type="dxa"/>
          </w:tcPr>
          <w:p w14:paraId="56861B4D" w14:textId="67FAE6F0" w:rsidR="00E900DD" w:rsidRPr="00E900DD" w:rsidRDefault="00E900DD" w:rsidP="00E900DD">
            <w:pPr>
              <w:spacing w:beforeLines="50" w:before="180" w:after="400"/>
              <w:jc w:val="center"/>
              <w:rPr>
                <w:rFonts w:ascii="標楷體" w:eastAsia="標楷體" w:hAnsi="標楷體" w:hint="eastAsia"/>
                <w:sz w:val="27"/>
                <w:szCs w:val="27"/>
              </w:rPr>
            </w:pPr>
            <w:r w:rsidRPr="00E900DD">
              <w:rPr>
                <w:rFonts w:ascii="標楷體" w:eastAsia="標楷體" w:hAnsi="標楷體" w:hint="eastAsia"/>
                <w:sz w:val="27"/>
                <w:szCs w:val="27"/>
              </w:rPr>
              <w:t>持卡身分</w:t>
            </w:r>
          </w:p>
        </w:tc>
        <w:tc>
          <w:tcPr>
            <w:tcW w:w="2881" w:type="dxa"/>
          </w:tcPr>
          <w:p w14:paraId="71D23C66" w14:textId="5ADBE8A4" w:rsidR="00E900DD" w:rsidRDefault="00E900DD" w:rsidP="00E900DD">
            <w:pPr>
              <w:spacing w:beforeLines="50" w:before="180" w:after="400"/>
              <w:jc w:val="center"/>
              <w:rPr>
                <w:rFonts w:ascii="標楷體" w:eastAsia="標楷體" w:hAnsi="標楷體" w:hint="eastAsia"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sz w:val="27"/>
                <w:szCs w:val="27"/>
              </w:rPr>
              <w:t>人數</w:t>
            </w:r>
          </w:p>
        </w:tc>
        <w:tc>
          <w:tcPr>
            <w:tcW w:w="2882" w:type="dxa"/>
          </w:tcPr>
          <w:p w14:paraId="296416AF" w14:textId="519B4553" w:rsidR="00E900DD" w:rsidRDefault="00E900DD" w:rsidP="00E900DD">
            <w:pPr>
              <w:spacing w:beforeLines="50" w:before="180" w:after="400"/>
              <w:jc w:val="center"/>
              <w:rPr>
                <w:rFonts w:ascii="標楷體" w:eastAsia="標楷體" w:hAnsi="標楷體" w:hint="eastAsia"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sz w:val="27"/>
                <w:szCs w:val="27"/>
              </w:rPr>
              <w:t>百分比</w:t>
            </w:r>
          </w:p>
        </w:tc>
      </w:tr>
      <w:tr w:rsidR="00E900DD" w14:paraId="2CE194D9" w14:textId="77777777" w:rsidTr="00F907A4">
        <w:trPr>
          <w:trHeight w:val="567"/>
        </w:trPr>
        <w:tc>
          <w:tcPr>
            <w:tcW w:w="2881" w:type="dxa"/>
          </w:tcPr>
          <w:p w14:paraId="0E98935D" w14:textId="50C7CCA3" w:rsidR="00E900DD" w:rsidRDefault="00E900DD" w:rsidP="00E900DD">
            <w:pPr>
              <w:spacing w:beforeLines="50" w:before="180" w:after="400"/>
              <w:jc w:val="center"/>
              <w:rPr>
                <w:rFonts w:ascii="標楷體" w:eastAsia="標楷體" w:hAnsi="標楷體" w:hint="eastAsia"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sz w:val="27"/>
                <w:szCs w:val="27"/>
              </w:rPr>
              <w:t>普通身分(含TPASS)</w:t>
            </w:r>
          </w:p>
        </w:tc>
        <w:tc>
          <w:tcPr>
            <w:tcW w:w="2881" w:type="dxa"/>
          </w:tcPr>
          <w:p w14:paraId="0E59FDAD" w14:textId="04CCB6C1" w:rsidR="00E900DD" w:rsidRDefault="00F907A4" w:rsidP="00F907A4">
            <w:pPr>
              <w:spacing w:beforeLines="50" w:before="180" w:after="400"/>
              <w:jc w:val="center"/>
              <w:rPr>
                <w:rFonts w:ascii="標楷體" w:eastAsia="標楷體" w:hAnsi="標楷體" w:hint="eastAsia"/>
                <w:sz w:val="27"/>
                <w:szCs w:val="27"/>
              </w:rPr>
            </w:pPr>
            <w:r w:rsidRPr="00F907A4">
              <w:rPr>
                <w:rFonts w:ascii="標楷體" w:eastAsia="標楷體" w:hAnsi="標楷體"/>
                <w:sz w:val="27"/>
                <w:szCs w:val="27"/>
              </w:rPr>
              <w:t>364382</w:t>
            </w:r>
          </w:p>
        </w:tc>
        <w:tc>
          <w:tcPr>
            <w:tcW w:w="2882" w:type="dxa"/>
          </w:tcPr>
          <w:p w14:paraId="2D6593BD" w14:textId="54EB0DAE" w:rsidR="00E900DD" w:rsidRDefault="00F907A4" w:rsidP="00F907A4">
            <w:pPr>
              <w:spacing w:beforeLines="50" w:before="180" w:after="400"/>
              <w:jc w:val="center"/>
              <w:rPr>
                <w:rFonts w:ascii="標楷體" w:eastAsia="標楷體" w:hAnsi="標楷體" w:hint="eastAsia"/>
                <w:sz w:val="27"/>
                <w:szCs w:val="27"/>
              </w:rPr>
            </w:pPr>
            <w:r w:rsidRPr="00F907A4">
              <w:rPr>
                <w:rFonts w:ascii="標楷體" w:eastAsia="標楷體" w:hAnsi="標楷體"/>
                <w:sz w:val="27"/>
                <w:szCs w:val="27"/>
              </w:rPr>
              <w:t>55.8</w:t>
            </w:r>
            <w:r>
              <w:rPr>
                <w:rFonts w:ascii="標楷體" w:eastAsia="標楷體" w:hAnsi="標楷體" w:hint="eastAsia"/>
                <w:sz w:val="27"/>
                <w:szCs w:val="27"/>
              </w:rPr>
              <w:t>%</w:t>
            </w:r>
          </w:p>
        </w:tc>
      </w:tr>
      <w:tr w:rsidR="00E900DD" w14:paraId="2E255ED7" w14:textId="77777777" w:rsidTr="00F907A4">
        <w:trPr>
          <w:trHeight w:val="567"/>
        </w:trPr>
        <w:tc>
          <w:tcPr>
            <w:tcW w:w="2881" w:type="dxa"/>
          </w:tcPr>
          <w:p w14:paraId="651824D8" w14:textId="62C195AB" w:rsidR="00E900DD" w:rsidRDefault="00E900DD" w:rsidP="00E900DD">
            <w:pPr>
              <w:spacing w:beforeLines="50" w:before="180" w:after="400"/>
              <w:jc w:val="center"/>
              <w:rPr>
                <w:rFonts w:ascii="標楷體" w:eastAsia="標楷體" w:hAnsi="標楷體" w:hint="eastAsia"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sz w:val="27"/>
                <w:szCs w:val="27"/>
              </w:rPr>
              <w:t>敬老身分</w:t>
            </w:r>
          </w:p>
        </w:tc>
        <w:tc>
          <w:tcPr>
            <w:tcW w:w="2881" w:type="dxa"/>
          </w:tcPr>
          <w:p w14:paraId="6A4A4E67" w14:textId="15584BD2" w:rsidR="00E900DD" w:rsidRDefault="00F907A4" w:rsidP="00E900DD">
            <w:pPr>
              <w:spacing w:beforeLines="50" w:before="180" w:after="400"/>
              <w:jc w:val="center"/>
              <w:rPr>
                <w:rFonts w:ascii="標楷體" w:eastAsia="標楷體" w:hAnsi="標楷體" w:hint="eastAsia"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sz w:val="27"/>
                <w:szCs w:val="27"/>
              </w:rPr>
              <w:t>213681</w:t>
            </w:r>
          </w:p>
        </w:tc>
        <w:tc>
          <w:tcPr>
            <w:tcW w:w="2882" w:type="dxa"/>
          </w:tcPr>
          <w:p w14:paraId="3FAEC0C0" w14:textId="77ECDD19" w:rsidR="00E900DD" w:rsidRDefault="00F907A4" w:rsidP="00E900DD">
            <w:pPr>
              <w:spacing w:beforeLines="50" w:before="180" w:after="400"/>
              <w:jc w:val="center"/>
              <w:rPr>
                <w:rFonts w:ascii="標楷體" w:eastAsia="標楷體" w:hAnsi="標楷體" w:hint="eastAsia"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sz w:val="27"/>
                <w:szCs w:val="27"/>
              </w:rPr>
              <w:t>32.7%</w:t>
            </w:r>
          </w:p>
        </w:tc>
      </w:tr>
      <w:tr w:rsidR="00E900DD" w14:paraId="7A64B048" w14:textId="77777777" w:rsidTr="00F907A4">
        <w:trPr>
          <w:trHeight w:val="567"/>
        </w:trPr>
        <w:tc>
          <w:tcPr>
            <w:tcW w:w="2881" w:type="dxa"/>
          </w:tcPr>
          <w:p w14:paraId="6AB436D1" w14:textId="37C791EC" w:rsidR="00E900DD" w:rsidRDefault="00E900DD" w:rsidP="00E900DD">
            <w:pPr>
              <w:spacing w:beforeLines="50" w:before="180" w:after="400"/>
              <w:jc w:val="center"/>
              <w:rPr>
                <w:rFonts w:ascii="標楷體" w:eastAsia="標楷體" w:hAnsi="標楷體" w:hint="eastAsia"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sz w:val="27"/>
                <w:szCs w:val="27"/>
              </w:rPr>
              <w:t>學生身分</w:t>
            </w:r>
          </w:p>
        </w:tc>
        <w:tc>
          <w:tcPr>
            <w:tcW w:w="2881" w:type="dxa"/>
          </w:tcPr>
          <w:p w14:paraId="1EA7F287" w14:textId="38828F37" w:rsidR="00E900DD" w:rsidRDefault="00F907A4" w:rsidP="00E900DD">
            <w:pPr>
              <w:spacing w:beforeLines="50" w:before="180" w:after="400"/>
              <w:jc w:val="center"/>
              <w:rPr>
                <w:rFonts w:ascii="標楷體" w:eastAsia="標楷體" w:hAnsi="標楷體" w:hint="eastAsia"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sz w:val="27"/>
                <w:szCs w:val="27"/>
              </w:rPr>
              <w:t>42730</w:t>
            </w:r>
          </w:p>
        </w:tc>
        <w:tc>
          <w:tcPr>
            <w:tcW w:w="2882" w:type="dxa"/>
          </w:tcPr>
          <w:p w14:paraId="2C0FEF86" w14:textId="2C0CF753" w:rsidR="00F907A4" w:rsidRDefault="00F907A4" w:rsidP="00F907A4">
            <w:pPr>
              <w:spacing w:beforeLines="50" w:before="180" w:after="400"/>
              <w:jc w:val="center"/>
              <w:rPr>
                <w:rFonts w:ascii="標楷體" w:eastAsia="標楷體" w:hAnsi="標楷體" w:hint="eastAsia"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sz w:val="27"/>
                <w:szCs w:val="27"/>
              </w:rPr>
              <w:t>6.5%</w:t>
            </w:r>
          </w:p>
        </w:tc>
      </w:tr>
      <w:tr w:rsidR="00E900DD" w14:paraId="0D11506A" w14:textId="77777777" w:rsidTr="00F907A4">
        <w:trPr>
          <w:trHeight w:val="567"/>
        </w:trPr>
        <w:tc>
          <w:tcPr>
            <w:tcW w:w="2881" w:type="dxa"/>
          </w:tcPr>
          <w:p w14:paraId="03CBBABD" w14:textId="0B16BF2B" w:rsidR="00E900DD" w:rsidRDefault="00E900DD" w:rsidP="00E900DD">
            <w:pPr>
              <w:spacing w:beforeLines="50" w:before="180" w:after="400"/>
              <w:jc w:val="center"/>
              <w:rPr>
                <w:rFonts w:ascii="標楷體" w:eastAsia="標楷體" w:hAnsi="標楷體" w:hint="eastAsia"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sz w:val="27"/>
                <w:szCs w:val="27"/>
              </w:rPr>
              <w:t>愛心身分</w:t>
            </w:r>
          </w:p>
        </w:tc>
        <w:tc>
          <w:tcPr>
            <w:tcW w:w="2881" w:type="dxa"/>
          </w:tcPr>
          <w:p w14:paraId="39C78C73" w14:textId="73F38615" w:rsidR="00E900DD" w:rsidRDefault="00F907A4" w:rsidP="00E900DD">
            <w:pPr>
              <w:spacing w:beforeLines="50" w:before="180" w:after="400"/>
              <w:jc w:val="center"/>
              <w:rPr>
                <w:rFonts w:ascii="標楷體" w:eastAsia="標楷體" w:hAnsi="標楷體" w:hint="eastAsia"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sz w:val="27"/>
                <w:szCs w:val="27"/>
              </w:rPr>
              <w:t>26793</w:t>
            </w:r>
          </w:p>
        </w:tc>
        <w:tc>
          <w:tcPr>
            <w:tcW w:w="2882" w:type="dxa"/>
          </w:tcPr>
          <w:p w14:paraId="3763DC90" w14:textId="6BE9A8EE" w:rsidR="00E900DD" w:rsidRDefault="00F907A4" w:rsidP="00E900DD">
            <w:pPr>
              <w:spacing w:beforeLines="50" w:before="180" w:after="400"/>
              <w:jc w:val="center"/>
              <w:rPr>
                <w:rFonts w:ascii="標楷體" w:eastAsia="標楷體" w:hAnsi="標楷體" w:hint="eastAsia"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sz w:val="27"/>
                <w:szCs w:val="27"/>
              </w:rPr>
              <w:t>4.1%</w:t>
            </w:r>
          </w:p>
        </w:tc>
      </w:tr>
      <w:tr w:rsidR="00E900DD" w14:paraId="697A1B83" w14:textId="77777777" w:rsidTr="00F907A4">
        <w:trPr>
          <w:trHeight w:val="567"/>
        </w:trPr>
        <w:tc>
          <w:tcPr>
            <w:tcW w:w="2881" w:type="dxa"/>
          </w:tcPr>
          <w:p w14:paraId="6C46ACA6" w14:textId="101A2A3B" w:rsidR="00E900DD" w:rsidRDefault="00E900DD" w:rsidP="00E900DD">
            <w:pPr>
              <w:spacing w:beforeLines="50" w:before="180" w:after="400"/>
              <w:jc w:val="center"/>
              <w:rPr>
                <w:rFonts w:ascii="標楷體" w:eastAsia="標楷體" w:hAnsi="標楷體" w:hint="eastAsia"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sz w:val="27"/>
                <w:szCs w:val="27"/>
              </w:rPr>
              <w:t>其他優待</w:t>
            </w:r>
          </w:p>
        </w:tc>
        <w:tc>
          <w:tcPr>
            <w:tcW w:w="2881" w:type="dxa"/>
          </w:tcPr>
          <w:p w14:paraId="6E5A5AB5" w14:textId="32B9647C" w:rsidR="00E900DD" w:rsidRDefault="00F907A4" w:rsidP="00E900DD">
            <w:pPr>
              <w:spacing w:beforeLines="50" w:before="180" w:after="400"/>
              <w:jc w:val="center"/>
              <w:rPr>
                <w:rFonts w:ascii="標楷體" w:eastAsia="標楷體" w:hAnsi="標楷體" w:hint="eastAsia"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sz w:val="27"/>
                <w:szCs w:val="27"/>
              </w:rPr>
              <w:t>5245</w:t>
            </w:r>
          </w:p>
        </w:tc>
        <w:tc>
          <w:tcPr>
            <w:tcW w:w="2882" w:type="dxa"/>
          </w:tcPr>
          <w:p w14:paraId="1B56BC14" w14:textId="2904D6C2" w:rsidR="00E900DD" w:rsidRDefault="00F907A4" w:rsidP="00E900DD">
            <w:pPr>
              <w:spacing w:beforeLines="50" w:before="180" w:after="400"/>
              <w:jc w:val="center"/>
              <w:rPr>
                <w:rFonts w:ascii="標楷體" w:eastAsia="標楷體" w:hAnsi="標楷體" w:hint="eastAsia"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sz w:val="27"/>
                <w:szCs w:val="27"/>
              </w:rPr>
              <w:t>0.8%</w:t>
            </w:r>
          </w:p>
        </w:tc>
      </w:tr>
      <w:tr w:rsidR="00F907A4" w14:paraId="047042AE" w14:textId="77777777" w:rsidTr="00F907A4">
        <w:trPr>
          <w:trHeight w:val="567"/>
        </w:trPr>
        <w:tc>
          <w:tcPr>
            <w:tcW w:w="2881" w:type="dxa"/>
          </w:tcPr>
          <w:p w14:paraId="32807E28" w14:textId="48B99169" w:rsidR="00F907A4" w:rsidRDefault="00F907A4" w:rsidP="00E900DD">
            <w:pPr>
              <w:spacing w:beforeLines="50" w:before="180" w:after="400"/>
              <w:jc w:val="center"/>
              <w:rPr>
                <w:rFonts w:ascii="標楷體" w:eastAsia="標楷體" w:hAnsi="標楷體" w:hint="eastAsia"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sz w:val="27"/>
                <w:szCs w:val="27"/>
              </w:rPr>
              <w:t>無法區別身分</w:t>
            </w:r>
          </w:p>
        </w:tc>
        <w:tc>
          <w:tcPr>
            <w:tcW w:w="2881" w:type="dxa"/>
          </w:tcPr>
          <w:p w14:paraId="067494A2" w14:textId="7BA92CC2" w:rsidR="00F907A4" w:rsidRDefault="00F907A4" w:rsidP="00E900DD">
            <w:pPr>
              <w:spacing w:beforeLines="50" w:before="180" w:after="400"/>
              <w:jc w:val="center"/>
              <w:rPr>
                <w:rFonts w:ascii="標楷體" w:eastAsia="標楷體" w:hAnsi="標楷體" w:hint="eastAsia"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sz w:val="27"/>
                <w:szCs w:val="27"/>
              </w:rPr>
              <w:t>27</w:t>
            </w:r>
          </w:p>
        </w:tc>
        <w:tc>
          <w:tcPr>
            <w:tcW w:w="2882" w:type="dxa"/>
          </w:tcPr>
          <w:p w14:paraId="4176C4FF" w14:textId="76C5FF85" w:rsidR="00F907A4" w:rsidRDefault="00F907A4" w:rsidP="00E900DD">
            <w:pPr>
              <w:spacing w:beforeLines="50" w:before="180" w:after="400"/>
              <w:jc w:val="center"/>
              <w:rPr>
                <w:rFonts w:ascii="標楷體" w:eastAsia="標楷體" w:hAnsi="標楷體" w:hint="eastAsia"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sz w:val="27"/>
                <w:szCs w:val="27"/>
              </w:rPr>
              <w:t>0.0%</w:t>
            </w:r>
          </w:p>
        </w:tc>
      </w:tr>
    </w:tbl>
    <w:p w14:paraId="13746E96" w14:textId="5D486671" w:rsidR="00F907A4" w:rsidRDefault="00F907A4" w:rsidP="00F907A4">
      <w:pPr>
        <w:spacing w:beforeLines="50" w:before="180" w:after="400"/>
        <w:jc w:val="center"/>
        <w:rPr>
          <w:rFonts w:ascii="標楷體" w:eastAsia="標楷體" w:hAnsi="標楷體" w:hint="eastAsia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>表</w:t>
      </w:r>
      <w:r w:rsidRPr="0076253E">
        <w:rPr>
          <w:rFonts w:ascii="標楷體" w:eastAsia="標楷體" w:hAnsi="標楷體"/>
          <w:sz w:val="27"/>
          <w:szCs w:val="27"/>
        </w:rPr>
        <w:t>1.1.</w:t>
      </w:r>
      <w:r w:rsidR="008E4A86">
        <w:rPr>
          <w:rFonts w:ascii="標楷體" w:eastAsia="標楷體" w:hAnsi="標楷體" w:hint="eastAsia"/>
          <w:sz w:val="27"/>
          <w:szCs w:val="27"/>
        </w:rPr>
        <w:t>1</w:t>
      </w:r>
      <w:r w:rsidRPr="0076253E">
        <w:rPr>
          <w:rFonts w:ascii="標楷體" w:eastAsia="標楷體" w:hAnsi="標楷體"/>
          <w:sz w:val="27"/>
          <w:szCs w:val="27"/>
        </w:rPr>
        <w:t xml:space="preserve"> 114年1月至114年6月花蓮縣公路客運持卡身分</w:t>
      </w:r>
      <w:r>
        <w:rPr>
          <w:rFonts w:ascii="標楷體" w:eastAsia="標楷體" w:hAnsi="標楷體" w:hint="eastAsia"/>
          <w:sz w:val="27"/>
          <w:szCs w:val="27"/>
        </w:rPr>
        <w:t>統計表</w:t>
      </w:r>
    </w:p>
    <w:p w14:paraId="268E6343" w14:textId="56A24B2A" w:rsidR="00E900DD" w:rsidRPr="00F907A4" w:rsidRDefault="00E900DD" w:rsidP="00F907A4">
      <w:pPr>
        <w:spacing w:beforeLines="50" w:before="180" w:after="400"/>
        <w:jc w:val="center"/>
        <w:rPr>
          <w:rFonts w:ascii="標楷體" w:eastAsia="標楷體" w:hAnsi="標楷體" w:hint="eastAsia"/>
          <w:sz w:val="27"/>
          <w:szCs w:val="27"/>
        </w:rPr>
      </w:pPr>
    </w:p>
    <w:p w14:paraId="3050218C" w14:textId="7D763054" w:rsidR="00E900DD" w:rsidRPr="00E900DD" w:rsidRDefault="00E900DD" w:rsidP="00E900DD">
      <w:pPr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lastRenderedPageBreak/>
        <w:t xml:space="preserve">    </w:t>
      </w:r>
      <w:r w:rsidRPr="00E900DD">
        <w:rPr>
          <w:rFonts w:ascii="標楷體" w:eastAsia="標楷體" w:hAnsi="標楷體"/>
          <w:sz w:val="27"/>
          <w:szCs w:val="27"/>
        </w:rPr>
        <w:t>由圖1.1.X可以看出，114年1月至6月花蓮縣公路客運乘客以「普通身分（含TPASS）」占55.8%為最多，顯示公路客運使用仍以一般民眾及通勤族群為主要來源。敬老優待占32.7%，比例亦相當高，反映高齡人口在公路客運使用中具有重要地位，顯示其在跨區移動與日常交通中仍高度依賴大眾運輸。</w:t>
      </w:r>
    </w:p>
    <w:p w14:paraId="66888051" w14:textId="334AD90A" w:rsidR="00E900DD" w:rsidRPr="00E900DD" w:rsidRDefault="00E900DD" w:rsidP="00E900DD">
      <w:pPr>
        <w:rPr>
          <w:rFonts w:ascii="標楷體" w:eastAsia="標楷體" w:hAnsi="標楷體" w:hint="eastAsia"/>
          <w:sz w:val="27"/>
          <w:szCs w:val="27"/>
        </w:rPr>
      </w:pPr>
      <w:r w:rsidRPr="00E900DD">
        <w:rPr>
          <w:rFonts w:ascii="標楷體" w:eastAsia="標楷體" w:hAnsi="標楷體"/>
          <w:sz w:val="27"/>
          <w:szCs w:val="27"/>
        </w:rPr>
        <w:t xml:space="preserve">　　</w:t>
      </w:r>
      <w:r w:rsidRPr="00E900DD">
        <w:rPr>
          <w:rFonts w:ascii="標楷體" w:eastAsia="標楷體" w:hAnsi="標楷體" w:hint="eastAsia"/>
          <w:sz w:val="27"/>
          <w:szCs w:val="27"/>
        </w:rPr>
        <w:t>學生身分占6.5%，占比相對較低，顯示其搭乘需求較為有限；愛心優惠占4.1%，其他優惠占0.8%，整體比例偏低，反映特殊優惠族群的搭乘頻率相對較少。無法區別身分為0%，顯示本資料在分類上具有良好的完整性與一致性。</w:t>
      </w:r>
    </w:p>
    <w:p w14:paraId="44231859" w14:textId="1DAFA02F" w:rsidR="008B182A" w:rsidRPr="00E900DD" w:rsidRDefault="00E900DD" w:rsidP="00E900DD">
      <w:r w:rsidRPr="00E900DD">
        <w:rPr>
          <w:rFonts w:ascii="標楷體" w:eastAsia="標楷體" w:hAnsi="標楷體" w:hint="eastAsia"/>
          <w:sz w:val="27"/>
          <w:szCs w:val="27"/>
        </w:rPr>
        <w:t xml:space="preserve">　　整體而言，花蓮縣公路客運乘客結構以一般民眾與敬老族群為主體，呈現穩定且以日常交通需求為核心的使用特性。</w:t>
      </w:r>
    </w:p>
    <w:sectPr w:rsidR="008B182A" w:rsidRPr="00E900D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71771"/>
    <w:multiLevelType w:val="hybridMultilevel"/>
    <w:tmpl w:val="5136031E"/>
    <w:lvl w:ilvl="0" w:tplc="63F4DE72">
      <w:start w:val="1"/>
      <w:numFmt w:val="taiwaneseCountingThousand"/>
      <w:lvlText w:val="第%1章"/>
      <w:lvlJc w:val="left"/>
      <w:pPr>
        <w:ind w:left="950" w:hanging="9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BA6066C"/>
    <w:multiLevelType w:val="multilevel"/>
    <w:tmpl w:val="FFA85842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 w16cid:durableId="1484422693">
    <w:abstractNumId w:val="0"/>
  </w:num>
  <w:num w:numId="2" w16cid:durableId="871381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82A"/>
    <w:rsid w:val="00446E83"/>
    <w:rsid w:val="0076253E"/>
    <w:rsid w:val="00804B3E"/>
    <w:rsid w:val="008B182A"/>
    <w:rsid w:val="008E4A86"/>
    <w:rsid w:val="00CB288F"/>
    <w:rsid w:val="00E900DD"/>
    <w:rsid w:val="00F57840"/>
    <w:rsid w:val="00F9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C96B0"/>
  <w15:chartTrackingRefBased/>
  <w15:docId w15:val="{CD5C49A2-0784-4725-B691-B10267F1A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18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1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182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182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1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182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182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182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182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B18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B1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B182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B1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B182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B182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B182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B182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B18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18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B1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18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B18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1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B18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18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18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1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B18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182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900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F907A4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F907A4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張兆妤</dc:creator>
  <cp:keywords/>
  <dc:description/>
  <cp:lastModifiedBy>張兆妤</cp:lastModifiedBy>
  <cp:revision>3</cp:revision>
  <dcterms:created xsi:type="dcterms:W3CDTF">2026-04-07T08:27:00Z</dcterms:created>
  <dcterms:modified xsi:type="dcterms:W3CDTF">2026-04-07T09:38:00Z</dcterms:modified>
</cp:coreProperties>
</file>