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54a169" w:space="0" w:sz="4" w:val="single"/>
              <w:left w:color="54a169" w:space="0" w:sz="4" w:val="single"/>
              <w:bottom w:color="54a169" w:space="0" w:sz="4" w:val="single"/>
              <w:right w:color="54a169" w:space="0" w:sz="4" w:val="single"/>
            </w:tcBorders>
            <w:shd w:fill="54a169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sz w:val="48"/>
                <w:szCs w:val="48"/>
                <w:rtl w:val="0"/>
              </w:rPr>
              <w:t xml:space="preserve">argumentsFor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} </w:t>
            </w:r>
          </w:p>
        </w:tc>
      </w:tr>
      <w:tr>
        <w:tc>
          <w:tcPr>
            <w:tcBorders>
              <w:top w:color="54a169" w:space="0" w:sz="4" w:val="single"/>
              <w:left w:color="6aa84f" w:space="0" w:sz="4" w:val="single"/>
              <w:bottom w:color="6aa84f" w:space="0" w:sz="4" w:val="single"/>
              <w:right w:color="6aa84f" w:space="0" w:sz="4" w:val="single"/>
            </w:tcBorders>
            <w:shd w:fill="d9ead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#proArguments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{argumentText}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/proArguments</w:t>
            </w:r>
            <w:r w:rsidDel="00000000" w:rsidR="00000000" w:rsidRPr="00000000">
              <w:rPr>
                <w:rtl w:val="0"/>
              </w:rPr>
              <w:t xml:space="preserve">}{^proArguments}{noArguments}{/proArguments}</w:t>
            </w:r>
          </w:p>
        </w:tc>
      </w:tr>
    </w:tbl>
    <w:p w:rsidR="00000000" w:rsidDel="00000000" w:rsidP="00000000" w:rsidRDefault="00000000" w:rsidRPr="00000000" w14:paraId="00000007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de5050" w:space="0" w:sz="4" w:val="single"/>
              <w:left w:color="de5050" w:space="0" w:sz="4" w:val="single"/>
              <w:bottom w:color="de5050" w:space="0" w:sz="4" w:val="single"/>
              <w:right w:color="de5050" w:space="0" w:sz="4" w:val="single"/>
            </w:tcBorders>
            <w:shd w:fill="de505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sz w:val="48"/>
                <w:szCs w:val="48"/>
                <w:rtl w:val="0"/>
              </w:rPr>
              <w:t xml:space="preserve">argumentsAgainst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de5050" w:space="0" w:sz="4" w:val="single"/>
              <w:left w:color="cc0000" w:space="0" w:sz="4" w:val="single"/>
              <w:bottom w:color="cc0000" w:space="0" w:sz="4" w:val="single"/>
              <w:right w:color="cc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#contraArguments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{argumentText}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/contraArguments</w:t>
            </w:r>
            <w:r w:rsidDel="00000000" w:rsidR="00000000" w:rsidRPr="00000000">
              <w:rPr>
                <w:rtl w:val="0"/>
              </w:rPr>
              <w:t xml:space="preserve">}{^contraArguments}{noArguments}{/contraArguments}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{#useSummary}</w:t>
      </w:r>
      <w:r w:rsidDel="00000000" w:rsidR="00000000" w:rsidRPr="00000000">
        <w:rPr>
          <w:rtl w:val="0"/>
        </w:rPr>
        <w:t xml:space="preserve">{summaryHeader}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{^hasSummaryComment}{labelNoSummaryComment}{/hasSummaryComment}{#hasSummaryComment}{summaryComment}{/hasSummaryComment}{/useSummary}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{resourceHeader}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3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{resourceHeaderTitle}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{resourceHeaderIntro}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{resourceHeaderUrl}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