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Revenue remained stable across the first half.</w:t>
      </w:r>
    </w:p>
    <w:p>
      <w:r>
        <w:t>Primary risk is margin compression in category B.</w:t>
      </w:r>
    </w:p>
    <w:p>
      <w:r>
        <w:t>ACTION ITEMS</w:t>
      </w:r>
    </w:p>
    <w:p>
      <w:r>
        <w:t>1. Review regional discounting policy.</w:t>
      </w:r>
    </w:p>
    <w:p>
      <w:r>
        <w:t>2. Re-price low margin SKUs before Q4 close.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BlockCount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