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02. TECHNICAL ARCHITECTURE &amp; RESOURCE CONSTRAINTS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Kiến Trúc Kỹ Thuật &amp; Tối Ưu Hóa Máy Chủ Tài Nguyên Yếu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Ràng Buộc Phần Cứng Máy Chủ (Budget VPS Constraints)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20" w:type="dxa"/>
              <w:right w:w="120" w:type="dxa"/>
            </w:tcMar>
            <w:shd w:fill="EBF3FA"/>
          </w:tcPr>
          <w:p>
            <w:pPr>
              <w:spacing w:after="0"/>
            </w:pPr>
            <w:r>
              <w:rPr>
                <w:b/>
                <w:color w:val="0F2A4A"/>
              </w:rPr>
              <w:t xml:space="preserve">[FACT] </w:t>
            </w:r>
            <w:r>
              <w:rPr>
                <w:sz w:val="19"/>
              </w:rPr>
              <w:t>Giả định tài nguyên phần cứng thực tế: 1 vCPU, 1024MB RAM vật lý, 25GB SSD, băng thông mạng hạn chế. Không được phép triển khai các thành phần nặng như Redis, Kafka, RabbitMQ, Elasticsearch hay cụm Kubernetes.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Bảng Phân Bổ Ngân Sách Bộ Nhớ RAM (RAM Budget Allocation)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Tiến trình / Dịch vụ</w:t>
            </w:r>
          </w:p>
        </w:tc>
        <w:tc>
          <w:tcPr>
            <w:tcW w:type="dxa" w:w="2016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Mức RAM tối đa</w:t>
            </w:r>
          </w:p>
        </w:tc>
        <w:tc>
          <w:tcPr>
            <w:tcW w:type="dxa" w:w="144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Tỷ lệ %</w:t>
            </w:r>
          </w:p>
        </w:tc>
        <w:tc>
          <w:tcPr>
            <w:tcW w:type="dxa" w:w="403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Cơ chế kiểm soát &amp; cô lập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Linux Kernel &amp; OS Core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120 MB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12.0%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Loại bỏ snapd, ModemManager, giảm tải daemon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MySQL 8.x Database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320 MB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31.2%</w:t>
            </w:r>
          </w:p>
        </w:tc>
        <w:tc>
          <w:tcPr>
            <w:tcW w:type="dxa" w:w="403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innodb_buffer_pool_size=256M, max_connections=40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Golang Backend API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50 MB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4.9%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GOMEMLIMIT=45MiB, GOGC=80, connection pool = 15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Nginx Reverse Proxy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25 MB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2.4%</w:t>
            </w:r>
          </w:p>
        </w:tc>
        <w:tc>
          <w:tcPr>
            <w:tcW w:type="dxa" w:w="403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worker_processes 1, worker_connections 512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Temporary Workspace / Buffer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150 MB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14.6%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Giới hạn dung lượng tối đa cho file tạm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Linux OS Page Cache / Free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359 MB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34.9%</w:t>
            </w:r>
          </w:p>
        </w:tc>
        <w:tc>
          <w:tcPr>
            <w:tcW w:type="dxa" w:w="403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Bộ đệm I/O của hệ điều hành, chống nghẽn đĩa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TỔNG CỘNG HỆ THỐNG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1,024 MB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Kích hoạt 1GB Swap (vm.swappiness=10) an toàn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3. Thiết Kế Backend Golang Modular Monolith</w:t>
      </w:r>
    </w:p>
    <w:p>
      <w:r>
        <w:t>Mã nguồn Backend tổ chức theo cấu trúc module rõ ràng, biên dịch thành một file binary duy nhất (&lt; 20MB):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1252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6EBF0"/>
                <w:sz w:val="17"/>
              </w:rPr>
              <w:t>backend/</w:t>
              <w:br/>
              <w:t>├── cmd/server/main.go          # Khởi tạo config, database, chi router, graceful shutdown</w:t>
              <w:br/>
              <w:t>├── internal/</w:t>
              <w:br/>
              <w:t>│   ├── session/                # Quản lý listening session &amp; vòng đời URL</w:t>
              <w:br/>
              <w:t>│   ├── progress/               # Xử lý đồng bộ vị trí nghe mỗi 60 giây (UPSERT logic)</w:t>
              <w:br/>
              <w:t>│   ├── youtube/                # Validate YouTube URL, Regex parsing, trích xuất Video ID</w:t>
              <w:br/>
              <w:t>│   ├── auth/                   # Quản lý tài khoản User &amp; Guest Session Token</w:t>
              <w:br/>
              <w:t>│   └── platform/</w:t>
              <w:br/>
              <w:t>│       ├── database/           # sql.DB connection pool tối ưu cho máy chủ yếu</w:t>
              <w:br/>
              <w:t>│       └── response/           # JSON envelope chuẩn hóa {success, data, error}</w:t>
              <w:br/>
              <w:t>└── migrations/                 # DDL migrations cho MySQL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02_TECHNICAL_ARCHITECTURE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