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08. MYSQL DATABASE DESIGN &amp; TUNING</w:t>
      </w:r>
    </w:p>
    <w:p>
      <w:pPr>
        <w:jc w:val="center"/>
      </w:pPr>
      <w:r>
        <w:rPr>
          <w:rFonts w:ascii="Arial" w:hAnsi="Arial"/>
          <w:i/>
          <w:color w:val="505A69"/>
          <w:sz w:val="22"/>
        </w:rPr>
        <w:t>Đặc Tả Cơ Sở Dữ Liệu MySQL 8.x &amp; Tối Ưu Server Yếu</w:t>
      </w:r>
    </w:p>
    <w:p>
      <w:pPr>
        <w:jc w:val="center"/>
      </w:pPr>
      <w:r>
        <w:rPr>
          <w:color w:val="C8CDD7"/>
        </w:rPr>
        <w:t>―――――――――――――――――――――――――――――――――――――――――――――</w:t>
      </w:r>
    </w:p>
    <w:p/>
    <w:p>
      <w:pPr>
        <w:pStyle w:val="Heading1"/>
        <w:spacing w:before="240" w:after="80"/>
      </w:pPr>
      <w:r>
        <w:rPr>
          <w:rFonts w:ascii="Arial" w:hAnsi="Arial"/>
          <w:b/>
          <w:color w:val="0F2A4A"/>
          <w:sz w:val="28"/>
        </w:rPr>
        <w:t>1. Nguyên Lý Thiết Kế Schema &amp; Ràng Buộc</w:t>
      </w:r>
    </w:p>
    <w:p>
      <w:r>
        <w:t>• Storage Engine: Bắt buộc sử dụng 100% InnoDB để đảm bảo tính toàn vẹn giao dịch (ACID), Foreign Keys và Row-level Locking.</w:t>
      </w:r>
    </w:p>
    <w:p>
      <w:r>
        <w:t>• Character Set: Bắt buộc sử dụng utf8mb4 với Collation utf8mb4_0900_ai_ci nhằm hỗ trợ đầy đủ tiếng Việt có dấu, ký tự quốc tế và emoji.</w:t>
      </w:r>
    </w:p>
    <w:p>
      <w:r>
        <w:t>• Kiểu dữ liệu tối ưu: Sử dụng INT UNSIGNED hoặc BIGINT UNSIGNED cho Primary Key, VARCHAR độ dài hợp lý, ENUM/TINYINT cho trạng thái để tiết kiệm bộ nhớ chỉ mục.</w:t>
      </w:r>
    </w:p>
    <w:p>
      <w:pPr>
        <w:pStyle w:val="Heading1"/>
        <w:spacing w:before="240" w:after="80"/>
      </w:pPr>
      <w:r>
        <w:rPr>
          <w:rFonts w:ascii="Arial" w:hAnsi="Arial"/>
          <w:b/>
          <w:color w:val="0F2A4A"/>
          <w:sz w:val="28"/>
        </w:rPr>
        <w:t>2. Cấu Hình MySQL Tối Ưu Cho Máy Chủ 1GB - 2GB RAM (my.cnf)</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FDEDEC"/>
          </w:tcPr>
          <w:p>
            <w:pPr>
              <w:spacing w:after="0"/>
            </w:pPr>
            <w:r>
              <w:rPr>
                <w:b/>
                <w:color w:val="B41414"/>
              </w:rPr>
              <w:t xml:space="preserve">[WARNING] </w:t>
            </w:r>
            <w:r>
              <w:rPr>
                <w:sz w:val="19"/>
              </w:rPr>
              <w:t>Mặc định MySQL 8.x phân bổ innodb_buffer_pool_size lớn (&gt; 128MB tới 80% RAM), dễ dẫn đến tình trạng máy chủ Linux bị tràn RAM và kích hoạt OOM Killer tiêu diệt tiến trình MySQL. Phải cấu hình my.cnf chuẩn xác theo bảng thông số dưới đây.</w:t>
            </w:r>
          </w:p>
        </w:tc>
      </w:tr>
    </w:tbl>
    <w:p/>
    <w:tbl>
      <w:tblPr>
        <w:tblW w:type="auto" w:w="0"/>
        <w:jc w:val="center"/>
        <w:tblLayout w:type="fixed"/>
        <w:tblLook w:firstColumn="1" w:firstRow="1" w:lastColumn="0" w:lastRow="0" w:noHBand="0" w:noVBand="1" w:val="04A0"/>
      </w:tblPr>
      <w:tblGrid>
        <w:gridCol w:w="3312"/>
        <w:gridCol w:w="3312"/>
        <w:gridCol w:w="3312"/>
      </w:tblGrid>
      <w:tr>
        <w:tc>
          <w:tcPr>
            <w:tcW w:type="dxa" w:w="3168"/>
            <w:shd w:fill="1F4E79"/>
            <w:tcMar>
              <w:top w:w="80" w:type="dxa"/>
              <w:bottom w:w="80" w:type="dxa"/>
              <w:left w:w="100" w:type="dxa"/>
              <w:right w:w="100" w:type="dxa"/>
            </w:tcMar>
          </w:tcPr>
          <w:p>
            <w:r>
              <w:rPr>
                <w:b/>
                <w:color w:val="FFFFFF"/>
                <w:sz w:val="18"/>
              </w:rPr>
              <w:t>Tham số cấu hình</w:t>
            </w:r>
          </w:p>
        </w:tc>
        <w:tc>
          <w:tcPr>
            <w:tcW w:type="dxa" w:w="2880"/>
            <w:shd w:fill="1F4E79"/>
            <w:tcMar>
              <w:top w:w="80" w:type="dxa"/>
              <w:bottom w:w="80" w:type="dxa"/>
              <w:left w:w="100" w:type="dxa"/>
              <w:right w:w="100" w:type="dxa"/>
            </w:tcMar>
          </w:tcPr>
          <w:p>
            <w:r>
              <w:rPr>
                <w:b/>
                <w:color w:val="FFFFFF"/>
                <w:sz w:val="18"/>
              </w:rPr>
              <w:t>Giá trị khuyến nghị</w:t>
            </w:r>
          </w:p>
        </w:tc>
        <w:tc>
          <w:tcPr>
            <w:tcW w:type="dxa" w:w="3600"/>
            <w:shd w:fill="1F4E79"/>
            <w:tcMar>
              <w:top w:w="80" w:type="dxa"/>
              <w:bottom w:w="80" w:type="dxa"/>
              <w:left w:w="100" w:type="dxa"/>
              <w:right w:w="100" w:type="dxa"/>
            </w:tcMar>
          </w:tcPr>
          <w:p>
            <w:r>
              <w:rPr>
                <w:b/>
                <w:color w:val="FFFFFF"/>
                <w:sz w:val="18"/>
              </w:rPr>
              <w:t>Mục đích tối ưu tài nguyên</w:t>
            </w:r>
          </w:p>
        </w:tc>
      </w:tr>
      <w:tr>
        <w:tc>
          <w:tcPr>
            <w:tcW w:type="dxa" w:w="3168"/>
            <w:shd w:fill="FFFFFF"/>
            <w:tcMar>
              <w:top w:w="60" w:type="dxa"/>
              <w:bottom w:w="60" w:type="dxa"/>
              <w:left w:w="100" w:type="dxa"/>
              <w:right w:w="100" w:type="dxa"/>
            </w:tcMar>
          </w:tcPr>
          <w:p>
            <w:r>
              <w:rPr>
                <w:sz w:val="17"/>
              </w:rPr>
              <w:t>innodb_buffer_pool_size</w:t>
            </w:r>
          </w:p>
        </w:tc>
        <w:tc>
          <w:tcPr>
            <w:tcW w:type="dxa" w:w="2880"/>
            <w:shd w:fill="FFFFFF"/>
            <w:tcMar>
              <w:top w:w="60" w:type="dxa"/>
              <w:bottom w:w="60" w:type="dxa"/>
              <w:left w:w="100" w:type="dxa"/>
              <w:right w:w="100" w:type="dxa"/>
            </w:tcMar>
          </w:tcPr>
          <w:p>
            <w:r>
              <w:rPr>
                <w:sz w:val="17"/>
              </w:rPr>
              <w:t>256M (cho VPS 1GB) / 512M (cho VPS 2GB)</w:t>
            </w:r>
          </w:p>
        </w:tc>
        <w:tc>
          <w:tcPr>
            <w:tcW w:type="dxa" w:w="3600"/>
            <w:shd w:fill="FFFFFF"/>
            <w:tcMar>
              <w:top w:w="60" w:type="dxa"/>
              <w:bottom w:w="60" w:type="dxa"/>
              <w:left w:w="100" w:type="dxa"/>
              <w:right w:w="100" w:type="dxa"/>
            </w:tcMar>
          </w:tcPr>
          <w:p>
            <w:r>
              <w:rPr>
                <w:sz w:val="17"/>
              </w:rPr>
              <w:t>Khống chế bộ đệm RAM của InnoDB, chiếm tối đa 30% tổng RAM hệ thống</w:t>
            </w:r>
          </w:p>
        </w:tc>
      </w:tr>
      <w:tr>
        <w:tc>
          <w:tcPr>
            <w:tcW w:type="dxa" w:w="3168"/>
            <w:shd w:fill="F9FAFB"/>
            <w:tcMar>
              <w:top w:w="60" w:type="dxa"/>
              <w:bottom w:w="60" w:type="dxa"/>
              <w:left w:w="100" w:type="dxa"/>
              <w:right w:w="100" w:type="dxa"/>
            </w:tcMar>
          </w:tcPr>
          <w:p>
            <w:r>
              <w:rPr>
                <w:sz w:val="17"/>
              </w:rPr>
              <w:t>innodb_log_file_size</w:t>
            </w:r>
          </w:p>
        </w:tc>
        <w:tc>
          <w:tcPr>
            <w:tcW w:type="dxa" w:w="2880"/>
            <w:shd w:fill="F9FAFB"/>
            <w:tcMar>
              <w:top w:w="60" w:type="dxa"/>
              <w:bottom w:w="60" w:type="dxa"/>
              <w:left w:w="100" w:type="dxa"/>
              <w:right w:w="100" w:type="dxa"/>
            </w:tcMar>
          </w:tcPr>
          <w:p>
            <w:r>
              <w:rPr>
                <w:sz w:val="17"/>
              </w:rPr>
              <w:t>64M</w:t>
            </w:r>
          </w:p>
        </w:tc>
        <w:tc>
          <w:tcPr>
            <w:tcW w:type="dxa" w:w="3600"/>
            <w:shd w:fill="F9FAFB"/>
            <w:tcMar>
              <w:top w:w="60" w:type="dxa"/>
              <w:bottom w:w="60" w:type="dxa"/>
              <w:left w:w="100" w:type="dxa"/>
              <w:right w:w="100" w:type="dxa"/>
            </w:tcMar>
          </w:tcPr>
          <w:p>
            <w:r>
              <w:rPr>
                <w:sz w:val="17"/>
              </w:rPr>
              <w:t>Duy trì log ghi transaction đủ cho throughput vừa phải</w:t>
            </w:r>
          </w:p>
        </w:tc>
      </w:tr>
      <w:tr>
        <w:tc>
          <w:tcPr>
            <w:tcW w:type="dxa" w:w="3168"/>
            <w:shd w:fill="FFFFFF"/>
            <w:tcMar>
              <w:top w:w="60" w:type="dxa"/>
              <w:bottom w:w="60" w:type="dxa"/>
              <w:left w:w="100" w:type="dxa"/>
              <w:right w:w="100" w:type="dxa"/>
            </w:tcMar>
          </w:tcPr>
          <w:p>
            <w:r>
              <w:rPr>
                <w:sz w:val="17"/>
              </w:rPr>
              <w:t>max_connections</w:t>
            </w:r>
          </w:p>
        </w:tc>
        <w:tc>
          <w:tcPr>
            <w:tcW w:type="dxa" w:w="2880"/>
            <w:shd w:fill="FFFFFF"/>
            <w:tcMar>
              <w:top w:w="60" w:type="dxa"/>
              <w:bottom w:w="60" w:type="dxa"/>
              <w:left w:w="100" w:type="dxa"/>
              <w:right w:w="100" w:type="dxa"/>
            </w:tcMar>
          </w:tcPr>
          <w:p>
            <w:r>
              <w:rPr>
                <w:sz w:val="17"/>
              </w:rPr>
              <w:t>50</w:t>
            </w:r>
          </w:p>
        </w:tc>
        <w:tc>
          <w:tcPr>
            <w:tcW w:type="dxa" w:w="3600"/>
            <w:shd w:fill="FFFFFF"/>
            <w:tcMar>
              <w:top w:w="60" w:type="dxa"/>
              <w:bottom w:w="60" w:type="dxa"/>
              <w:left w:w="100" w:type="dxa"/>
              <w:right w:w="100" w:type="dxa"/>
            </w:tcMar>
          </w:tcPr>
          <w:p>
            <w:r>
              <w:rPr>
                <w:sz w:val="17"/>
              </w:rPr>
              <w:t>Giới hạn kết nối tối đa từ Go backend và admin CLI, tránh cạn RAM stack</w:t>
            </w:r>
          </w:p>
        </w:tc>
      </w:tr>
      <w:tr>
        <w:tc>
          <w:tcPr>
            <w:tcW w:type="dxa" w:w="3168"/>
            <w:shd w:fill="F9FAFB"/>
            <w:tcMar>
              <w:top w:w="60" w:type="dxa"/>
              <w:bottom w:w="60" w:type="dxa"/>
              <w:left w:w="100" w:type="dxa"/>
              <w:right w:w="100" w:type="dxa"/>
            </w:tcMar>
          </w:tcPr>
          <w:p>
            <w:r>
              <w:rPr>
                <w:sz w:val="17"/>
              </w:rPr>
              <w:t>thread_cache_size</w:t>
            </w:r>
          </w:p>
        </w:tc>
        <w:tc>
          <w:tcPr>
            <w:tcW w:type="dxa" w:w="2880"/>
            <w:shd w:fill="F9FAFB"/>
            <w:tcMar>
              <w:top w:w="60" w:type="dxa"/>
              <w:bottom w:w="60" w:type="dxa"/>
              <w:left w:w="100" w:type="dxa"/>
              <w:right w:w="100" w:type="dxa"/>
            </w:tcMar>
          </w:tcPr>
          <w:p>
            <w:r>
              <w:rPr>
                <w:sz w:val="17"/>
              </w:rPr>
              <w:t>8</w:t>
            </w:r>
          </w:p>
        </w:tc>
        <w:tc>
          <w:tcPr>
            <w:tcW w:type="dxa" w:w="3600"/>
            <w:shd w:fill="F9FAFB"/>
            <w:tcMar>
              <w:top w:w="60" w:type="dxa"/>
              <w:bottom w:w="60" w:type="dxa"/>
              <w:left w:w="100" w:type="dxa"/>
              <w:right w:w="100" w:type="dxa"/>
            </w:tcMar>
          </w:tcPr>
          <w:p>
            <w:r>
              <w:rPr>
                <w:sz w:val="17"/>
              </w:rPr>
              <w:t>Tái sử dụng thread kết nối, giảm CPU overhead khởi tạo thread</w:t>
            </w:r>
          </w:p>
        </w:tc>
      </w:tr>
      <w:tr>
        <w:tc>
          <w:tcPr>
            <w:tcW w:type="dxa" w:w="3168"/>
            <w:shd w:fill="FFFFFF"/>
            <w:tcMar>
              <w:top w:w="60" w:type="dxa"/>
              <w:bottom w:w="60" w:type="dxa"/>
              <w:left w:w="100" w:type="dxa"/>
              <w:right w:w="100" w:type="dxa"/>
            </w:tcMar>
          </w:tcPr>
          <w:p>
            <w:r>
              <w:rPr>
                <w:sz w:val="17"/>
              </w:rPr>
              <w:t>table_open_cache</w:t>
            </w:r>
          </w:p>
        </w:tc>
        <w:tc>
          <w:tcPr>
            <w:tcW w:type="dxa" w:w="2880"/>
            <w:shd w:fill="FFFFFF"/>
            <w:tcMar>
              <w:top w:w="60" w:type="dxa"/>
              <w:bottom w:w="60" w:type="dxa"/>
              <w:left w:w="100" w:type="dxa"/>
              <w:right w:w="100" w:type="dxa"/>
            </w:tcMar>
          </w:tcPr>
          <w:p>
            <w:r>
              <w:rPr>
                <w:sz w:val="17"/>
              </w:rPr>
              <w:t>400</w:t>
            </w:r>
          </w:p>
        </w:tc>
        <w:tc>
          <w:tcPr>
            <w:tcW w:type="dxa" w:w="3600"/>
            <w:shd w:fill="FFFFFF"/>
            <w:tcMar>
              <w:top w:w="60" w:type="dxa"/>
              <w:bottom w:w="60" w:type="dxa"/>
              <w:left w:w="100" w:type="dxa"/>
              <w:right w:w="100" w:type="dxa"/>
            </w:tcMar>
          </w:tcPr>
          <w:p>
            <w:r>
              <w:rPr>
                <w:sz w:val="17"/>
              </w:rPr>
              <w:t>Kiểm soát số lượng file descriptor mở</w:t>
            </w:r>
          </w:p>
        </w:tc>
      </w:tr>
      <w:tr>
        <w:tc>
          <w:tcPr>
            <w:tcW w:type="dxa" w:w="3168"/>
            <w:shd w:fill="F9FAFB"/>
            <w:tcMar>
              <w:top w:w="60" w:type="dxa"/>
              <w:bottom w:w="60" w:type="dxa"/>
              <w:left w:w="100" w:type="dxa"/>
              <w:right w:w="100" w:type="dxa"/>
            </w:tcMar>
          </w:tcPr>
          <w:p>
            <w:r>
              <w:rPr>
                <w:sz w:val="17"/>
              </w:rPr>
              <w:t>slow_query_log</w:t>
            </w:r>
          </w:p>
        </w:tc>
        <w:tc>
          <w:tcPr>
            <w:tcW w:type="dxa" w:w="2880"/>
            <w:shd w:fill="F9FAFB"/>
            <w:tcMar>
              <w:top w:w="60" w:type="dxa"/>
              <w:bottom w:w="60" w:type="dxa"/>
              <w:left w:w="100" w:type="dxa"/>
              <w:right w:w="100" w:type="dxa"/>
            </w:tcMar>
          </w:tcPr>
          <w:p>
            <w:r>
              <w:rPr>
                <w:sz w:val="17"/>
              </w:rPr>
              <w:t>1 (long_query_time = 1.0s)</w:t>
            </w:r>
          </w:p>
        </w:tc>
        <w:tc>
          <w:tcPr>
            <w:tcW w:type="dxa" w:w="3600"/>
            <w:shd w:fill="F9FAFB"/>
            <w:tcMar>
              <w:top w:w="60" w:type="dxa"/>
              <w:bottom w:w="60" w:type="dxa"/>
              <w:left w:w="100" w:type="dxa"/>
              <w:right w:w="100" w:type="dxa"/>
            </w:tcMar>
          </w:tcPr>
          <w:p>
            <w:r>
              <w:rPr>
                <w:sz w:val="17"/>
              </w:rPr>
              <w:t>Bật giám sát các câu lệnh truy vấn chạy chậm vượt quá 1 giây</w:t>
            </w:r>
          </w:p>
        </w:tc>
      </w:tr>
    </w:tbl>
    <w:p/>
    <w:p>
      <w:pPr>
        <w:pStyle w:val="Heading1"/>
        <w:spacing w:before="240" w:after="80"/>
      </w:pPr>
      <w:r>
        <w:rPr>
          <w:rFonts w:ascii="Arial" w:hAnsi="Arial"/>
          <w:b/>
          <w:color w:val="0F2A4A"/>
          <w:sz w:val="28"/>
        </w:rPr>
        <w:t>3. Chiến Lược Đánh Chỉ Mục (Indexing Strategy)</w:t>
      </w:r>
    </w:p>
    <w:p>
      <w:r>
        <w:t>• Fulltext Search: Đặt FULLTEXT INDEX idx_ft_title_artist ON audios(title) phục vụ tìm kiếm từ khóa với MATCH() AGAINST().</w:t>
      </w:r>
    </w:p>
    <w:p>
      <w:r>
        <w:t>• Composite Index: Đặt INDEX idx_playlist_position ON playlist_items(playlist_id, position) để tối ưu việc load playlist có thứ tự.</w:t>
      </w:r>
    </w:p>
    <w:p>
      <w:r>
        <w:t>• Tránh N+1 Query: Go backend sử dụng các câu lệnh JOIN tường minh hoặc mảng ID (WHERE id IN (...)) thay vì lặp từng query đơn lẻ.</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08_MySQL_Database_Design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