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A4A"/>
          <w:sz w:val="40"/>
        </w:rPr>
        <w:t>15. COPYRIGHT &amp; LICENSING COMPLIANCE</w:t>
      </w:r>
    </w:p>
    <w:p>
      <w:pPr>
        <w:jc w:val="center"/>
      </w:pPr>
      <w:r>
        <w:rPr>
          <w:rFonts w:ascii="Arial" w:hAnsi="Arial"/>
          <w:i/>
          <w:color w:val="505A69"/>
          <w:sz w:val="22"/>
        </w:rPr>
        <w:t>Quy Trình Quản Lý Bản Quyền Nội Dung &amp; Giấy Phép Sử Dụng Hợp Pháp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―――――――――――――――――――――――――――――――――――――――――――――</w:t>
      </w:r>
    </w:p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1. Các Nguồn Âm Thanh Hợp Pháp Cho Hệ Thống</w:t>
      </w:r>
    </w:p>
    <w:p>
      <w:r>
        <w:t>Nhằm đảm bảo dự án vận hành an toàn và hợp pháp, hệ thống chỉ hỗ trợ 4 nhóm nguồn âm thanh sau:</w:t>
      </w:r>
    </w:p>
    <w:p>
      <w:r>
        <w:t>1. Tác phẩm do Quản trị viên/Người dùng tự sáng tác (User-owned Content): Người đăng tải giữ toàn quyền sở hữu trí tuệ.</w:t>
      </w:r>
    </w:p>
    <w:p>
      <w:r>
        <w:t>2. Tác phẩm thuộc Phạm vi Công cộng (Public Domain): Các bản ghi đã hết hạn bảo hộ bản quyền hoặc được tác giả hiến tặng tự do.</w:t>
      </w:r>
    </w:p>
    <w:p>
      <w:r>
        <w:t>3. Giấy phép Creative Commons Hợp lệ (CC BY, CC BY-SA): Cho phép phát trực tuyến miễn phí có kèm theo ghi công tác giả.</w:t>
      </w:r>
    </w:p>
    <w:p>
      <w:r>
        <w:t>4. Âm thanh có hợp đồng cấp phép thương mại hoặc cấp phép sử dụng dịch vụ (Commercial License).</w:t>
      </w:r>
    </w:p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2. Quy Trình DMCA &amp; Tiếp Nhận Khiếu Nại Bản Quyền (Notice &amp; Takedown)</w:t>
      </w:r>
    </w:p>
    <w:p>
      <w:r>
        <w:t>Hệ thống tích hợp quy trình xử lý khiếu nại bản quyền 3 bước chuẩn quốc tế:</w:t>
      </w:r>
    </w:p>
    <w:p>
      <w:r>
        <w:t>• Bước 1: Tiếp nhận thông báo vi phạm bản quyền từ chủ sở hữu quyền qua email legal/biểu mẫu.</w:t>
      </w:r>
    </w:p>
    <w:p>
      <w:r>
        <w:t>• Bước 2: Quản trị viên thực hiện chuyển trạng thái bản ghi audio sang UNPUBLISHED ngay lập tức trong bảng audios.</w:t>
      </w:r>
    </w:p>
    <w:p>
      <w:r>
        <w:t>• Bước 3: Lưu vết toàn bộ lịch sử xử lý vào bảng audit_logs để phục vụ báo cáo và đối soát pháp lý.</w:t>
      </w:r>
    </w:p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AUDIO STREAMING ARCHITECTURE SPECIFICATION | 15_Copyright_and_Licensing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