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color w:val="1A1A2E"/>
          <w:sz w:val="34"/>
        </w:rPr>
        <w:t>Test Automation Platform</w:t>
      </w:r>
    </w:p>
    <w:p>
      <w:pPr>
        <w:spacing w:after="0" w:before="0"/>
      </w:pPr>
      <w:r>
        <w:rPr>
          <w:i/>
          <w:color w:val="2B5CE6"/>
          <w:sz w:val="20"/>
        </w:rPr>
        <w:t>Cross-team quality intelligence — shipped capabilities at a glance</w:t>
      </w:r>
    </w:p>
    <w:p>
      <w:pPr>
        <w:spacing w:after="0" w:before="0"/>
      </w:pPr>
      <w:r>
        <w:rPr>
          <w:color w:val="5A5A6E"/>
          <w:sz w:val="16"/>
        </w:rPr>
        <w:t>Engineering summary for leadership  ·  July 2026  ·  status: running platform, not a prototype</w:t>
      </w:r>
    </w:p>
    <w:p>
      <w:pPr>
        <w:spacing w:after="80" w:before="60"/>
        <w:pBdr>
          <w:bottom w:val="single" w:sz="6" w:space="1" w:color="2B5CE6"/>
        </w:pBdr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val="clear" w:fill="F2F5FF"/>
          </w:tcPr>
          <w:p>
            <w:pPr>
              <w:spacing w:after="0" w:before="0"/>
              <w:jc w:val="center"/>
            </w:pPr>
            <w:r>
              <w:rPr>
                <w:b/>
                <w:color w:val="2B5CE6"/>
                <w:sz w:val="30"/>
              </w:rPr>
              <w:t>11</w:t>
            </w:r>
          </w:p>
          <w:p>
            <w:pPr>
              <w:spacing w:after="0" w:before="0"/>
              <w:jc w:val="center"/>
            </w:pPr>
            <w:r>
              <w:rPr>
                <w:color w:val="5A5A6E"/>
                <w:sz w:val="15"/>
              </w:rPr>
              <w:t>backend services</w:t>
            </w:r>
          </w:p>
        </w:tc>
        <w:tc>
          <w:tcPr>
            <w:tcW w:type="dxa" w:w="2102"/>
            <w:shd w:val="clear" w:fill="F2F5FF"/>
          </w:tcPr>
          <w:p>
            <w:pPr>
              <w:spacing w:after="0" w:before="0"/>
              <w:jc w:val="center"/>
            </w:pPr>
            <w:r>
              <w:rPr>
                <w:b/>
                <w:color w:val="2B5CE6"/>
                <w:sz w:val="30"/>
              </w:rPr>
              <w:t>467</w:t>
            </w:r>
          </w:p>
          <w:p>
            <w:pPr>
              <w:spacing w:after="0" w:before="0"/>
              <w:jc w:val="center"/>
            </w:pPr>
            <w:r>
              <w:rPr>
                <w:color w:val="5A5A6E"/>
                <w:sz w:val="15"/>
              </w:rPr>
              <w:t>REST APIs</w:t>
            </w:r>
          </w:p>
        </w:tc>
        <w:tc>
          <w:tcPr>
            <w:tcW w:type="dxa" w:w="2102"/>
            <w:shd w:val="clear" w:fill="F2F5FF"/>
          </w:tcPr>
          <w:p>
            <w:pPr>
              <w:spacing w:after="0" w:before="0"/>
              <w:jc w:val="center"/>
            </w:pPr>
            <w:r>
              <w:rPr>
                <w:b/>
                <w:color w:val="2B5CE6"/>
                <w:sz w:val="30"/>
              </w:rPr>
              <w:t>9</w:t>
            </w:r>
          </w:p>
          <w:p>
            <w:pPr>
              <w:spacing w:after="0" w:before="0"/>
              <w:jc w:val="center"/>
            </w:pPr>
            <w:r>
              <w:rPr>
                <w:color w:val="5A5A6E"/>
                <w:sz w:val="15"/>
              </w:rPr>
              <w:t>test frameworks ingested</w:t>
            </w:r>
          </w:p>
        </w:tc>
        <w:tc>
          <w:tcPr>
            <w:tcW w:type="dxa" w:w="2102"/>
            <w:shd w:val="clear" w:fill="F2F5FF"/>
          </w:tcPr>
          <w:p>
            <w:pPr>
              <w:spacing w:after="0" w:before="0"/>
              <w:jc w:val="center"/>
            </w:pPr>
            <w:r>
              <w:rPr>
                <w:b/>
                <w:color w:val="2B5CE6"/>
                <w:sz w:val="30"/>
              </w:rPr>
              <w:t>33</w:t>
            </w:r>
          </w:p>
          <w:p>
            <w:pPr>
              <w:spacing w:after="0" w:before="0"/>
              <w:jc w:val="center"/>
            </w:pPr>
            <w:r>
              <w:rPr>
                <w:color w:val="5A5A6E"/>
                <w:sz w:val="15"/>
              </w:rPr>
              <w:t>portal screens</w:t>
            </w:r>
          </w:p>
        </w:tc>
        <w:tc>
          <w:tcPr>
            <w:tcW w:type="dxa" w:w="2102"/>
            <w:shd w:val="clear" w:fill="F2F5FF"/>
          </w:tcPr>
          <w:p>
            <w:pPr>
              <w:spacing w:after="0" w:before="0"/>
              <w:jc w:val="center"/>
            </w:pPr>
            <w:r>
              <w:rPr>
                <w:b/>
                <w:color w:val="2B5CE6"/>
                <w:sz w:val="30"/>
              </w:rPr>
              <w:t>92</w:t>
            </w:r>
          </w:p>
          <w:p>
            <w:pPr>
              <w:spacing w:after="0" w:before="0"/>
              <w:jc w:val="center"/>
            </w:pPr>
            <w:r>
              <w:rPr>
                <w:color w:val="5A5A6E"/>
                <w:sz w:val="15"/>
              </w:rPr>
              <w:t>automated test suites</w:t>
            </w:r>
          </w:p>
        </w:tc>
      </w:tr>
    </w:tbl>
    <w:p>
      <w:pPr>
        <w:spacing w:after="40"/>
      </w:pPr>
    </w:p>
    <w:p>
      <w:pPr>
        <w:spacing w:after="40" w:before="100"/>
      </w:pPr>
      <w:r>
        <w:rPr>
          <w:b/>
          <w:color w:val="1A1A2E"/>
          <w:sz w:val="19"/>
        </w:rPr>
        <w:t>THE HEADLINE: AN AI ENGINEER FOR YOUR TEST SUITE</w:t>
      </w:r>
    </w:p>
    <w:p>
      <w:pPr>
        <w:spacing w:after="40" w:before="0"/>
        <w:ind w:left="29"/>
      </w:pPr>
      <w:r>
        <w:rPr>
          <w:b/>
          <w:color w:val="2B5CE6"/>
        </w:rPr>
        <w:t xml:space="preserve">▸ </w:t>
      </w:r>
      <w:r>
        <w:rPr>
          <w:b/>
          <w:sz w:val="19"/>
        </w:rPr>
        <w:t xml:space="preserve">Autonomous failure triage  </w:t>
      </w:r>
      <w:r>
        <w:rPr>
          <w:color w:val="1A1A2E"/>
          <w:sz w:val="18"/>
        </w:rPr>
        <w:t>— every test failure is classified by an LLM (Claude/OpenAI via a gateway) into a root-cause category, with a nightly batch job that clears the backlog while the team sleeps.</w:t>
      </w:r>
    </w:p>
    <w:p>
      <w:pPr>
        <w:spacing w:after="40" w:before="0"/>
        <w:ind w:left="29"/>
      </w:pPr>
      <w:r>
        <w:rPr>
          <w:b/>
          <w:color w:val="2B5CE6"/>
        </w:rPr>
        <w:t xml:space="preserve">▸ </w:t>
      </w:r>
      <w:r>
        <w:rPr>
          <w:b/>
          <w:sz w:val="19"/>
        </w:rPr>
        <w:t xml:space="preserve">Agentic workflows that write code  </w:t>
      </w:r>
      <w:r>
        <w:rPr>
          <w:color w:val="1A1A2E"/>
          <w:sz w:val="18"/>
        </w:rPr>
        <w:t>— a self-hosted Agent Hub runs multi-step LLM workflows to generate test cases from requirements, produce runnable automation code, analyze the blast radius of a pull request, and self-heal flaky tests — every proposal gated by a human review queue.</w:t>
      </w:r>
    </w:p>
    <w:p>
      <w:pPr>
        <w:spacing w:after="40" w:before="0"/>
        <w:ind w:left="29"/>
      </w:pPr>
      <w:r>
        <w:rPr>
          <w:b/>
          <w:color w:val="2B5CE6"/>
        </w:rPr>
        <w:t xml:space="preserve">▸ </w:t>
      </w:r>
      <w:r>
        <w:rPr>
          <w:b/>
          <w:sz w:val="19"/>
        </w:rPr>
        <w:t xml:space="preserve">Test Impact Analysis  </w:t>
      </w:r>
      <w:r>
        <w:rPr>
          <w:color w:val="1A1A2E"/>
          <w:sz w:val="18"/>
        </w:rPr>
        <w:t>— maps code changes to the exact tests that exercise them, so CI runs the affected slice instead of the whole suite — faster feedback, lower compute.</w:t>
      </w:r>
    </w:p>
    <w:p>
      <w:pPr>
        <w:spacing w:after="40" w:before="100"/>
      </w:pPr>
      <w:r>
        <w:rPr>
          <w:b/>
          <w:color w:val="1A1A2E"/>
          <w:sz w:val="19"/>
        </w:rPr>
        <w:t>QUALITY INTELLIGENCE, RUNNING TODAY</w:t>
      </w:r>
    </w:p>
    <w:p>
      <w:pPr>
        <w:spacing w:after="40" w:before="0"/>
        <w:ind w:left="29"/>
      </w:pPr>
      <w:r>
        <w:rPr>
          <w:b/>
          <w:color w:val="2B5CE6"/>
        </w:rPr>
        <w:t xml:space="preserve">▸ </w:t>
      </w:r>
      <w:r>
        <w:rPr>
          <w:b/>
          <w:sz w:val="19"/>
        </w:rPr>
        <w:t xml:space="preserve">Flakiness scoring + auto-ticketing  </w:t>
      </w:r>
      <w:r>
        <w:rPr>
          <w:color w:val="1A1A2E"/>
          <w:sz w:val="18"/>
        </w:rPr>
        <w:t>— quantifies unstable tests from execution history and opens Jira tickets automatically for repeat offenders.</w:t>
      </w:r>
    </w:p>
    <w:p>
      <w:pPr>
        <w:spacing w:after="40" w:before="0"/>
        <w:ind w:left="29"/>
      </w:pPr>
      <w:r>
        <w:rPr>
          <w:b/>
          <w:color w:val="2B5CE6"/>
        </w:rPr>
        <w:t xml:space="preserve">▸ </w:t>
      </w:r>
      <w:r>
        <w:rPr>
          <w:b/>
          <w:sz w:val="19"/>
        </w:rPr>
        <w:t xml:space="preserve">Quality gates, trends &amp; release reports  </w:t>
      </w:r>
      <w:r>
        <w:rPr>
          <w:color w:val="1A1A2E"/>
          <w:sz w:val="18"/>
        </w:rPr>
        <w:t>— pass-rate trends, risk scoring, and go/no-go release readiness — the signals a release manager actually needs.</w:t>
      </w:r>
    </w:p>
    <w:p>
      <w:pPr>
        <w:spacing w:after="40" w:before="0"/>
        <w:ind w:left="29"/>
      </w:pPr>
      <w:r>
        <w:rPr>
          <w:b/>
          <w:color w:val="2B5CE6"/>
        </w:rPr>
        <w:t xml:space="preserve">▸ </w:t>
      </w:r>
      <w:r>
        <w:rPr>
          <w:b/>
          <w:sz w:val="19"/>
        </w:rPr>
        <w:t xml:space="preserve">Universal ingestion  </w:t>
      </w:r>
      <w:r>
        <w:rPr>
          <w:color w:val="1A1A2E"/>
          <w:sz w:val="18"/>
        </w:rPr>
        <w:t>— one pipeline parses 9 frameworks out of the box: JUnit, TestNG, Cucumber, Allure, Playwright, Postman/Newman, k6, Gatling, and JMeter.</w:t>
      </w:r>
    </w:p>
    <w:p>
      <w:pPr>
        <w:spacing w:after="40" w:before="100"/>
      </w:pPr>
      <w:r>
        <w:rPr>
          <w:b/>
          <w:color w:val="1A1A2E"/>
          <w:sz w:val="19"/>
        </w:rPr>
        <w:t>ENTERPRISE-READY FOUNDATION</w:t>
      </w:r>
    </w:p>
    <w:p>
      <w:pPr>
        <w:spacing w:after="40" w:before="0"/>
        <w:ind w:left="29"/>
      </w:pPr>
      <w:r>
        <w:rPr>
          <w:b/>
          <w:color w:val="2B5CE6"/>
        </w:rPr>
        <w:t xml:space="preserve">▸ </w:t>
      </w:r>
      <w:r>
        <w:rPr>
          <w:b/>
          <w:sz w:val="19"/>
        </w:rPr>
        <w:t xml:space="preserve">Full test-case management  </w:t>
      </w:r>
      <w:r>
        <w:rPr>
          <w:color w:val="1A1A2E"/>
          <w:sz w:val="18"/>
        </w:rPr>
        <w:t>— requirements, traceability, coverage matrix, suites, and manual + automated runs in one portal (33 screens).</w:t>
      </w:r>
    </w:p>
    <w:p>
      <w:pPr>
        <w:spacing w:after="40" w:before="0"/>
        <w:ind w:left="29"/>
      </w:pPr>
      <w:r>
        <w:rPr>
          <w:b/>
          <w:color w:val="2B5CE6"/>
        </w:rPr>
        <w:t xml:space="preserve">▸ </w:t>
      </w:r>
      <w:r>
        <w:rPr>
          <w:b/>
          <w:sz w:val="19"/>
        </w:rPr>
        <w:t xml:space="preserve">Plugs into the toolchain  </w:t>
      </w:r>
      <w:r>
        <w:rPr>
          <w:color w:val="1A1A2E"/>
          <w:sz w:val="18"/>
        </w:rPr>
        <w:t>— live Jira, GitHub, and Azure DevOps integrations, including a guided Azure DevOps onboarding wizard.</w:t>
      </w:r>
    </w:p>
    <w:p>
      <w:pPr>
        <w:spacing w:after="40" w:before="0"/>
        <w:ind w:left="29"/>
      </w:pPr>
      <w:r>
        <w:rPr>
          <w:b/>
          <w:color w:val="2B5CE6"/>
        </w:rPr>
        <w:t xml:space="preserve">▸ </w:t>
      </w:r>
      <w:r>
        <w:rPr>
          <w:b/>
          <w:sz w:val="19"/>
        </w:rPr>
        <w:t xml:space="preserve">Built for teams  </w:t>
      </w:r>
      <w:r>
        <w:rPr>
          <w:color w:val="1A1A2E"/>
          <w:sz w:val="18"/>
        </w:rPr>
        <w:t>— role-based access control, multi-org tenancy, API keys, event streaming (Kafka), and a full observability stack (Grafana/Prometheus/Loki).</w:t>
      </w:r>
    </w:p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EAF6EF"/>
          </w:tcPr>
          <w:p>
            <w:pPr>
              <w:spacing w:after="0" w:before="0"/>
            </w:pPr>
            <w:r>
              <w:rPr>
                <w:b/>
                <w:color w:val="0E7A4B"/>
                <w:sz w:val="18"/>
              </w:rPr>
              <w:t xml:space="preserve">Where it stands   </w:t>
            </w:r>
            <w:r>
              <w:rPr>
                <w:color w:val="1A1A2E"/>
                <w:sz w:val="17"/>
              </w:rPr>
              <w:t>These are working services with automated test coverage and a documented cloud cost model (~$170–230/mo compute, LLM tokens separate) — not slideware. The next mile is scale hardening, connector breadth, and production pilots with real teams.</w:t>
            </w:r>
          </w:p>
        </w:tc>
      </w:tr>
    </w:tbl>
    <w:sectPr w:rsidR="00FC693F" w:rsidRPr="0006063C" w:rsidSect="00034616">
      <w:pgSz w:w="12240" w:h="15840"/>
      <w:pgMar w:top="648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color w:val="1A1A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