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W w:w="852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0" w:hRule="atLeast"/>
          <w:jc w:val="center"/>
        </w:trPr>
        <w:tc>
          <w:tcPr>
            <w:tcW w:w="8522" w:type="dxa"/>
          </w:tcPr>
          <w:p>
            <w:pPr>
              <w:pStyle w:val="13"/>
              <w:jc w:val="center"/>
              <w:rPr>
                <w:rFonts w:ascii="宋体" w:hAnsi="宋体" w:cs="宋体" w:eastAsiaTheme="minorEastAsia"/>
                <w:kern w:val="2"/>
                <w:sz w:val="44"/>
                <w:szCs w:val="4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tc>
          <w:tcPr>
            <w:tcW w:w="8522" w:type="dxa"/>
            <w:tcBorders>
              <w:bottom w:val="single" w:color="4F81BD" w:sz="4" w:space="0"/>
            </w:tcBorders>
            <w:vAlign w:val="center"/>
          </w:tcPr>
          <w:p>
            <w:pPr>
              <w:rPr>
                <w:rFonts w:ascii="宋体" w:hAnsi="宋体" w:cs="宋体"/>
                <w:sz w:val="44"/>
                <w:szCs w:val="44"/>
              </w:rPr>
            </w:pPr>
          </w:p>
          <w:p>
            <w:pPr>
              <w:ind w:firstLine="2200" w:firstLineChars="500"/>
            </w:pPr>
            <w:r>
              <w:rPr>
                <w:rFonts w:hint="eastAsia" w:ascii="宋体" w:hAnsi="宋体" w:cs="宋体"/>
                <w:sz w:val="44"/>
                <w:szCs w:val="44"/>
              </w:rPr>
              <w:t>智能水务互联网+平台</w:t>
            </w:r>
            <w:r>
              <w:rPr>
                <w:rFonts w:hint="eastAsia"/>
              </w:rPr>
              <w:t xml:space="preserve"> </w:t>
            </w:r>
          </w:p>
          <w:p>
            <w:pPr>
              <w:pStyle w:val="13"/>
              <w:jc w:val="center"/>
              <w:rPr>
                <w:rFonts w:ascii="Cambria" w:hAnsi="Cambria"/>
                <w:sz w:val="80"/>
                <w:szCs w:val="80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  <w:jc w:val="center"/>
        </w:trPr>
        <w:tc>
          <w:tcPr>
            <w:tcW w:w="8522" w:type="dxa"/>
            <w:tcBorders>
              <w:top w:val="single" w:color="4F81BD" w:sz="4" w:space="0"/>
            </w:tcBorders>
            <w:vAlign w:val="center"/>
          </w:tcPr>
          <w:p>
            <w:pPr>
              <w:pStyle w:val="13"/>
              <w:rPr>
                <w:rFonts w:ascii="Cambria" w:hAnsi="Cambria"/>
                <w:sz w:val="44"/>
                <w:szCs w:val="4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8522" w:type="dxa"/>
            <w:vAlign w:val="center"/>
          </w:tcPr>
          <w:p>
            <w:pPr>
              <w:jc w:val="center"/>
              <w:rPr>
                <w:sz w:val="72"/>
                <w:szCs w:val="72"/>
              </w:rPr>
            </w:pPr>
            <w:r>
              <w:rPr>
                <w:sz w:val="72"/>
                <w:szCs w:val="7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1122045</wp:posOffset>
                      </wp:positionH>
                      <wp:positionV relativeFrom="paragraph">
                        <wp:posOffset>-2059940</wp:posOffset>
                      </wp:positionV>
                      <wp:extent cx="3190875" cy="798830"/>
                      <wp:effectExtent l="0" t="0" r="0" b="0"/>
                      <wp:wrapNone/>
                      <wp:docPr id="47" name="Quad Arrow 10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90875" cy="7988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sz w:val="44"/>
                                      <w:szCs w:val="44"/>
                                    </w:rPr>
                                    <w:t>上海天石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Quad Arrow 1026" o:spid="_x0000_s1026" o:spt="202" type="#_x0000_t202" style="position:absolute;left:0pt;margin-left:88.35pt;margin-top:-162.2pt;height:62.9pt;width:251.25pt;z-index:251660288;mso-width-relative:page;mso-height-relative:page;" filled="f" stroked="f" coordsize="21600,21600" o:gfxdata="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rYtbB2QAAAA0BAAAPAAAAAAAAAAEAIAAAACIAAABk&#10;cnMvZG93bnJldi54bWxQSwECFAAUAAAACACHTuJAYR5TRpMBAAAOAwAADgAAAAAAAAABACAAAAAo&#10;AQAAZHJzL2Uyb0RvYy54bWxQSwUGAAAAAAYABgBZAQAALQU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44"/>
                                <w:szCs w:val="44"/>
                              </w:rPr>
                              <w:t>上海天石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sz w:val="72"/>
                <w:szCs w:val="72"/>
              </w:rPr>
              <w:t>设计方案</w:t>
            </w:r>
          </w:p>
          <w:p>
            <w:pPr>
              <w:pStyle w:val="13"/>
              <w:jc w:val="center"/>
              <w:rPr>
                <w:sz w:val="72"/>
                <w:szCs w:val="72"/>
              </w:rPr>
            </w:pPr>
          </w:p>
          <w:p>
            <w:pPr>
              <w:pStyle w:val="13"/>
              <w:jc w:val="center"/>
            </w:pPr>
          </w:p>
          <w:p>
            <w:pPr>
              <w:pStyle w:val="13"/>
              <w:jc w:val="center"/>
            </w:pPr>
          </w:p>
          <w:p>
            <w:pPr>
              <w:pStyle w:val="13"/>
              <w:jc w:val="center"/>
            </w:pPr>
          </w:p>
          <w:p>
            <w:pPr>
              <w:pStyle w:val="13"/>
              <w:jc w:val="center"/>
            </w:pPr>
          </w:p>
          <w:p>
            <w:pPr>
              <w:pStyle w:val="13"/>
              <w:jc w:val="center"/>
            </w:pPr>
          </w:p>
          <w:p>
            <w:pPr>
              <w:pStyle w:val="13"/>
              <w:jc w:val="center"/>
            </w:pPr>
          </w:p>
          <w:p>
            <w:pPr>
              <w:pStyle w:val="13"/>
              <w:jc w:val="center"/>
            </w:pPr>
          </w:p>
          <w:p>
            <w:pPr>
              <w:pStyle w:val="13"/>
              <w:jc w:val="center"/>
            </w:pPr>
          </w:p>
          <w:p>
            <w:pPr>
              <w:pStyle w:val="13"/>
              <w:jc w:val="center"/>
            </w:pPr>
          </w:p>
          <w:p>
            <w:pPr>
              <w:pStyle w:val="13"/>
              <w:jc w:val="center"/>
            </w:pPr>
          </w:p>
          <w:p>
            <w:pPr>
              <w:pStyle w:val="13"/>
              <w:jc w:val="center"/>
            </w:pPr>
          </w:p>
          <w:p>
            <w:pPr>
              <w:pStyle w:val="13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8522" w:type="dxa"/>
            <w:vAlign w:val="center"/>
          </w:tcPr>
          <w:p>
            <w:pPr>
              <w:pStyle w:val="13"/>
              <w:rPr>
                <w:b/>
                <w:bCs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8522" w:type="dxa"/>
            <w:vAlign w:val="center"/>
          </w:tcPr>
          <w:p>
            <w:pPr>
              <w:pStyle w:val="1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2018-4-1</w:t>
            </w:r>
          </w:p>
        </w:tc>
      </w:tr>
    </w:tbl>
    <w:p>
      <w:pPr>
        <w:widowControl/>
        <w:jc w:val="center"/>
        <w:rPr>
          <w:rFonts w:asci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上海天石测控设备有限公司</w:t>
      </w:r>
    </w:p>
    <w:p/>
    <w:p/>
    <w:p>
      <w:r>
        <w:rPr>
          <w:rFonts w:hint="eastAsia"/>
        </w:rPr>
        <w:t xml:space="preserve">智能水务互联网+平台 </w:t>
      </w:r>
    </w:p>
    <w:p>
      <w:r>
        <w:rPr>
          <w:rFonts w:hint="eastAsia"/>
        </w:rPr>
        <w:t>设计方案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1 引言</w:t>
      </w:r>
    </w:p>
    <w:p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目的</w:t>
      </w:r>
    </w:p>
    <w:p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项目背景</w:t>
      </w:r>
    </w:p>
    <w:p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定义</w:t>
      </w:r>
    </w:p>
    <w:p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引用文件</w:t>
      </w:r>
    </w:p>
    <w:p/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项目概述</w:t>
      </w:r>
    </w:p>
    <w:p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目标</w:t>
      </w:r>
    </w:p>
    <w:p>
      <w:pPr>
        <w:pStyle w:val="10"/>
        <w:tabs>
          <w:tab w:val="left" w:pos="210"/>
        </w:tabs>
        <w:spacing w:line="360" w:lineRule="auto"/>
        <w:ind w:left="360" w:firstLine="0" w:firstLineChars="0"/>
        <w:rPr>
          <w:rFonts w:ascii="宋体" w:hAnsi="宋体"/>
          <w:bCs/>
          <w:color w:val="FF0000"/>
          <w:szCs w:val="21"/>
        </w:rPr>
      </w:pPr>
      <w:r>
        <w:rPr>
          <w:rFonts w:hint="eastAsia" w:ascii="宋体" w:hAnsi="宋体"/>
          <w:bCs/>
          <w:color w:val="FF0000"/>
          <w:szCs w:val="21"/>
        </w:rPr>
        <w:t>上</w:t>
      </w:r>
      <w:bookmarkStart w:id="4" w:name="_GoBack"/>
      <w:r>
        <w:rPr>
          <w:rFonts w:hint="eastAsia" w:ascii="宋体" w:hAnsi="宋体"/>
          <w:bCs/>
          <w:color w:val="FF0000"/>
          <w:szCs w:val="21"/>
        </w:rPr>
        <w:t>海天石电池供电电磁流量计通过</w:t>
      </w:r>
      <w:r>
        <w:rPr>
          <w:rFonts w:ascii="宋体" w:hAnsi="宋体"/>
          <w:bCs/>
          <w:color w:val="FF0000"/>
          <w:szCs w:val="21"/>
        </w:rPr>
        <w:t>GPRS</w:t>
      </w:r>
      <w:r>
        <w:rPr>
          <w:rFonts w:hint="eastAsia" w:ascii="宋体" w:hAnsi="宋体"/>
          <w:bCs/>
          <w:color w:val="FF0000"/>
          <w:szCs w:val="21"/>
        </w:rPr>
        <w:t>或NB-IOT无线网络将数据传输到计算机，用户可以通过计算机查询电池供电型转换器的瞬时流量、瞬时流速、累积流量、电导比、信号强度、电池电量等信息。</w:t>
      </w:r>
    </w:p>
    <w:p>
      <w:pPr>
        <w:pStyle w:val="10"/>
        <w:tabs>
          <w:tab w:val="left" w:pos="210"/>
        </w:tabs>
        <w:spacing w:line="360" w:lineRule="auto"/>
        <w:ind w:left="360" w:firstLine="0" w:firstLineChars="0"/>
        <w:rPr>
          <w:rFonts w:ascii="宋体" w:hAnsi="宋体"/>
          <w:bCs/>
          <w:color w:val="FF0000"/>
          <w:szCs w:val="21"/>
        </w:rPr>
      </w:pPr>
      <w:r>
        <w:rPr>
          <w:rFonts w:hint="eastAsia" w:ascii="宋体" w:hAnsi="宋体"/>
          <w:bCs/>
          <w:color w:val="FF0000"/>
          <w:szCs w:val="21"/>
        </w:rPr>
        <w:t>上海天石网络远程数据管理系统是采用</w:t>
      </w:r>
      <w:r>
        <w:rPr>
          <w:rFonts w:ascii="宋体" w:hAnsi="宋体"/>
          <w:bCs/>
          <w:color w:val="FF0000"/>
          <w:szCs w:val="21"/>
        </w:rPr>
        <w:t xml:space="preserve">B/S </w:t>
      </w:r>
      <w:r>
        <w:rPr>
          <w:rFonts w:hint="eastAsia" w:ascii="宋体" w:hAnsi="宋体"/>
          <w:bCs/>
          <w:color w:val="FF0000"/>
          <w:szCs w:val="21"/>
        </w:rPr>
        <w:t>结构，用户只需通过浏览器就可以登录系统，监测流量计的相关数据。</w:t>
      </w:r>
    </w:p>
    <w:p>
      <w:pPr>
        <w:pStyle w:val="10"/>
        <w:ind w:left="360" w:firstLine="0" w:firstLineChars="0"/>
        <w:rPr>
          <w:rFonts w:ascii="宋体" w:hAnsi="宋体"/>
          <w:bCs/>
          <w:color w:val="FF0000"/>
          <w:szCs w:val="21"/>
        </w:rPr>
      </w:pPr>
      <w:r>
        <w:rPr>
          <w:rFonts w:hint="eastAsia" w:ascii="宋体" w:hAnsi="宋体"/>
          <w:bCs/>
          <w:color w:val="FF0000"/>
          <w:szCs w:val="21"/>
        </w:rPr>
        <w:t>无线通讯方式目前采用</w:t>
      </w:r>
      <w:r>
        <w:rPr>
          <w:rFonts w:ascii="宋体" w:hAnsi="宋体"/>
          <w:bCs/>
          <w:color w:val="FF0000"/>
          <w:szCs w:val="21"/>
        </w:rPr>
        <w:t>GPRS</w:t>
      </w:r>
      <w:r>
        <w:rPr>
          <w:rFonts w:hint="eastAsia" w:ascii="宋体" w:hAnsi="宋体"/>
          <w:bCs/>
          <w:color w:val="FF0000"/>
          <w:szCs w:val="21"/>
        </w:rPr>
        <w:t>，后期采用NB-IOT。</w:t>
      </w:r>
    </w:p>
    <w:p>
      <w:pPr>
        <w:pStyle w:val="10"/>
        <w:ind w:left="360" w:firstLine="0" w:firstLineChars="0"/>
        <w:rPr>
          <w:rFonts w:ascii="宋体" w:hAnsi="宋体"/>
          <w:bCs/>
          <w:color w:val="FF0000"/>
          <w:szCs w:val="21"/>
        </w:rPr>
      </w:pPr>
      <w:r>
        <w:rPr>
          <w:rFonts w:hint="eastAsia" w:ascii="宋体" w:hAnsi="宋体"/>
          <w:bCs/>
          <w:color w:val="FF0000"/>
          <w:szCs w:val="21"/>
        </w:rPr>
        <w:t>服务器分2种，1种服务器放在上海天石，主要针对小的水务公司，在客户端通过浏览器访问数据；另外1种是服务器放在客户端，客户</w:t>
      </w:r>
      <w:bookmarkEnd w:id="4"/>
      <w:r>
        <w:rPr>
          <w:rFonts w:hint="eastAsia" w:ascii="宋体" w:hAnsi="宋体"/>
          <w:bCs/>
          <w:color w:val="FF0000"/>
          <w:szCs w:val="21"/>
        </w:rPr>
        <w:t>端通过浏览器访问本地数据。</w:t>
      </w:r>
    </w:p>
    <w:p>
      <w:pPr>
        <w:pStyle w:val="10"/>
        <w:numPr>
          <w:ilvl w:val="2"/>
          <w:numId w:val="1"/>
        </w:numPr>
        <w:ind w:firstLineChars="0"/>
        <w:rPr>
          <w:rFonts w:ascii="宋体" w:hAnsi="宋体"/>
          <w:bCs/>
          <w:color w:val="FF0000"/>
          <w:szCs w:val="21"/>
        </w:rPr>
      </w:pPr>
      <w:r>
        <w:rPr>
          <w:rFonts w:hint="eastAsia" w:ascii="宋体" w:hAnsi="宋体"/>
          <w:bCs/>
          <w:color w:val="FF0000"/>
          <w:szCs w:val="21"/>
        </w:rPr>
        <w:t>上海天石端服务器规划</w:t>
      </w:r>
    </w:p>
    <w:p>
      <w:pPr>
        <w:rPr>
          <w:rFonts w:ascii="宋体" w:hAnsi="宋体"/>
          <w:bCs/>
          <w:color w:val="FF0000"/>
          <w:szCs w:val="21"/>
        </w:rPr>
      </w:pPr>
      <w:r>
        <w:rPr>
          <w:rFonts w:hint="eastAsia"/>
          <w:color w:val="FF0000"/>
        </w:rPr>
        <w:t xml:space="preserve">  按每年销售3000台</w:t>
      </w:r>
      <w:r>
        <w:rPr>
          <w:rFonts w:hint="eastAsia" w:ascii="宋体" w:hAnsi="宋体"/>
          <w:bCs/>
          <w:color w:val="FF0000"/>
          <w:szCs w:val="21"/>
        </w:rPr>
        <w:t>电磁流量计，</w:t>
      </w:r>
      <w:r>
        <w:rPr>
          <w:rFonts w:hint="eastAsia"/>
          <w:color w:val="FF0000"/>
        </w:rPr>
        <w:t>2000台</w:t>
      </w:r>
      <w:r>
        <w:rPr>
          <w:rFonts w:hint="eastAsia" w:ascii="宋体" w:hAnsi="宋体"/>
          <w:bCs/>
          <w:color w:val="FF0000"/>
          <w:szCs w:val="21"/>
        </w:rPr>
        <w:t>电磁流量计在客户端服务器，</w:t>
      </w:r>
      <w:r>
        <w:rPr>
          <w:rFonts w:hint="eastAsia"/>
          <w:color w:val="FF0000"/>
        </w:rPr>
        <w:t>1000台</w:t>
      </w:r>
      <w:r>
        <w:rPr>
          <w:rFonts w:hint="eastAsia" w:ascii="宋体" w:hAnsi="宋体"/>
          <w:bCs/>
          <w:color w:val="FF0000"/>
          <w:szCs w:val="21"/>
        </w:rPr>
        <w:t>电磁流量计在上海天石端服务器，20年共20000台；</w:t>
      </w:r>
    </w:p>
    <w:p>
      <w:pPr>
        <w:ind w:firstLine="210" w:firstLineChars="100"/>
        <w:rPr>
          <w:rFonts w:ascii="宋体" w:hAnsi="宋体"/>
          <w:bCs/>
          <w:color w:val="FF0000"/>
          <w:szCs w:val="21"/>
        </w:rPr>
      </w:pPr>
      <w:r>
        <w:rPr>
          <w:rFonts w:hint="eastAsia" w:ascii="宋体" w:hAnsi="宋体"/>
          <w:bCs/>
          <w:color w:val="FF0000"/>
          <w:szCs w:val="21"/>
        </w:rPr>
        <w:t>服务器可按自建或租扩容等方式不限；</w:t>
      </w:r>
    </w:p>
    <w:p>
      <w:pPr>
        <w:rPr>
          <w:color w:val="FF0000"/>
        </w:rPr>
      </w:pPr>
      <w:r>
        <w:rPr>
          <w:rFonts w:hint="eastAsia" w:ascii="宋体" w:hAnsi="宋体"/>
          <w:bCs/>
          <w:color w:val="FF0000"/>
          <w:szCs w:val="21"/>
        </w:rPr>
        <w:t xml:space="preserve">  访问速率按1000-5000台/秒。</w:t>
      </w:r>
    </w:p>
    <w:p>
      <w:pPr>
        <w:rPr>
          <w:color w:val="FF0000"/>
        </w:rPr>
      </w:pPr>
      <w:r>
        <w:rPr>
          <w:rFonts w:hint="eastAsia" w:ascii="宋体" w:hAnsi="宋体"/>
          <w:bCs/>
          <w:color w:val="FF0000"/>
          <w:szCs w:val="21"/>
        </w:rPr>
        <w:t xml:space="preserve">2.1.2客户端服务器 </w:t>
      </w:r>
    </w:p>
    <w:p>
      <w:pPr>
        <w:pStyle w:val="10"/>
        <w:widowControl/>
        <w:spacing w:line="360" w:lineRule="auto"/>
        <w:ind w:left="360" w:firstLine="0" w:firstLineChars="0"/>
        <w:jc w:val="left"/>
        <w:rPr>
          <w:rFonts w:ascii="宋体" w:hAnsi="宋体" w:cs="宋体"/>
          <w:color w:val="FF0000"/>
          <w:kern w:val="0"/>
          <w:szCs w:val="21"/>
        </w:rPr>
      </w:pPr>
      <w:r>
        <w:rPr>
          <w:rFonts w:hint="eastAsia" w:ascii="宋体" w:hAnsi="宋体" w:cs="宋体"/>
          <w:color w:val="FF0000"/>
          <w:kern w:val="0"/>
          <w:szCs w:val="21"/>
        </w:rPr>
        <w:t xml:space="preserve"> 由</w:t>
      </w:r>
      <w:r>
        <w:rPr>
          <w:rFonts w:hint="eastAsia" w:ascii="宋体" w:hAnsi="宋体"/>
          <w:bCs/>
          <w:color w:val="FF0000"/>
          <w:szCs w:val="21"/>
        </w:rPr>
        <w:t>客户规划。</w:t>
      </w:r>
    </w:p>
    <w:p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运行环境</w:t>
      </w:r>
    </w:p>
    <w:p>
      <w:pPr>
        <w:pStyle w:val="10"/>
        <w:ind w:left="360" w:firstLine="0" w:firstLineChars="0"/>
      </w:pPr>
      <w:r>
        <w:rPr>
          <w:rFonts w:hint="eastAsia"/>
        </w:rPr>
        <w:t>工作站或PC机,操作系统不限定</w:t>
      </w:r>
    </w:p>
    <w:p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需求概述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监视功能：具有设备运行状态（仪表的工作状态，故障及事故报警等）显示；主要参数（温度、压力、</w:t>
      </w:r>
      <w:r>
        <w:rPr>
          <w:rFonts w:hint="eastAsia" w:cs="Arial" w:asciiTheme="minorEastAsia" w:hAnsiTheme="minorEastAsia"/>
          <w:bCs/>
          <w:szCs w:val="21"/>
        </w:rPr>
        <w:t>瞬时</w:t>
      </w:r>
      <w:r>
        <w:rPr>
          <w:rFonts w:cs="Arial" w:asciiTheme="minorEastAsia" w:hAnsiTheme="minorEastAsia"/>
          <w:bCs/>
          <w:szCs w:val="21"/>
        </w:rPr>
        <w:t>流量</w:t>
      </w:r>
      <w:r>
        <w:rPr>
          <w:rFonts w:hint="eastAsia" w:cs="Arial" w:asciiTheme="minorEastAsia" w:hAnsiTheme="minorEastAsia"/>
          <w:bCs/>
          <w:szCs w:val="21"/>
        </w:rPr>
        <w:t>、累计流量、</w:t>
      </w:r>
      <w:r>
        <w:rPr>
          <w:rFonts w:hint="eastAsia" w:ascii="宋体" w:hAnsi="宋体"/>
          <w:bCs/>
          <w:color w:val="FF0000"/>
          <w:szCs w:val="21"/>
        </w:rPr>
        <w:t>信号强度、电池电量</w:t>
      </w:r>
      <w:r>
        <w:rPr>
          <w:rFonts w:cs="Arial" w:asciiTheme="minorEastAsia" w:hAnsiTheme="minorEastAsia"/>
          <w:bCs/>
          <w:szCs w:val="21"/>
        </w:rPr>
        <w:t>等）显示；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开放式的系统,具备系统扩展能力，数据</w:t>
      </w:r>
      <w:r>
        <w:rPr>
          <w:rFonts w:hint="eastAsia" w:cs="Arial" w:asciiTheme="minorEastAsia" w:hAnsiTheme="minorEastAsia"/>
          <w:bCs/>
          <w:szCs w:val="21"/>
        </w:rPr>
        <w:t>可以</w:t>
      </w:r>
      <w:r>
        <w:rPr>
          <w:rFonts w:cs="Arial" w:asciiTheme="minorEastAsia" w:hAnsiTheme="minorEastAsia"/>
          <w:bCs/>
          <w:szCs w:val="21"/>
        </w:rPr>
        <w:t>远程传送到服务器；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系统将流量仪表按照标准的MODBUS协议传输至上位系统；上位机对采集数据进行分析并做累计处理，在人机界面以数字，棒条，曲线的形式显示，并以日报，周报月报等报表的形式存储起来，方便随时打印和历史查询。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可视化的操作界面，真彩显示丰富的图形，动画显示方案；操控简单灵活，对数据采集信息进行实时监控和分析，当流量信息出现故障，都会产生报警，根据情况显示流量高低报警，流量故障报警，线路故障报警，系统线路报警等。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权限管理，二级管理权限进行分级，用来保证计量监控系统的正常运行；</w:t>
      </w:r>
      <w:r>
        <w:rPr>
          <w:rFonts w:hint="eastAsia" w:asciiTheme="minorEastAsia" w:hAnsiTheme="minorEastAsia"/>
          <w:szCs w:val="21"/>
        </w:rPr>
        <w:t>外网连接接口。</w:t>
      </w:r>
    </w:p>
    <w:p>
      <w:pPr>
        <w:pStyle w:val="10"/>
        <w:widowControl/>
        <w:numPr>
          <w:ilvl w:val="0"/>
          <w:numId w:val="2"/>
        </w:numPr>
        <w:autoSpaceDE w:val="0"/>
        <w:autoSpaceDN w:val="0"/>
        <w:adjustRightInd w:val="0"/>
        <w:snapToGrid w:val="0"/>
        <w:spacing w:line="360" w:lineRule="auto"/>
        <w:ind w:firstLineChars="0"/>
        <w:textAlignment w:val="bottom"/>
        <w:rPr>
          <w:rFonts w:cs="Arial" w:asciiTheme="minorEastAsia" w:hAnsiTheme="minorEastAsia"/>
          <w:szCs w:val="21"/>
        </w:rPr>
      </w:pPr>
      <w:r>
        <w:rPr>
          <w:rFonts w:cs="Arial" w:asciiTheme="minorEastAsia" w:hAnsiTheme="minorEastAsia"/>
          <w:szCs w:val="21"/>
        </w:rPr>
        <w:t>系统可按照能源种类等信息，对瞬时量、累计量和历史数据等进行查询，可按单点、组合、全部数据查询。</w:t>
      </w:r>
    </w:p>
    <w:p>
      <w:pPr>
        <w:pStyle w:val="10"/>
        <w:widowControl/>
        <w:numPr>
          <w:ilvl w:val="0"/>
          <w:numId w:val="2"/>
        </w:numPr>
        <w:autoSpaceDE w:val="0"/>
        <w:autoSpaceDN w:val="0"/>
        <w:adjustRightInd w:val="0"/>
        <w:snapToGrid w:val="0"/>
        <w:spacing w:line="360" w:lineRule="auto"/>
        <w:ind w:firstLineChars="0"/>
        <w:textAlignment w:val="bottom"/>
        <w:rPr>
          <w:rFonts w:cs="Arial" w:asciiTheme="minorEastAsia" w:hAnsiTheme="minorEastAsia"/>
          <w:szCs w:val="21"/>
        </w:rPr>
      </w:pPr>
      <w:r>
        <w:rPr>
          <w:rFonts w:cs="Arial" w:asciiTheme="minorEastAsia" w:hAnsiTheme="minorEastAsia"/>
          <w:szCs w:val="21"/>
        </w:rPr>
        <w:t>具备操作日志功能，按每分钟记录一次现场</w:t>
      </w:r>
      <w:r>
        <w:rPr>
          <w:rFonts w:hint="eastAsia" w:cs="Arial" w:asciiTheme="minorEastAsia" w:hAnsiTheme="minorEastAsia"/>
          <w:szCs w:val="21"/>
        </w:rPr>
        <w:t>仪表</w:t>
      </w:r>
      <w:r>
        <w:rPr>
          <w:rFonts w:cs="Arial" w:asciiTheme="minorEastAsia" w:hAnsiTheme="minorEastAsia"/>
          <w:szCs w:val="21"/>
        </w:rPr>
        <w:t>数据</w:t>
      </w:r>
      <w:r>
        <w:rPr>
          <w:rFonts w:hint="eastAsia" w:cs="Arial" w:asciiTheme="minorEastAsia" w:hAnsiTheme="minorEastAsia"/>
          <w:szCs w:val="21"/>
        </w:rPr>
        <w:t>。</w:t>
      </w:r>
    </w:p>
    <w:p>
      <w:pPr>
        <w:pStyle w:val="10"/>
        <w:ind w:left="360" w:firstLine="0" w:firstLineChars="0"/>
      </w:pPr>
    </w:p>
    <w:p>
      <w:pPr>
        <w:pStyle w:val="2"/>
      </w:pPr>
      <w:r>
        <w:rPr>
          <w:rFonts w:hint="eastAsia"/>
        </w:rPr>
        <w:t>2.4主要的功能描述</w:t>
      </w:r>
    </w:p>
    <w:p>
      <w:pPr>
        <w:pStyle w:val="10"/>
        <w:autoSpaceDE w:val="0"/>
        <w:autoSpaceDN w:val="0"/>
        <w:adjustRightInd w:val="0"/>
        <w:spacing w:line="360" w:lineRule="auto"/>
        <w:ind w:left="360" w:firstLine="0" w:firstLineChars="0"/>
        <w:jc w:val="left"/>
        <w:rPr>
          <w:rFonts w:ascii="宋体" w:cs="宋体"/>
          <w:color w:val="FF0000"/>
          <w:kern w:val="0"/>
          <w:szCs w:val="21"/>
        </w:rPr>
      </w:pPr>
      <w:bookmarkStart w:id="0" w:name="_Toc266362802"/>
      <w:bookmarkStart w:id="1" w:name="_Toc269375198"/>
      <w:bookmarkStart w:id="2" w:name="_Toc269375300"/>
      <w:bookmarkStart w:id="3" w:name="_Toc283312490"/>
      <w:r>
        <w:rPr>
          <w:rFonts w:hint="eastAsia" w:ascii="宋体" w:cs="宋体"/>
          <w:color w:val="FF0000"/>
          <w:kern w:val="0"/>
          <w:szCs w:val="21"/>
        </w:rPr>
        <w:t>系统主要功能：设备管理、数据管理、报警管理、地图管理；</w:t>
      </w:r>
    </w:p>
    <w:p>
      <w:pPr>
        <w:pStyle w:val="10"/>
        <w:autoSpaceDE w:val="0"/>
        <w:autoSpaceDN w:val="0"/>
        <w:adjustRightInd w:val="0"/>
        <w:spacing w:line="360" w:lineRule="auto"/>
        <w:ind w:left="360" w:firstLine="0" w:firstLineChars="0"/>
        <w:jc w:val="left"/>
        <w:rPr>
          <w:rFonts w:ascii="宋体" w:cs="宋体"/>
          <w:color w:val="FF0000"/>
          <w:kern w:val="0"/>
          <w:szCs w:val="21"/>
        </w:rPr>
      </w:pPr>
      <w:r>
        <w:rPr>
          <w:rFonts w:hint="eastAsia" w:ascii="宋体" w:cs="宋体"/>
          <w:color w:val="FF0000"/>
          <w:kern w:val="0"/>
          <w:szCs w:val="21"/>
        </w:rPr>
        <w:t>设备管理：设备列表；</w:t>
      </w:r>
    </w:p>
    <w:p>
      <w:pPr>
        <w:pStyle w:val="10"/>
        <w:autoSpaceDE w:val="0"/>
        <w:autoSpaceDN w:val="0"/>
        <w:adjustRightInd w:val="0"/>
        <w:spacing w:line="360" w:lineRule="auto"/>
        <w:ind w:left="360" w:firstLine="0" w:firstLineChars="0"/>
        <w:jc w:val="left"/>
        <w:rPr>
          <w:rFonts w:ascii="宋体" w:cs="宋体"/>
          <w:color w:val="FF0000"/>
          <w:kern w:val="0"/>
          <w:szCs w:val="21"/>
        </w:rPr>
      </w:pPr>
      <w:r>
        <w:rPr>
          <w:rFonts w:hint="eastAsia" w:ascii="宋体" w:cs="宋体"/>
          <w:color w:val="FF0000"/>
          <w:kern w:val="0"/>
          <w:szCs w:val="21"/>
        </w:rPr>
        <w:t>数据管理：实时数据、历史数据、数据报表、日累积、月累计；</w:t>
      </w:r>
    </w:p>
    <w:p>
      <w:pPr>
        <w:autoSpaceDE w:val="0"/>
        <w:autoSpaceDN w:val="0"/>
        <w:adjustRightInd w:val="0"/>
        <w:spacing w:line="360" w:lineRule="auto"/>
        <w:ind w:firstLine="315" w:firstLineChars="150"/>
        <w:jc w:val="left"/>
        <w:rPr>
          <w:rFonts w:ascii="宋体" w:cs="宋体"/>
          <w:color w:val="FF0000"/>
          <w:kern w:val="0"/>
          <w:szCs w:val="21"/>
        </w:rPr>
      </w:pPr>
      <w:r>
        <w:rPr>
          <w:rFonts w:hint="eastAsia" w:ascii="宋体" w:cs="宋体"/>
          <w:color w:val="FF0000"/>
          <w:kern w:val="0"/>
          <w:szCs w:val="21"/>
        </w:rPr>
        <w:t>报警管理：历史报警管理;</w:t>
      </w:r>
    </w:p>
    <w:p>
      <w:pPr>
        <w:rPr>
          <w:rFonts w:ascii="宋体"/>
          <w:color w:val="000000"/>
        </w:rPr>
      </w:pPr>
      <w:r>
        <w:rPr>
          <w:rFonts w:cs="Calibri"/>
          <w:kern w:val="0"/>
          <w:sz w:val="18"/>
          <w:szCs w:val="18"/>
        </w:rPr>
        <w:drawing>
          <wp:inline distT="0" distB="0" distL="0" distR="0">
            <wp:extent cx="1788795" cy="1908175"/>
            <wp:effectExtent l="19050" t="0" r="1905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pPr w:leftFromText="187" w:rightFromText="187" w:horzAnchor="margin" w:tblpXSpec="center" w:tblpYSpec="bottom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rPr>
                <w:rFonts w:ascii="宋体"/>
                <w:color w:val="000000"/>
                <w:szCs w:val="24"/>
              </w:rPr>
            </w:pPr>
            <w:r>
              <w:rPr>
                <w:rFonts w:ascii="宋体" w:hAnsi="宋体"/>
                <w:color w:val="000000"/>
                <w:szCs w:val="24"/>
              </w:rPr>
              <w:t xml:space="preserve">                     </w:t>
            </w:r>
          </w:p>
          <w:p>
            <w:pPr>
              <w:pStyle w:val="13"/>
              <w:rPr>
                <w:rFonts w:ascii="宋体"/>
                <w:color w:val="000000"/>
                <w:szCs w:val="24"/>
              </w:rPr>
            </w:pPr>
          </w:p>
        </w:tc>
      </w:tr>
      <w:bookmarkEnd w:id="0"/>
      <w:bookmarkEnd w:id="1"/>
      <w:bookmarkEnd w:id="2"/>
      <w:bookmarkEnd w:id="3"/>
    </w:tbl>
    <w:p>
      <w:pPr>
        <w:pStyle w:val="2"/>
      </w:pPr>
      <w:r>
        <w:rPr>
          <w:rFonts w:hint="eastAsia"/>
        </w:rPr>
        <w:t>2.4.1系统登录</w:t>
      </w:r>
    </w:p>
    <w:p>
      <w:r>
        <w:rPr>
          <w:rFonts w:hint="eastAsia"/>
        </w:rPr>
        <w:t xml:space="preserve">   </w:t>
      </w:r>
    </w:p>
    <w:p>
      <w:pPr>
        <w:ind w:firstLine="480"/>
      </w:pPr>
      <w:r>
        <w:rPr>
          <w:rFonts w:hint="eastAsia" w:ascii="宋体" w:hAnsi="宋体"/>
        </w:rPr>
        <w:t>启动浏览器</w:t>
      </w:r>
      <w:r>
        <w:rPr>
          <w:rFonts w:ascii="宋体" w:hAnsi="宋体"/>
        </w:rPr>
        <w:t>Internet Explorer</w:t>
      </w:r>
      <w:r>
        <w:rPr>
          <w:rFonts w:hint="eastAsia" w:ascii="宋体" w:hAnsi="宋体"/>
        </w:rPr>
        <w:t>后登陆公司指定IP或网站，输入账号、密码即可进入系统登陆界面，如图1.1，确认无误后便可登录平台。</w:t>
      </w:r>
    </w:p>
    <w:p>
      <w:pPr>
        <w:ind w:firstLine="480"/>
      </w:pPr>
      <w:r>
        <w:rPr>
          <w:rFonts w:hint="eastAsia"/>
        </w:rPr>
        <w:drawing>
          <wp:inline distT="0" distB="0" distL="0" distR="0">
            <wp:extent cx="5271770" cy="2452370"/>
            <wp:effectExtent l="1905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/>
        </w:rPr>
      </w:pPr>
      <w:r>
        <w:rPr>
          <w:rFonts w:hint="eastAsia" w:ascii="宋体" w:hAnsi="宋体"/>
          <w:szCs w:val="21"/>
        </w:rPr>
        <w:t>图1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1</w:t>
      </w:r>
    </w:p>
    <w:p>
      <w:pPr>
        <w:spacing w:line="360" w:lineRule="auto"/>
        <w:ind w:firstLine="315" w:firstLineChars="150"/>
        <w:rPr>
          <w:rFonts w:ascii="宋体" w:hAnsi="宋体"/>
        </w:rPr>
      </w:pPr>
      <w:r>
        <w:rPr>
          <w:rFonts w:hint="eastAsia" w:ascii="宋体" w:hAnsi="宋体"/>
        </w:rPr>
        <w:t>登录系统后主界面大致的描述</w:t>
      </w:r>
    </w:p>
    <w:p>
      <w:pPr>
        <w:spacing w:line="360" w:lineRule="auto"/>
        <w:ind w:firstLine="315" w:firstLineChars="150"/>
        <w:rPr>
          <w:rFonts w:ascii="宋体"/>
        </w:rPr>
      </w:pPr>
      <w:r>
        <w:rPr>
          <w:rFonts w:ascii="宋体"/>
        </w:rPr>
        <w:drawing>
          <wp:inline distT="0" distB="0" distL="0" distR="0">
            <wp:extent cx="5264785" cy="256984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图1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2</w:t>
      </w:r>
    </w:p>
    <w:p>
      <w:pPr>
        <w:spacing w:line="360" w:lineRule="auto"/>
        <w:rPr>
          <w:rFonts w:ascii="宋体"/>
        </w:rPr>
      </w:pPr>
      <w:r>
        <w:rPr>
          <w:rFonts w:hint="eastAsia" w:ascii="Cambria" w:hAnsi="Cambria" w:eastAsia="宋体" w:cs="Times New Roman"/>
          <w:b/>
          <w:bCs/>
          <w:i/>
          <w:iCs/>
          <w:kern w:val="0"/>
          <w:sz w:val="28"/>
          <w:szCs w:val="28"/>
        </w:rPr>
        <w:t>2.4.2地图监控</w:t>
      </w:r>
    </w:p>
    <w:p>
      <w:r>
        <w:rPr>
          <w:rFonts w:hint="eastAsia"/>
        </w:rPr>
        <w:t>地图界面监控仪表、区域的实时运行状态，以不同颜色进行区分。并将报警数据显示在报警列表中</w:t>
      </w:r>
    </w:p>
    <w:p>
      <w:r>
        <w:rPr>
          <w:rFonts w:hint="eastAsia"/>
        </w:rPr>
        <w:t>根据终端的location,大致定位本机的地址.</w:t>
      </w:r>
    </w:p>
    <w:p>
      <w:pPr>
        <w:pStyle w:val="3"/>
      </w:pPr>
      <w:r>
        <w:rPr>
          <w:rFonts w:hint="eastAsia"/>
        </w:rPr>
        <w:t>地图操作</w:t>
      </w:r>
    </w:p>
    <w:p>
      <w:pPr>
        <w:spacing w:line="360" w:lineRule="auto"/>
        <w:ind w:left="315" w:firstLine="420" w:firstLineChars="200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漏损分析系统提供在线地图查看功能，在线地图界面如图2.1：</w:t>
      </w:r>
      <w:r>
        <w:rPr>
          <w:rFonts w:hint="eastAsia" w:ascii="宋体"/>
          <w:szCs w:val="21"/>
        </w:rPr>
        <w:drawing>
          <wp:inline distT="0" distB="0" distL="0" distR="0">
            <wp:extent cx="5264785" cy="245935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/>
        </w:rPr>
      </w:pPr>
      <w:r>
        <w:rPr>
          <w:rFonts w:hint="eastAsia" w:ascii="宋体" w:hAnsi="宋体"/>
          <w:szCs w:val="21"/>
        </w:rPr>
        <w:t>图2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1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用户可使用右上角地图工具对地图进行操作。</w:t>
      </w:r>
    </w:p>
    <w:p>
      <w:pPr>
        <w:spacing w:line="360" w:lineRule="auto"/>
        <w:ind w:firstLine="315" w:firstLineChars="150"/>
        <w:jc w:val="center"/>
        <w:rPr>
          <w:rFonts w:ascii="宋体"/>
        </w:rPr>
      </w:pPr>
      <w:r>
        <w:rPr>
          <w:rFonts w:hint="eastAsia" w:ascii="宋体"/>
          <w:szCs w:val="21"/>
        </w:rPr>
        <w:drawing>
          <wp:inline distT="0" distB="0" distL="0" distR="0">
            <wp:extent cx="3380740" cy="3048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工具从左到右依次为初始化全图、移动地图、放大地图、缩小地图、距离测量、面积测量、清除工具。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初始化全图：将地图导航到初始默认的界面。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移动地图：点击手状图标，在地图界面压下鼠标左键即可实现移动地图操作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放大地图：对选定区域进行放大显示。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缩小地图：将地图显示比例尺缩小。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距离测量：点击距离测量，在地图界面中单击选定起点、中间点，双击地图界面为添加线路终点并结束添加。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drawing>
          <wp:inline distT="0" distB="0" distL="0" distR="0">
            <wp:extent cx="5271770" cy="1226185"/>
            <wp:effectExtent l="1905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图2.2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面积测量：在地图界面鼠标左键点取要测量的区域，双击鼠标左键确定。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drawing>
          <wp:inline distT="0" distB="0" distL="0" distR="0">
            <wp:extent cx="5271770" cy="2943860"/>
            <wp:effectExtent l="1905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图2.3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清除工具：清除地图界面的轨迹回放路线、或者其他地图工具产生的痕迹。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自有图形由供水区域分界（黑色线）、管线、计量仪表组成，按照实际坐标位置叠加在在线地图上，用颜色区分运行状态如（图2.1）。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绿色：正常运行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红色：泄露（通过阈值判断）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橙色：无数据（未上传数据）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黄色：可疑（通过阈值判断）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点击区域，显示如图2.4示，弹出框显示区域状态，数据时间，以及查看区域净水量分析链接。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ascii="宋体"/>
          <w:szCs w:val="21"/>
        </w:rPr>
        <w:drawing>
          <wp:inline distT="0" distB="0" distL="0" distR="0">
            <wp:extent cx="2555875" cy="121221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点击仪表:显示仪表名称，瞬时流量和累计流量、数据时间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如图2.5示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drawing>
          <wp:inline distT="0" distB="0" distL="0" distR="0">
            <wp:extent cx="2237740" cy="175958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图2.5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以上信息截取自百度地图,仅表示一种思路</w:t>
      </w:r>
    </w:p>
    <w:p>
      <w:pPr>
        <w:pStyle w:val="3"/>
      </w:pPr>
      <w:r>
        <w:rPr>
          <w:rFonts w:hint="eastAsia"/>
        </w:rPr>
        <w:t>2.4.3报警列表</w:t>
      </w:r>
    </w:p>
    <w:p>
      <w:r>
        <w:rPr>
          <w:rFonts w:hint="eastAsia"/>
        </w:rPr>
        <w:t>地图界面下方为报警列表，显示当前未处理的报警数据。</w:t>
      </w:r>
    </w:p>
    <w:p>
      <w:r>
        <w:rPr>
          <w:rFonts w:hint="eastAsia"/>
        </w:rPr>
        <w:t>点击查看，可以查看报警详细信息</w:t>
      </w:r>
    </w:p>
    <w:p>
      <w:r>
        <w:rPr>
          <w:rFonts w:hint="eastAsia"/>
        </w:rPr>
        <w:t>1、区域净水量报警</w:t>
      </w:r>
    </w:p>
    <w:p>
      <w:r>
        <w:rPr>
          <w:rFonts w:hint="eastAsia"/>
        </w:rPr>
        <w:t>计算最近四分钟的区域净水量，后三分钟区域净水量分别与第一分钟比较，计算出变化率，超出变化阈值，则可视为可疑或者泄露。连续3分钟状态都为可疑或者泄漏时才会判定为可疑或者泄露，进行报警提醒。</w:t>
      </w:r>
    </w:p>
    <w:p>
      <w:r>
        <w:drawing>
          <wp:inline distT="0" distB="0" distL="0" distR="0">
            <wp:extent cx="5271770" cy="831215"/>
            <wp:effectExtent l="19050" t="0" r="508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图2.6</w:t>
      </w:r>
    </w:p>
    <w:p>
      <w:r>
        <w:rPr>
          <w:rFonts w:hint="eastAsia"/>
        </w:rPr>
        <w:t>2、区域净水量报警对应仪表信息</w:t>
      </w:r>
    </w:p>
    <w:p>
      <w:r>
        <w:rPr>
          <w:rFonts w:hint="eastAsia"/>
        </w:rPr>
        <w:t>仪表判断规则与区域类似，用于当区域泄露或者可疑时，可查有无异常的仪表，以便快速查找发生泄露管线的位置。</w:t>
      </w:r>
    </w:p>
    <w:p>
      <w:r>
        <w:drawing>
          <wp:inline distT="0" distB="0" distL="0" distR="0">
            <wp:extent cx="5278755" cy="949325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4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图2.7</w:t>
      </w:r>
    </w:p>
    <w:p>
      <w:r>
        <w:rPr>
          <w:rFonts w:hint="eastAsia"/>
        </w:rPr>
        <w:t>3、夜间小流量区域报警</w:t>
      </w:r>
    </w:p>
    <w:p>
      <w:r>
        <w:rPr>
          <w:rFonts w:hint="eastAsia"/>
        </w:rPr>
        <w:t>计算区域夜间2:00-3:00\3:00-4:00\4:00-5:00数据，最小值为当天最小净水量。点击红色数字可查看3个时间点具体数据。对于无数据的仪表采用最近的数据进行计算</w:t>
      </w:r>
    </w:p>
    <w:p>
      <w:r>
        <w:drawing>
          <wp:inline distT="0" distB="0" distL="0" distR="0">
            <wp:extent cx="5278755" cy="713740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图2.8</w:t>
      </w:r>
    </w:p>
    <w:p>
      <w:r>
        <w:rPr>
          <w:rFonts w:hint="eastAsia"/>
        </w:rPr>
        <w:t>4、夜间小流量报警对应仪表信息</w:t>
      </w:r>
    </w:p>
    <w:p>
      <w:r>
        <w:rPr>
          <w:rFonts w:hint="eastAsia"/>
        </w:rPr>
        <w:t>判断规则与区域类似</w:t>
      </w:r>
    </w:p>
    <w:p>
      <w:r>
        <w:drawing>
          <wp:inline distT="0" distB="0" distL="0" distR="0">
            <wp:extent cx="5278755" cy="914400"/>
            <wp:effectExtent l="1905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图2.9</w:t>
      </w:r>
    </w:p>
    <w:p>
      <w:r>
        <w:rPr>
          <w:rFonts w:hint="eastAsia"/>
        </w:rPr>
        <w:t>5、仪表节点故障报警信息</w:t>
      </w:r>
    </w:p>
    <w:p>
      <w:r>
        <w:rPr>
          <w:rFonts w:hint="eastAsia"/>
        </w:rPr>
        <w:t>仪表本身故障报警，如仪表死机、瞬时流量不匹配，也可根据规则添加自定义报警。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drawing>
          <wp:inline distT="0" distB="0" distL="0" distR="0">
            <wp:extent cx="5271770" cy="928370"/>
            <wp:effectExtent l="1905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/>
          <w:szCs w:val="21"/>
        </w:rPr>
      </w:pPr>
    </w:p>
    <w:p>
      <w:pPr>
        <w:pStyle w:val="2"/>
        <w:rPr>
          <w:color w:val="FF0000"/>
        </w:rPr>
      </w:pPr>
      <w:r>
        <w:rPr>
          <w:rFonts w:hint="eastAsia"/>
        </w:rPr>
        <w:t xml:space="preserve">2.4.4区域分析 </w:t>
      </w:r>
      <w:r>
        <w:rPr>
          <w:rFonts w:hint="eastAsia"/>
          <w:color w:val="FF0000"/>
        </w:rPr>
        <w:t>（应包含每台表的</w:t>
      </w:r>
      <w:r>
        <w:rPr>
          <w:rFonts w:hint="eastAsia" w:ascii="宋体" w:cs="宋体"/>
          <w:color w:val="FF0000"/>
          <w:kern w:val="0"/>
          <w:szCs w:val="21"/>
        </w:rPr>
        <w:t>实时数据、历史数据、数据报表、日累积、月累计</w:t>
      </w:r>
      <w:r>
        <w:rPr>
          <w:rFonts w:hint="eastAsia"/>
          <w:color w:val="FF0000"/>
        </w:rPr>
        <w:t>）</w:t>
      </w:r>
    </w:p>
    <w:p>
      <w:r>
        <w:rPr>
          <w:rFonts w:hint="eastAsia"/>
        </w:rPr>
        <w:t>此模块以统计图和数据列表方式直观显示分析结果，如图3.1所示</w:t>
      </w:r>
    </w:p>
    <w:p>
      <w:r>
        <w:rPr>
          <w:rFonts w:hint="eastAsia"/>
        </w:rPr>
        <w:t>图形上方可切换显示区域，如为所有区域，下方列表为所有区域分析数据。如选择具体区域，则下方列表为此区域下的仪表分析数据。</w:t>
      </w:r>
    </w:p>
    <w:p>
      <w:r>
        <w:rPr>
          <w:rFonts w:hint="eastAsia"/>
        </w:rPr>
        <w:t>图形下方为分析时间选择按钮，可选择6小时、一天、一周、一月、一年进行统计分析。</w:t>
      </w:r>
    </w:p>
    <w:p>
      <w:r>
        <w:drawing>
          <wp:inline distT="0" distB="0" distL="0" distR="0">
            <wp:extent cx="5271770" cy="2867660"/>
            <wp:effectExtent l="19050" t="0" r="508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图3.1</w:t>
      </w:r>
    </w:p>
    <w:p>
      <w:pPr>
        <w:pStyle w:val="3"/>
      </w:pPr>
      <w:r>
        <w:rPr>
          <w:rFonts w:hint="eastAsia"/>
        </w:rPr>
        <w:t>区域净水量分析</w:t>
      </w:r>
    </w:p>
    <w:p>
      <w:r>
        <w:rPr>
          <w:rFonts w:hint="eastAsia"/>
        </w:rPr>
        <w:t>区域净水量分析每分钟计算一次，数据列表显示当前的分析数据。如果管线有爆管或者泄露，会迅速反应在净水量分析报警状态中。直方图显示当前时间至选定时间间隔时间的数据。通过直方图可以看出每天、每周、每月的供水规律，供水单位可根据分析数据量化供水区域分配和按照时间调剂供水量。</w:t>
      </w:r>
    </w:p>
    <w:p>
      <w:pPr>
        <w:pStyle w:val="3"/>
      </w:pPr>
      <w:r>
        <w:rPr>
          <w:rFonts w:hint="eastAsia"/>
        </w:rPr>
        <w:t>夜间小流量分析</w:t>
      </w:r>
    </w:p>
    <w:p>
      <w:r>
        <w:rPr>
          <w:rFonts w:hint="eastAsia"/>
        </w:rPr>
        <w:t>每天早上7点分析一次，那最近4天数据进行分析，分析图表如图3.2示</w:t>
      </w:r>
    </w:p>
    <w:p>
      <w:r>
        <w:drawing>
          <wp:inline distT="0" distB="0" distL="0" distR="0">
            <wp:extent cx="5271770" cy="2867660"/>
            <wp:effectExtent l="19050" t="0" r="508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区域日净水量分析</w:t>
      </w:r>
    </w:p>
    <w:p>
      <w:r>
        <w:rPr>
          <w:rFonts w:hint="eastAsia"/>
        </w:rPr>
        <w:t>每天早上7点分析一次昨日的日净水量情况，昨日的日净水量和其前三日的数据进行比较分析。</w:t>
      </w:r>
    </w:p>
    <w:p>
      <w:pPr>
        <w:pStyle w:val="3"/>
      </w:pPr>
      <w:r>
        <w:rPr>
          <w:rFonts w:hint="eastAsia"/>
        </w:rPr>
        <w:t>区域日净水量周分析</w:t>
      </w:r>
    </w:p>
    <w:p>
      <w:r>
        <w:rPr>
          <w:rFonts w:hint="eastAsia"/>
        </w:rPr>
        <w:t>每天早上7点分析一次昨日的日净水量情况，昨日的日净水量和其前三周的数据进行比较分析。如昨天是周一，则是和前三周的每个周一的日净水量进行比较分析。</w:t>
      </w:r>
    </w:p>
    <w:p>
      <w:pPr>
        <w:pStyle w:val="3"/>
      </w:pPr>
      <w:r>
        <w:rPr>
          <w:rFonts w:hint="eastAsia"/>
        </w:rPr>
        <w:t>区域月用量分析</w:t>
      </w:r>
    </w:p>
    <w:p>
      <w:r>
        <w:rPr>
          <w:rFonts w:hint="eastAsia"/>
        </w:rPr>
        <w:t>每月月初分析一次上月净水量情况，将上月净水量与前三年同月的月进水量进行比较。</w:t>
      </w:r>
    </w:p>
    <w:p>
      <w:pPr>
        <w:pStyle w:val="3"/>
      </w:pPr>
      <w:r>
        <w:rPr>
          <w:rFonts w:hint="eastAsia"/>
        </w:rPr>
        <w:t>流量分析统计图</w:t>
      </w:r>
    </w:p>
    <w:p>
      <w:r>
        <w:rPr>
          <w:rFonts w:hint="eastAsia"/>
        </w:rPr>
        <w:t>可自己设置时间，添加区域或者仪表进行统计，可实现同区域不同时间段的叠加分析操作如下图所示</w:t>
      </w:r>
    </w:p>
    <w:p>
      <w:r>
        <w:drawing>
          <wp:inline distT="0" distB="0" distL="0" distR="0">
            <wp:extent cx="5271770" cy="2805430"/>
            <wp:effectExtent l="1905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点击增加区域数据，弹出框如下图，选择区域和时间，确定即可。可添加多个区域，同一个区域也可以选定不同日期添加多次，添加仪表方法和区域相同。</w:t>
      </w:r>
    </w:p>
    <w:p>
      <w:r>
        <w:drawing>
          <wp:inline distT="0" distB="0" distL="0" distR="0">
            <wp:extent cx="3830955" cy="28606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选择好区域后点击绘制曲线图即可完成自定义分析统计。</w:t>
      </w:r>
    </w:p>
    <w:p>
      <w:pPr>
        <w:pStyle w:val="2"/>
      </w:pPr>
      <w:r>
        <w:rPr>
          <w:rFonts w:hint="eastAsia"/>
        </w:rPr>
        <w:t>2.4.5报警管理</w:t>
      </w:r>
    </w:p>
    <w:p>
      <w:pPr>
        <w:pStyle w:val="3"/>
      </w:pPr>
      <w:r>
        <w:rPr>
          <w:rFonts w:hint="eastAsia"/>
        </w:rPr>
        <w:t>报警日志及处理</w:t>
      </w:r>
    </w:p>
    <w:p>
      <w:r>
        <w:rPr>
          <w:rFonts w:hint="eastAsia"/>
        </w:rPr>
        <w:t>此界面可显示处理所有类型的报警，如图4.1示</w:t>
      </w:r>
    </w:p>
    <w:p>
      <w:r>
        <w:rPr>
          <w:rFonts w:hint="eastAsia"/>
        </w:rPr>
        <w:drawing>
          <wp:inline distT="0" distB="0" distL="0" distR="0">
            <wp:extent cx="5271770" cy="2583815"/>
            <wp:effectExtent l="1905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图4.1</w:t>
      </w:r>
    </w:p>
    <w:p>
      <w:r>
        <w:rPr>
          <w:rFonts w:hint="eastAsia"/>
        </w:rPr>
        <w:t>1、查询</w:t>
      </w:r>
    </w:p>
    <w:p>
      <w:r>
        <w:rPr>
          <w:rFonts w:hint="eastAsia"/>
        </w:rPr>
        <w:t>通过报警类型和起止日期查询等关键字，查询出报警数据</w:t>
      </w:r>
    </w:p>
    <w:p>
      <w:r>
        <w:rPr>
          <w:rFonts w:hint="eastAsia"/>
        </w:rPr>
        <w:t>2、报警处理</w:t>
      </w:r>
    </w:p>
    <w:p>
      <w:r>
        <w:rPr>
          <w:rFonts w:hint="eastAsia"/>
        </w:rPr>
        <w:t>点击报警处理，会弹出详细信息界面，如图4.2示，填写报警处理内容，以及根据情况修改可疑阈值和泄露阈值，修改阈值后将按照新的阈值计算报警，点击确定完成报警数据处理。</w:t>
      </w:r>
    </w:p>
    <w:p>
      <w:r>
        <w:rPr>
          <w:rFonts w:hint="eastAsia"/>
        </w:rPr>
        <w:drawing>
          <wp:inline distT="0" distB="0" distL="0" distR="0">
            <wp:extent cx="5271770" cy="2764155"/>
            <wp:effectExtent l="1905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图4.2</w:t>
      </w:r>
    </w:p>
    <w:p>
      <w:pPr>
        <w:pStyle w:val="3"/>
      </w:pPr>
      <w:r>
        <w:rPr>
          <w:rFonts w:hint="eastAsia"/>
        </w:rPr>
        <w:t>仪表故障信息及处理</w:t>
      </w:r>
    </w:p>
    <w:p>
      <w:r>
        <w:rPr>
          <w:rFonts w:hint="eastAsia"/>
        </w:rPr>
        <w:t>仪表故障包括仪表死机和瞬时流量不匹配，如下图所示如果瞬时流量不为0而净水量为0则表示仪表死机，如两者相差很大，则是流量不匹配。可以填写报警处理内容，已经处理的报警将不会再提示。如图4.3</w:t>
      </w:r>
    </w:p>
    <w:p>
      <w:r>
        <w:rPr>
          <w:rFonts w:hint="eastAsia"/>
        </w:rPr>
        <w:drawing>
          <wp:inline distT="0" distB="0" distL="0" distR="0">
            <wp:extent cx="5271770" cy="3089275"/>
            <wp:effectExtent l="1905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图4.3</w:t>
      </w:r>
    </w:p>
    <w:p>
      <w:pPr>
        <w:pStyle w:val="2"/>
      </w:pPr>
      <w:r>
        <w:rPr>
          <w:rFonts w:hint="eastAsia"/>
        </w:rPr>
        <w:t>2.4.6仪表管理</w:t>
      </w:r>
    </w:p>
    <w:p>
      <w:pPr>
        <w:pStyle w:val="3"/>
      </w:pPr>
      <w:r>
        <w:rPr>
          <w:rFonts w:hint="eastAsia"/>
        </w:rPr>
        <w:t>区域管理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点击左侧“仪表管理</w:t>
      </w:r>
      <w:r>
        <w:rPr>
          <w:rFonts w:ascii="宋体" w:hAnsi="宋体"/>
          <w:szCs w:val="21"/>
        </w:rPr>
        <w:t>”</w:t>
      </w:r>
      <w:r>
        <w:rPr>
          <w:rFonts w:hint="eastAsia" w:ascii="宋体" w:hAnsi="宋体"/>
          <w:szCs w:val="21"/>
        </w:rPr>
        <w:t>-“区域管理”菜单，进入到区域管理模块如图5.1示，此界面用于编辑区域信息。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drawing>
          <wp:inline distT="0" distB="0" distL="0" distR="0">
            <wp:extent cx="5091430" cy="241046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图5.1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t>点击阈值配置，弹出界面如图5.2示，可在此界面配置区域阈值信息，此阈值为每小时可疑、泄露阈值，可通过EXCEL导入。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ascii="宋体"/>
          <w:szCs w:val="21"/>
        </w:rPr>
        <w:drawing>
          <wp:inline distT="0" distB="0" distL="0" distR="0">
            <wp:extent cx="5271770" cy="3581400"/>
            <wp:effectExtent l="1905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图5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2</w:t>
      </w:r>
    </w:p>
    <w:p>
      <w:pPr>
        <w:spacing w:line="360" w:lineRule="auto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）增加</w:t>
      </w:r>
    </w:p>
    <w:p>
      <w:pPr>
        <w:spacing w:line="360" w:lineRule="auto"/>
        <w:ind w:left="368" w:leftChars="175" w:firstLine="525" w:firstLineChars="25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第一步，点击“增加”按钮，弹出增加页面</w:t>
      </w:r>
      <w:r>
        <w:rPr>
          <w:rFonts w:ascii="宋体" w:cs="宋体"/>
          <w:szCs w:val="21"/>
        </w:rPr>
        <w:t>,</w:t>
      </w:r>
      <w:r>
        <w:rPr>
          <w:rFonts w:hint="eastAsia" w:ascii="宋体" w:hAnsi="宋体" w:cs="宋体"/>
          <w:szCs w:val="21"/>
        </w:rPr>
        <w:t>如图5.3</w:t>
      </w:r>
    </w:p>
    <w:p>
      <w:pPr>
        <w:spacing w:line="360" w:lineRule="auto"/>
        <w:ind w:firstLine="525" w:firstLineChars="250"/>
        <w:rPr>
          <w:rFonts w:ascii="宋体" w:cs="宋体"/>
        </w:rPr>
      </w:pPr>
      <w:r>
        <w:rPr>
          <w:rFonts w:hint="eastAsia" w:ascii="宋体" w:cs="宋体"/>
        </w:rPr>
        <w:drawing>
          <wp:inline distT="0" distB="0" distL="0" distR="0">
            <wp:extent cx="4239260" cy="3338830"/>
            <wp:effectExtent l="1905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图5.3</w:t>
      </w:r>
    </w:p>
    <w:p>
      <w:pPr>
        <w:spacing w:line="360" w:lineRule="auto"/>
        <w:ind w:left="420" w:firstLine="420" w:firstLineChars="20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第二步，填写相关内容，点击“增加”按钮完成增加操作。</w:t>
      </w:r>
    </w:p>
    <w:p>
      <w:pPr>
        <w:spacing w:line="360" w:lineRule="auto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(2)</w:t>
      </w:r>
      <w:r>
        <w:rPr>
          <w:rFonts w:hint="eastAsia" w:ascii="宋体" w:hAnsi="宋体" w:cs="宋体"/>
          <w:szCs w:val="21"/>
        </w:rPr>
        <w:t>修改</w:t>
      </w:r>
    </w:p>
    <w:p>
      <w:pPr>
        <w:spacing w:line="360" w:lineRule="auto"/>
        <w:ind w:firstLine="315" w:firstLineChars="150"/>
        <w:rPr>
          <w:rFonts w:ascii="宋体" w:cs="宋体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 w:ascii="宋体" w:hAnsi="宋体" w:cs="宋体"/>
          <w:szCs w:val="21"/>
        </w:rPr>
        <w:t>第一步，选择需要修改的数据后，点击“修改”按钮，弹出修改页面，如图5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4</w:t>
      </w:r>
    </w:p>
    <w:p>
      <w:pPr>
        <w:spacing w:line="360" w:lineRule="auto"/>
        <w:ind w:firstLine="315" w:firstLineChars="150"/>
        <w:rPr>
          <w:rFonts w:ascii="宋体" w:cs="宋体"/>
          <w:szCs w:val="21"/>
        </w:rPr>
      </w:pPr>
      <w:r>
        <w:rPr>
          <w:rFonts w:hint="eastAsia" w:ascii="宋体" w:cs="宋体"/>
          <w:szCs w:val="21"/>
        </w:rPr>
        <w:drawing>
          <wp:inline distT="0" distB="0" distL="0" distR="0">
            <wp:extent cx="5271770" cy="4329430"/>
            <wp:effectExtent l="1905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2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图5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4</w:t>
      </w:r>
    </w:p>
    <w:p>
      <w:pPr>
        <w:spacing w:line="360" w:lineRule="auto"/>
        <w:ind w:left="420" w:firstLine="42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第二步，修改数据，点击“修改”按钮完成修改操作。</w:t>
      </w:r>
    </w:p>
    <w:p>
      <w:pPr>
        <w:spacing w:line="360" w:lineRule="auto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(3)</w:t>
      </w:r>
      <w:r>
        <w:rPr>
          <w:rFonts w:hint="eastAsia" w:ascii="宋体" w:hAnsi="宋体" w:cs="宋体"/>
          <w:szCs w:val="21"/>
        </w:rPr>
        <w:t>删除</w:t>
      </w:r>
    </w:p>
    <w:p>
      <w:pPr>
        <w:spacing w:line="360" w:lineRule="auto"/>
        <w:ind w:left="420" w:firstLine="42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第一步，选择要删除的车辆记录，然后点击“删除”按钮，如图5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5</w:t>
      </w:r>
    </w:p>
    <w:p>
      <w:pPr>
        <w:spacing w:line="360" w:lineRule="auto"/>
        <w:ind w:left="420" w:firstLine="420"/>
        <w:jc w:val="center"/>
        <w:rPr>
          <w:rFonts w:ascii="宋体" w:cs="宋体"/>
          <w:szCs w:val="21"/>
        </w:rPr>
      </w:pPr>
      <w:r>
        <w:rPr>
          <w:rFonts w:hint="eastAsia" w:ascii="宋体" w:cs="宋体"/>
          <w:szCs w:val="21"/>
        </w:rPr>
        <w:drawing>
          <wp:inline distT="0" distB="0" distL="0" distR="0">
            <wp:extent cx="2847340" cy="108775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/>
        <w:jc w:val="center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图5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5</w:t>
      </w:r>
    </w:p>
    <w:p>
      <w:pPr>
        <w:spacing w:line="360" w:lineRule="auto"/>
        <w:ind w:left="420" w:firstLine="42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第二步，点击确认或是取消来完成删除操作。</w:t>
      </w:r>
    </w:p>
    <w:p>
      <w:pPr>
        <w:spacing w:line="360" w:lineRule="auto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(4)</w:t>
      </w:r>
      <w:r>
        <w:rPr>
          <w:rFonts w:hint="eastAsia" w:ascii="宋体" w:hAnsi="宋体" w:cs="宋体"/>
          <w:szCs w:val="21"/>
        </w:rPr>
        <w:t>搜索</w:t>
      </w:r>
    </w:p>
    <w:p>
      <w:pPr>
        <w:spacing w:line="360" w:lineRule="auto"/>
        <w:ind w:left="315" w:firstLine="420" w:firstLineChars="200"/>
        <w:rPr>
          <w:rFonts w:ascii="宋体"/>
          <w:szCs w:val="21"/>
        </w:rPr>
      </w:pPr>
      <w:r>
        <w:rPr>
          <w:rFonts w:hint="eastAsia" w:ascii="宋体" w:hAnsi="宋体" w:cs="宋体"/>
          <w:szCs w:val="21"/>
        </w:rPr>
        <w:t>第一步，在输入框输入区域编号或者区域名称，点击“搜索”</w:t>
      </w:r>
      <w:r>
        <w:rPr>
          <w:rFonts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</w:rPr>
        <w:t>按钮即可查询出相应的数据列表。</w:t>
      </w:r>
    </w:p>
    <w:p>
      <w:pPr>
        <w:pStyle w:val="3"/>
      </w:pPr>
      <w:r>
        <w:rPr>
          <w:rFonts w:hint="eastAsia"/>
        </w:rPr>
        <w:t>仪表管理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点击左侧“仪表管理</w:t>
      </w:r>
      <w:r>
        <w:rPr>
          <w:rFonts w:ascii="宋体" w:hAnsi="宋体"/>
          <w:szCs w:val="21"/>
        </w:rPr>
        <w:t>”</w:t>
      </w:r>
      <w:r>
        <w:rPr>
          <w:rFonts w:hint="eastAsia" w:ascii="宋体" w:hAnsi="宋体"/>
          <w:szCs w:val="21"/>
        </w:rPr>
        <w:t>-“仪表管理”菜单，进入到仪表管理模块如图5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6示，此界面用于仪表信息管理，点击阈值设置即可设置仪表每小时的可疑、泄露阈值范围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drawing>
          <wp:inline distT="0" distB="0" distL="0" distR="0">
            <wp:extent cx="5271770" cy="2500630"/>
            <wp:effectExtent l="1905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图5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6</w:t>
      </w:r>
    </w:p>
    <w:p>
      <w:pPr>
        <w:spacing w:line="360" w:lineRule="auto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(</w:t>
      </w:r>
      <w:r>
        <w:rPr>
          <w:rFonts w:hint="eastAsia" w:ascii="宋体" w:hAnsi="宋体" w:cs="宋体"/>
          <w:szCs w:val="21"/>
        </w:rPr>
        <w:t>1</w:t>
      </w:r>
      <w:r>
        <w:rPr>
          <w:rFonts w:ascii="宋体" w:hAnsi="宋体" w:cs="宋体"/>
          <w:szCs w:val="21"/>
        </w:rPr>
        <w:t>)</w:t>
      </w:r>
      <w:r>
        <w:rPr>
          <w:rFonts w:hint="eastAsia" w:ascii="宋体" w:hAnsi="宋体" w:cs="宋体"/>
          <w:szCs w:val="21"/>
        </w:rPr>
        <w:t>增加</w:t>
      </w:r>
    </w:p>
    <w:p>
      <w:pPr>
        <w:spacing w:line="360" w:lineRule="auto"/>
        <w:ind w:firstLine="315" w:firstLineChars="150"/>
        <w:rPr>
          <w:rFonts w:ascii="宋体" w:cs="宋体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 w:ascii="宋体" w:hAnsi="宋体" w:cs="宋体"/>
          <w:szCs w:val="21"/>
        </w:rPr>
        <w:t>点击“增加”按钮，弹出增加页面，如图5.7</w:t>
      </w:r>
    </w:p>
    <w:p>
      <w:pPr>
        <w:spacing w:line="360" w:lineRule="auto"/>
        <w:ind w:firstLine="315" w:firstLineChars="150"/>
        <w:rPr>
          <w:rFonts w:ascii="宋体" w:cs="宋体"/>
          <w:szCs w:val="21"/>
        </w:rPr>
      </w:pPr>
      <w:r>
        <w:rPr>
          <w:rFonts w:hint="eastAsia" w:ascii="宋体" w:cs="宋体"/>
          <w:szCs w:val="21"/>
        </w:rPr>
        <w:drawing>
          <wp:inline distT="0" distB="0" distL="0" distR="0">
            <wp:extent cx="4218940" cy="3221355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图5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7</w:t>
      </w:r>
    </w:p>
    <w:p>
      <w:pPr>
        <w:spacing w:line="360" w:lineRule="auto"/>
        <w:ind w:firstLine="315" w:firstLine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填写仪表信息，点击增加，即可完成增加操作。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 w:hAnsi="宋体" w:cs="宋体"/>
          <w:szCs w:val="21"/>
        </w:rPr>
        <w:t>修改、删除、查询与其他界面类似。</w:t>
      </w:r>
    </w:p>
    <w:p>
      <w:pPr>
        <w:pStyle w:val="3"/>
      </w:pPr>
      <w:r>
        <w:rPr>
          <w:rFonts w:hint="eastAsia"/>
        </w:rPr>
        <w:t>区域仪表配置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/>
          <w:szCs w:val="21"/>
        </w:rPr>
        <w:t>仪表配置是系统的关键，是区域计算分析的基础，须严格按照分区公司进行配置。</w:t>
      </w:r>
    </w:p>
    <w:p>
      <w:pPr>
        <w:spacing w:line="360" w:lineRule="auto"/>
        <w:ind w:firstLine="525" w:firstLineChars="250"/>
        <w:rPr>
          <w:rFonts w:ascii="宋体" w:cs="宋体"/>
        </w:rPr>
      </w:pPr>
      <w:r>
        <w:rPr>
          <w:rFonts w:hint="eastAsia" w:ascii="宋体" w:cs="宋体"/>
        </w:rPr>
        <w:drawing>
          <wp:inline distT="0" distB="0" distL="0" distR="0">
            <wp:extent cx="5264785" cy="248666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图5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8</w:t>
      </w:r>
    </w:p>
    <w:p>
      <w:pPr>
        <w:rPr>
          <w:rFonts w:ascii="宋体" w:hAnsi="宋体"/>
          <w:szCs w:val="21"/>
        </w:rPr>
      </w:pPr>
    </w:p>
    <w:p>
      <w:r>
        <w:rPr>
          <w:rFonts w:hint="eastAsia"/>
        </w:rPr>
        <w:t>1、新增绑定</w:t>
      </w:r>
    </w:p>
    <w:p>
      <w:r>
        <w:rPr>
          <w:rFonts w:hint="eastAsia"/>
        </w:rPr>
        <w:t>在新增仪表绑定前，须查看区域或者仪表的绑定信息，查询框如图5.9</w:t>
      </w:r>
    </w:p>
    <w:p>
      <w:r>
        <w:rPr>
          <w:rFonts w:hint="eastAsia"/>
        </w:rPr>
        <w:drawing>
          <wp:inline distT="0" distB="0" distL="0" distR="0">
            <wp:extent cx="4191000" cy="63754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图5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9</w:t>
      </w:r>
    </w:p>
    <w:p>
      <w:r>
        <w:rPr>
          <w:rFonts w:hint="eastAsia"/>
        </w:rPr>
        <w:t>输入查询条件，如区域名称，点击搜索，即可列出所查询车辆的绑定信息如图5.10</w:t>
      </w:r>
    </w:p>
    <w:p>
      <w:r>
        <w:rPr>
          <w:rFonts w:hint="eastAsia"/>
        </w:rPr>
        <w:drawing>
          <wp:inline distT="0" distB="0" distL="0" distR="0">
            <wp:extent cx="5264785" cy="2403475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图5.10</w:t>
      </w:r>
    </w:p>
    <w:p>
      <w:pPr>
        <w:spacing w:line="360" w:lineRule="auto"/>
        <w:ind w:left="368" w:leftChars="175" w:firstLine="525" w:firstLineChars="25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点击“增加”按钮，弹出增加页面</w:t>
      </w:r>
      <w:r>
        <w:rPr>
          <w:rFonts w:ascii="宋体" w:cs="宋体"/>
          <w:szCs w:val="21"/>
        </w:rPr>
        <w:t>,</w:t>
      </w:r>
      <w:r>
        <w:rPr>
          <w:rFonts w:hint="eastAsia" w:ascii="宋体" w:hAnsi="宋体" w:cs="宋体"/>
          <w:szCs w:val="21"/>
        </w:rPr>
        <w:t>如图5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11，选择区域、仪表，选择是进水表还是出水表或者大户表，确定即可完成绑定。</w:t>
      </w:r>
    </w:p>
    <w:p>
      <w:pPr>
        <w:spacing w:line="360" w:lineRule="auto"/>
        <w:ind w:firstLine="525" w:firstLineChars="250"/>
        <w:rPr>
          <w:rFonts w:ascii="宋体" w:cs="宋体"/>
        </w:rPr>
      </w:pPr>
      <w:r>
        <w:rPr>
          <w:rFonts w:hint="eastAsia" w:ascii="宋体" w:cs="宋体"/>
        </w:rPr>
        <w:drawing>
          <wp:inline distT="0" distB="0" distL="0" distR="0">
            <wp:extent cx="5084445" cy="2286000"/>
            <wp:effectExtent l="1905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图5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11</w:t>
      </w:r>
    </w:p>
    <w:p>
      <w:r>
        <w:rPr>
          <w:rFonts w:hint="eastAsia"/>
        </w:rPr>
        <w:t>删除或者修改类似其他界面。</w:t>
      </w:r>
    </w:p>
    <w:p/>
    <w:p/>
    <w:p>
      <w:pPr>
        <w:pStyle w:val="2"/>
      </w:pPr>
      <w:r>
        <w:rPr>
          <w:rFonts w:hint="eastAsia"/>
        </w:rPr>
        <w:t>2.4.7查询统计</w:t>
      </w:r>
    </w:p>
    <w:p>
      <w:pPr>
        <w:pStyle w:val="3"/>
      </w:pPr>
      <w:r>
        <w:rPr>
          <w:rFonts w:hint="eastAsia"/>
        </w:rPr>
        <w:t>仪表用电量统计</w:t>
      </w:r>
    </w:p>
    <w:p>
      <w:r>
        <w:rPr>
          <w:rFonts w:hint="eastAsia"/>
        </w:rPr>
        <w:t>统计仪表的当前电量、累计使用电量、当月使用电量、当年使用电量</w:t>
      </w:r>
    </w:p>
    <w:p>
      <w:pPr>
        <w:pStyle w:val="3"/>
      </w:pPr>
      <w:r>
        <w:rPr>
          <w:rFonts w:hint="eastAsia"/>
        </w:rPr>
        <w:t>流量超限统计</w:t>
      </w:r>
    </w:p>
    <w:p>
      <w:r>
        <w:rPr>
          <w:rFonts w:hint="eastAsia"/>
        </w:rPr>
        <w:t>每个仪表都设置有上限流速和下限流速，系统根据每分钟上传的数据计算流速有无超限。统计界面如下图6.1示，对于经常超上限的仪表，建议增大管径。</w:t>
      </w:r>
    </w:p>
    <w:p>
      <w:r>
        <w:rPr>
          <w:rFonts w:hint="eastAsia"/>
        </w:rPr>
        <w:drawing>
          <wp:inline distT="0" distB="0" distL="0" distR="0">
            <wp:extent cx="5271770" cy="2583815"/>
            <wp:effectExtent l="1905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图6.1</w:t>
      </w:r>
    </w:p>
    <w:p>
      <w:pPr>
        <w:pStyle w:val="3"/>
      </w:pPr>
      <w:r>
        <w:rPr>
          <w:rFonts w:hint="eastAsia"/>
        </w:rPr>
        <w:t>操作日志查询</w:t>
      </w:r>
    </w:p>
    <w:p>
      <w:r>
        <w:rPr>
          <w:rFonts w:hint="eastAsia"/>
        </w:rPr>
        <w:t>操作日志记录如图所示的11种修改、处理操作</w:t>
      </w:r>
    </w:p>
    <w:p>
      <w:r>
        <w:drawing>
          <wp:inline distT="0" distB="0" distL="0" distR="0">
            <wp:extent cx="4620260" cy="2459355"/>
            <wp:effectExtent l="1905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图6.2</w:t>
      </w:r>
    </w:p>
    <w:p>
      <w:pPr>
        <w:pStyle w:val="3"/>
      </w:pPr>
      <w:r>
        <w:rPr>
          <w:rFonts w:hint="eastAsia"/>
        </w:rPr>
        <w:t>历史数据补录</w:t>
      </w:r>
    </w:p>
    <w:p>
      <w:r>
        <w:rPr>
          <w:rFonts w:hint="eastAsia"/>
        </w:rPr>
        <w:t>如果仪表信息后面补录，或者是手工添加修改的数据，需要将数据重新计算，可在此模块完成。界面如图6.3</w:t>
      </w:r>
    </w:p>
    <w:p>
      <w:r>
        <w:rPr>
          <w:rFonts w:hint="eastAsia"/>
        </w:rPr>
        <w:drawing>
          <wp:inline distT="0" distB="0" distL="0" distR="0">
            <wp:extent cx="5264785" cy="261874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选择开始时间和结束时间，时间跨度最好不要超过一天。对于夜间小流量、日净水量时间跨度一分钟即可完成计算。</w:t>
      </w:r>
    </w:p>
    <w:p>
      <w:pPr>
        <w:pStyle w:val="2"/>
      </w:pPr>
      <w:r>
        <w:rPr>
          <w:rFonts w:hint="eastAsia"/>
        </w:rPr>
        <w:t>2.4.8系统管理</w:t>
      </w:r>
    </w:p>
    <w:p>
      <w:pPr>
        <w:pStyle w:val="3"/>
      </w:pPr>
      <w:r>
        <w:rPr>
          <w:rFonts w:hint="eastAsia"/>
        </w:rPr>
        <w:t>部门管理</w:t>
      </w:r>
    </w:p>
    <w:p>
      <w:pPr>
        <w:spacing w:line="360" w:lineRule="auto"/>
        <w:ind w:left="315"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点击左侧“系统管理</w:t>
      </w:r>
      <w:r>
        <w:rPr>
          <w:rFonts w:ascii="宋体" w:hAnsi="宋体"/>
          <w:szCs w:val="21"/>
        </w:rPr>
        <w:t>”</w:t>
      </w:r>
      <w:r>
        <w:rPr>
          <w:rFonts w:hint="eastAsia" w:ascii="宋体" w:hAnsi="宋体"/>
          <w:szCs w:val="21"/>
        </w:rPr>
        <w:t>-“部门管理”菜单，进入到部门管理模块，如图7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1</w:t>
      </w:r>
    </w:p>
    <w:p>
      <w:pPr>
        <w:pStyle w:val="15"/>
        <w:spacing w:line="360" w:lineRule="auto"/>
        <w:rPr>
          <w:rFonts w:ascii="宋体"/>
          <w:sz w:val="21"/>
          <w:szCs w:val="21"/>
          <w:lang w:eastAsia="zh-CN"/>
        </w:rPr>
      </w:pPr>
      <w:r>
        <w:rPr>
          <w:rFonts w:hint="eastAsia" w:ascii="宋体"/>
          <w:sz w:val="21"/>
          <w:szCs w:val="21"/>
          <w:lang w:eastAsia="zh-CN"/>
        </w:rPr>
        <w:drawing>
          <wp:inline distT="0" distB="0" distL="0" distR="0">
            <wp:extent cx="5264785" cy="2493645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图7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1</w:t>
      </w:r>
    </w:p>
    <w:p>
      <w:r>
        <w:rPr>
          <w:rFonts w:hint="eastAsia"/>
        </w:rPr>
        <w:t>用户登录后可在所选择部门下创建多级部门。</w:t>
      </w:r>
    </w:p>
    <w:p>
      <w:pPr>
        <w:spacing w:line="360" w:lineRule="auto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）增加</w:t>
      </w:r>
    </w:p>
    <w:p>
      <w:pPr>
        <w:spacing w:line="360" w:lineRule="auto"/>
        <w:ind w:left="368" w:leftChars="175" w:firstLine="525" w:firstLineChars="25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第一步，点击“增加”按钮，弹出增加页面</w:t>
      </w:r>
      <w:r>
        <w:rPr>
          <w:rFonts w:ascii="宋体" w:cs="宋体"/>
          <w:szCs w:val="21"/>
        </w:rPr>
        <w:t>,</w:t>
      </w:r>
      <w:r>
        <w:rPr>
          <w:rFonts w:hint="eastAsia" w:ascii="宋体" w:hAnsi="宋体" w:cs="宋体"/>
          <w:szCs w:val="21"/>
        </w:rPr>
        <w:t>如图7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2</w:t>
      </w:r>
    </w:p>
    <w:p>
      <w:pPr>
        <w:spacing w:line="360" w:lineRule="auto"/>
        <w:ind w:firstLine="525" w:firstLineChars="250"/>
        <w:rPr>
          <w:rFonts w:ascii="宋体" w:cs="宋体"/>
        </w:rPr>
      </w:pPr>
      <w:r>
        <w:rPr>
          <w:rFonts w:hint="eastAsia" w:ascii="宋体" w:cs="宋体"/>
        </w:rPr>
        <w:drawing>
          <wp:inline distT="0" distB="0" distL="0" distR="0">
            <wp:extent cx="4391660" cy="2874645"/>
            <wp:effectExtent l="1905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图7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2</w:t>
      </w:r>
    </w:p>
    <w:p>
      <w:pPr>
        <w:spacing w:line="360" w:lineRule="auto"/>
        <w:ind w:left="420" w:firstLine="420" w:firstLineChars="20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第二步，填写相关内容，点击“增加”按钮完成增加操作。</w:t>
      </w:r>
    </w:p>
    <w:p>
      <w:pPr>
        <w:spacing w:line="360" w:lineRule="auto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(2)</w:t>
      </w:r>
      <w:r>
        <w:rPr>
          <w:rFonts w:hint="eastAsia" w:ascii="宋体" w:hAnsi="宋体" w:cs="宋体"/>
          <w:szCs w:val="21"/>
        </w:rPr>
        <w:t>修改</w:t>
      </w:r>
    </w:p>
    <w:p>
      <w:pPr>
        <w:spacing w:line="360" w:lineRule="auto"/>
        <w:ind w:firstLine="315" w:firstLineChars="150"/>
        <w:rPr>
          <w:rFonts w:ascii="宋体" w:cs="宋体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 w:ascii="宋体" w:hAnsi="宋体" w:cs="宋体"/>
          <w:szCs w:val="21"/>
        </w:rPr>
        <w:t>第一步，选择需要修改的数据后，点击“修改”按钮，弹出修改页面，如图7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3</w:t>
      </w:r>
    </w:p>
    <w:p>
      <w:pPr>
        <w:spacing w:line="360" w:lineRule="auto"/>
        <w:ind w:firstLine="315" w:firstLineChars="150"/>
        <w:rPr>
          <w:rFonts w:ascii="宋体" w:cs="宋体"/>
          <w:szCs w:val="21"/>
        </w:rPr>
      </w:pPr>
      <w:r>
        <w:rPr>
          <w:rFonts w:hint="eastAsia" w:ascii="宋体" w:cs="宋体"/>
          <w:szCs w:val="21"/>
        </w:rPr>
        <w:drawing>
          <wp:inline distT="0" distB="0" distL="0" distR="0">
            <wp:extent cx="4426585" cy="287464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图7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3</w:t>
      </w:r>
    </w:p>
    <w:p>
      <w:pPr>
        <w:spacing w:line="360" w:lineRule="auto"/>
        <w:ind w:left="420" w:firstLine="42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第二步，修改数据，点击“修改”按钮完成修改操作。</w:t>
      </w:r>
    </w:p>
    <w:p>
      <w:pPr>
        <w:spacing w:line="360" w:lineRule="auto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(3)</w:t>
      </w:r>
      <w:r>
        <w:rPr>
          <w:rFonts w:hint="eastAsia" w:ascii="宋体" w:hAnsi="宋体" w:cs="宋体"/>
          <w:szCs w:val="21"/>
        </w:rPr>
        <w:t>删除</w:t>
      </w:r>
    </w:p>
    <w:p>
      <w:pPr>
        <w:spacing w:line="360" w:lineRule="auto"/>
        <w:ind w:left="420" w:firstLine="42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第一步，选择要删除的部门记录，然后点击“删除”按钮，如图7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4</w:t>
      </w:r>
    </w:p>
    <w:p>
      <w:pPr>
        <w:spacing w:line="360" w:lineRule="auto"/>
        <w:ind w:left="420" w:firstLine="420"/>
        <w:jc w:val="center"/>
        <w:rPr>
          <w:rFonts w:ascii="宋体" w:cs="宋体"/>
          <w:szCs w:val="21"/>
        </w:rPr>
      </w:pPr>
      <w:r>
        <w:rPr>
          <w:rFonts w:hint="eastAsia" w:ascii="宋体" w:cs="宋体"/>
          <w:szCs w:val="21"/>
        </w:rPr>
        <w:drawing>
          <wp:inline distT="0" distB="0" distL="0" distR="0">
            <wp:extent cx="2895600" cy="1136015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3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/>
        <w:jc w:val="center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图7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4</w:t>
      </w:r>
    </w:p>
    <w:p>
      <w:pPr>
        <w:spacing w:line="360" w:lineRule="auto"/>
        <w:ind w:left="420" w:firstLine="42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第二步，点击确认或是取消来完成删除操作。</w:t>
      </w:r>
    </w:p>
    <w:p>
      <w:pPr>
        <w:pStyle w:val="3"/>
      </w:pPr>
      <w:r>
        <w:rPr>
          <w:rFonts w:hint="eastAsia"/>
        </w:rPr>
        <w:t>用户管理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点击左侧“系统管理</w:t>
      </w:r>
      <w:r>
        <w:rPr>
          <w:rFonts w:ascii="宋体" w:hAnsi="宋体"/>
          <w:szCs w:val="21"/>
        </w:rPr>
        <w:t>”</w:t>
      </w:r>
      <w:r>
        <w:rPr>
          <w:rFonts w:hint="eastAsia" w:ascii="宋体" w:hAnsi="宋体"/>
          <w:szCs w:val="21"/>
        </w:rPr>
        <w:t>-“用户”菜单，进入到用户管理模块，如图7</w:t>
      </w:r>
      <w:r>
        <w:rPr>
          <w:rFonts w:ascii="宋体" w:hAnsi="宋体"/>
          <w:szCs w:val="21"/>
        </w:rPr>
        <w:t>.5</w:t>
      </w:r>
      <w:r>
        <w:rPr>
          <w:rFonts w:hint="eastAsia" w:ascii="宋体" w:hAnsi="宋体"/>
          <w:szCs w:val="21"/>
        </w:rPr>
        <w:t>.</w:t>
      </w:r>
    </w:p>
    <w:p>
      <w:pPr>
        <w:spacing w:line="360" w:lineRule="auto"/>
        <w:ind w:firstLine="315" w:firstLineChars="150"/>
        <w:rPr>
          <w:rFonts w:ascii="宋体"/>
          <w:szCs w:val="21"/>
        </w:rPr>
      </w:pPr>
      <w:r>
        <w:rPr>
          <w:rFonts w:hint="eastAsia" w:ascii="宋体"/>
          <w:szCs w:val="21"/>
        </w:rPr>
        <w:drawing>
          <wp:inline distT="0" distB="0" distL="0" distR="0">
            <wp:extent cx="5264785" cy="2486660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图7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5</w:t>
      </w:r>
    </w:p>
    <w:p>
      <w:pPr>
        <w:spacing w:line="360" w:lineRule="auto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）增加</w:t>
      </w:r>
    </w:p>
    <w:p>
      <w:pPr>
        <w:spacing w:line="360" w:lineRule="auto"/>
        <w:ind w:left="368" w:leftChars="175" w:firstLine="525" w:firstLineChars="25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第一步，点击“增加”按钮，弹出增加页面</w:t>
      </w:r>
      <w:r>
        <w:rPr>
          <w:rFonts w:ascii="宋体" w:cs="宋体"/>
          <w:szCs w:val="21"/>
        </w:rPr>
        <w:t>,</w:t>
      </w:r>
      <w:r>
        <w:rPr>
          <w:rFonts w:hint="eastAsia" w:ascii="宋体" w:hAnsi="宋体" w:cs="宋体"/>
          <w:szCs w:val="21"/>
        </w:rPr>
        <w:t>如图7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6</w:t>
      </w:r>
    </w:p>
    <w:p>
      <w:pPr>
        <w:spacing w:line="360" w:lineRule="auto"/>
        <w:ind w:firstLine="525" w:firstLineChars="250"/>
        <w:rPr>
          <w:rFonts w:ascii="宋体" w:cs="宋体"/>
        </w:rPr>
      </w:pPr>
      <w:r>
        <w:rPr>
          <w:rFonts w:hint="eastAsia" w:ascii="宋体" w:cs="宋体"/>
        </w:rPr>
        <w:drawing>
          <wp:inline distT="0" distB="0" distL="0" distR="0">
            <wp:extent cx="5036185" cy="381698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图7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6</w:t>
      </w:r>
    </w:p>
    <w:p>
      <w:pPr>
        <w:spacing w:line="360" w:lineRule="auto"/>
        <w:ind w:left="420" w:firstLine="420" w:firstLineChars="20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第二步，填写内容，EMAIL报表勾选后，会将每天系统生成的管网漏损分析报表自动发送到此用户邮箱。</w:t>
      </w:r>
    </w:p>
    <w:p>
      <w:pPr>
        <w:spacing w:line="360" w:lineRule="auto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(2)</w:t>
      </w:r>
      <w:r>
        <w:rPr>
          <w:rFonts w:hint="eastAsia" w:ascii="宋体" w:hAnsi="宋体" w:cs="宋体"/>
          <w:szCs w:val="21"/>
        </w:rPr>
        <w:t>修改</w:t>
      </w:r>
    </w:p>
    <w:p>
      <w:pPr>
        <w:spacing w:line="360" w:lineRule="auto"/>
        <w:ind w:firstLine="315" w:firstLineChars="150"/>
        <w:rPr>
          <w:rFonts w:ascii="宋体" w:cs="宋体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 w:ascii="宋体" w:hAnsi="宋体" w:cs="宋体"/>
          <w:szCs w:val="21"/>
        </w:rPr>
        <w:t>第一步，选择需要修改的数据后，点击“修改”按钮，弹出修改页面，如图7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7</w:t>
      </w:r>
    </w:p>
    <w:p>
      <w:pPr>
        <w:spacing w:line="360" w:lineRule="auto"/>
        <w:ind w:firstLine="315" w:firstLineChars="150"/>
        <w:rPr>
          <w:rFonts w:ascii="宋体" w:cs="宋体"/>
          <w:szCs w:val="21"/>
        </w:rPr>
      </w:pPr>
      <w:r>
        <w:rPr>
          <w:rFonts w:hint="eastAsia" w:ascii="宋体" w:cs="宋体"/>
          <w:szCs w:val="21"/>
        </w:rPr>
        <w:drawing>
          <wp:inline distT="0" distB="0" distL="0" distR="0">
            <wp:extent cx="5084445" cy="3830955"/>
            <wp:effectExtent l="1905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  <w:jc w:val="center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图7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7</w:t>
      </w:r>
    </w:p>
    <w:p>
      <w:pPr>
        <w:spacing w:line="360" w:lineRule="auto"/>
        <w:ind w:left="420" w:firstLine="42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第二步，修改数据，点击“修改”按钮完成修改操作。</w:t>
      </w:r>
    </w:p>
    <w:p>
      <w:pPr>
        <w:spacing w:line="360" w:lineRule="auto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(3)</w:t>
      </w:r>
      <w:r>
        <w:rPr>
          <w:rFonts w:hint="eastAsia" w:ascii="宋体" w:hAnsi="宋体" w:cs="宋体"/>
          <w:szCs w:val="21"/>
        </w:rPr>
        <w:t>删除</w:t>
      </w:r>
    </w:p>
    <w:p>
      <w:pPr>
        <w:spacing w:line="360" w:lineRule="auto"/>
        <w:ind w:left="420" w:firstLine="42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第一步，选择要删除的账户记录，然后点击“删除”按钮，如图7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8</w:t>
      </w:r>
    </w:p>
    <w:p>
      <w:pPr>
        <w:spacing w:line="360" w:lineRule="auto"/>
        <w:ind w:left="420" w:firstLine="420"/>
        <w:jc w:val="center"/>
        <w:rPr>
          <w:rFonts w:ascii="宋体" w:cs="宋体"/>
          <w:szCs w:val="21"/>
        </w:rPr>
      </w:pPr>
      <w:r>
        <w:rPr>
          <w:rFonts w:hint="eastAsia" w:ascii="宋体" w:cs="宋体"/>
          <w:szCs w:val="21"/>
        </w:rPr>
        <w:drawing>
          <wp:inline distT="0" distB="0" distL="0" distR="0">
            <wp:extent cx="2888615" cy="1073785"/>
            <wp:effectExtent l="1905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/>
        <w:jc w:val="center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图7</w:t>
      </w:r>
      <w:r>
        <w:rPr>
          <w:rFonts w:ascii="宋体" w:hAnsi="宋体" w:cs="宋体"/>
          <w:szCs w:val="21"/>
        </w:rPr>
        <w:t>.</w:t>
      </w:r>
      <w:r>
        <w:rPr>
          <w:rFonts w:hint="eastAsia" w:ascii="宋体" w:hAnsi="宋体" w:cs="宋体"/>
          <w:szCs w:val="21"/>
        </w:rPr>
        <w:t>8</w:t>
      </w:r>
    </w:p>
    <w:p>
      <w:pPr>
        <w:spacing w:line="360" w:lineRule="auto"/>
        <w:ind w:left="420" w:firstLine="42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第二步，点击确认或是取消来完成删除操作。</w:t>
      </w:r>
    </w:p>
    <w:p>
      <w:pPr>
        <w:spacing w:line="360" w:lineRule="auto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(4)</w:t>
      </w:r>
      <w:r>
        <w:rPr>
          <w:rFonts w:hint="eastAsia" w:ascii="宋体" w:hAnsi="宋体" w:cs="宋体"/>
          <w:szCs w:val="21"/>
        </w:rPr>
        <w:t>搜索</w:t>
      </w:r>
    </w:p>
    <w:p>
      <w:pPr>
        <w:spacing w:line="360" w:lineRule="auto"/>
        <w:ind w:left="315" w:firstLine="420" w:firstLineChars="200"/>
        <w:rPr>
          <w:rFonts w:ascii="宋体" w:cs="宋体"/>
          <w:szCs w:val="21"/>
        </w:rPr>
      </w:pPr>
      <w:r>
        <w:rPr>
          <w:rFonts w:hint="eastAsia" w:ascii="宋体" w:hAnsi="宋体" w:cs="宋体"/>
          <w:szCs w:val="21"/>
        </w:rPr>
        <w:t>第一步，在输入框输入用户名、所属部门，点击“搜索”</w:t>
      </w:r>
      <w:r>
        <w:rPr>
          <w:rFonts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</w:rPr>
        <w:t>按钮即可查询出相应的数据列表。</w:t>
      </w:r>
    </w:p>
    <w:p>
      <w:pPr>
        <w:pStyle w:val="3"/>
      </w:pPr>
      <w:r>
        <w:rPr>
          <w:rFonts w:hint="eastAsia"/>
        </w:rPr>
        <w:t>权限管理</w:t>
      </w:r>
    </w:p>
    <w:p>
      <w:r>
        <w:rPr>
          <w:rFonts w:hint="eastAsia"/>
        </w:rPr>
        <w:t>添加用户后，需要为用户配置用户角色。角色分为管理员、调度管理员、维修人员、普通员工、公司领导。管理员角色拥有所有功能，一般指定admin专用。</w:t>
      </w:r>
    </w:p>
    <w:p>
      <w:r>
        <w:rPr>
          <w:rFonts w:hint="eastAsia"/>
        </w:rPr>
        <w:t>其他角色根据需要可对模块操作权限进行限制。配置用户角色流程如下：</w:t>
      </w:r>
    </w:p>
    <w:p>
      <w:r>
        <w:rPr>
          <w:rFonts w:hint="eastAsia"/>
        </w:rPr>
        <w:t>admin账户登录，</w:t>
      </w:r>
      <w:r>
        <w:t xml:space="preserve"> </w:t>
      </w:r>
    </w:p>
    <w:p>
      <w:pPr>
        <w:spacing w:line="360" w:lineRule="auto"/>
        <w:ind w:left="315" w:firstLine="420" w:firstLineChars="200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点击左侧“系统管理</w:t>
      </w:r>
      <w:r>
        <w:rPr>
          <w:rFonts w:ascii="宋体" w:hAnsi="宋体"/>
          <w:szCs w:val="21"/>
        </w:rPr>
        <w:t>”</w:t>
      </w:r>
      <w:r>
        <w:rPr>
          <w:rFonts w:hint="eastAsia" w:ascii="宋体" w:hAnsi="宋体"/>
          <w:szCs w:val="21"/>
        </w:rPr>
        <w:t>-“权限管理”菜单，进入到权限管理模块，如图7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9</w:t>
      </w:r>
    </w:p>
    <w:p>
      <w:pPr>
        <w:rPr>
          <w:rFonts w:ascii="宋体" w:hAnsi="宋体" w:cs="宋体"/>
        </w:rPr>
      </w:pPr>
      <w:r>
        <w:rPr>
          <w:rFonts w:ascii="宋体" w:hAnsi="宋体" w:cs="宋体"/>
        </w:rPr>
        <w:drawing>
          <wp:inline distT="0" distB="0" distL="0" distR="0">
            <wp:extent cx="5271770" cy="2147570"/>
            <wp:effectExtent l="19050" t="0" r="508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35" w:firstLineChars="350"/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/>
          <w:szCs w:val="21"/>
        </w:rPr>
        <w:t>图7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9</w:t>
      </w:r>
    </w:p>
    <w:p>
      <w:pPr>
        <w:spacing w:line="360" w:lineRule="auto"/>
        <w:ind w:firstLine="735" w:firstLineChars="3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此模块管理人员为用户分配系统的操作权限和操作模块。</w:t>
      </w:r>
    </w:p>
    <w:p>
      <w:pPr>
        <w:spacing w:line="360" w:lineRule="auto"/>
        <w:ind w:firstLine="735" w:firstLineChars="3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点击授权，界面如7.10所示</w:t>
      </w:r>
    </w:p>
    <w:p>
      <w:pPr>
        <w:spacing w:line="360" w:lineRule="auto"/>
        <w:ind w:firstLine="735" w:firstLineChars="3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0" distR="0">
            <wp:extent cx="5271770" cy="2514600"/>
            <wp:effectExtent l="19050" t="0" r="508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35" w:firstLineChars="350"/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图7.10</w:t>
      </w:r>
    </w:p>
    <w:p>
      <w:pPr>
        <w:spacing w:line="360" w:lineRule="auto"/>
        <w:ind w:left="315"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选中系统角色列表中的角色，点击</w:t>
      </w:r>
      <w:r>
        <w:rPr>
          <w:rFonts w:hint="eastAsia" w:ascii="宋体" w:hAnsi="宋体" w:cs="宋体"/>
          <w:szCs w:val="21"/>
        </w:rPr>
        <w:drawing>
          <wp:inline distT="0" distB="0" distL="0" distR="0">
            <wp:extent cx="650875" cy="22860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，保存即可完成对角色授权。角色已经规定好了所能操作的模块权限，因此无须再为用户分配模块权限。如须分配可选择模块授权进行模块权限分配。</w:t>
      </w:r>
    </w:p>
    <w:p/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.9系统收费管理</w:t>
      </w:r>
    </w:p>
    <w:p>
      <w:pPr>
        <w:pStyle w:val="10"/>
        <w:ind w:left="360" w:firstLine="0" w:firstLineChars="0"/>
      </w:pPr>
    </w:p>
    <w:p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数据可靠性要求</w:t>
      </w:r>
    </w:p>
    <w:p>
      <w:pPr>
        <w:pStyle w:val="10"/>
      </w:pPr>
    </w:p>
    <w:p>
      <w:pPr>
        <w:pStyle w:val="10"/>
        <w:ind w:left="360" w:firstLine="0" w:firstLineChars="0"/>
      </w:pPr>
      <w:r>
        <w:rPr>
          <w:rFonts w:hint="eastAsia"/>
        </w:rPr>
        <w:t>终端数据一旦正确发送,必须准确地采集和保存.无论在任何情况下.</w:t>
      </w:r>
    </w:p>
    <w:p>
      <w:pPr>
        <w:pStyle w:val="10"/>
        <w:ind w:left="360" w:firstLine="0" w:firstLineChars="0"/>
      </w:pPr>
      <w:r>
        <w:rPr>
          <w:rFonts w:hint="eastAsia"/>
        </w:rPr>
        <w:t>打开网页的速度不得大于1分钟</w:t>
      </w:r>
    </w:p>
    <w:p>
      <w:pPr>
        <w:pStyle w:val="10"/>
        <w:ind w:left="360" w:firstLine="0" w:firstLineChars="0"/>
      </w:pPr>
      <w:r>
        <w:rPr>
          <w:rFonts w:hint="eastAsia"/>
        </w:rPr>
        <w:t>服务器容量可扩展.</w:t>
      </w:r>
    </w:p>
    <w:p>
      <w:pPr>
        <w:pStyle w:val="10"/>
        <w:ind w:left="360" w:firstLine="0" w:firstLineChars="0"/>
      </w:pPr>
      <w:r>
        <w:rPr>
          <w:rFonts w:hint="eastAsia"/>
        </w:rPr>
        <w:t>单条数据查询的时间不得大于1秒.</w:t>
      </w:r>
    </w:p>
    <w:p>
      <w:pPr>
        <w:pStyle w:val="10"/>
        <w:ind w:left="360" w:firstLine="0" w:firstLineChars="0"/>
      </w:pPr>
      <w:r>
        <w:rPr>
          <w:rFonts w:hint="eastAsia"/>
        </w:rPr>
        <w:t>批量数据管理能力</w:t>
      </w:r>
    </w:p>
    <w:p>
      <w:pPr>
        <w:pStyle w:val="10"/>
        <w:ind w:left="360" w:firstLine="0" w:firstLineChars="0"/>
      </w:pPr>
      <w:r>
        <w:rPr>
          <w:rFonts w:hint="eastAsia"/>
        </w:rPr>
        <w:t>数据安全</w:t>
      </w:r>
    </w:p>
    <w:p>
      <w:pPr>
        <w:pStyle w:val="10"/>
        <w:ind w:left="360" w:firstLine="0" w:firstLineChars="0"/>
      </w:pPr>
      <w:r>
        <w:rPr>
          <w:rFonts w:hint="eastAsia"/>
        </w:rPr>
        <w:t>数据备份功能: 备份介质误特别要求</w:t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  <w:r>
        <w:rPr>
          <w:rFonts w:hint="eastAsia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047F32"/>
    <w:multiLevelType w:val="multilevel"/>
    <w:tmpl w:val="69047F32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6E2305EB"/>
    <w:multiLevelType w:val="multilevel"/>
    <w:tmpl w:val="6E2305EB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5BA"/>
    <w:rsid w:val="000135BA"/>
    <w:rsid w:val="0008730F"/>
    <w:rsid w:val="001F38B9"/>
    <w:rsid w:val="0020265D"/>
    <w:rsid w:val="002404A0"/>
    <w:rsid w:val="0036711D"/>
    <w:rsid w:val="003A7FC2"/>
    <w:rsid w:val="003B394E"/>
    <w:rsid w:val="003C3804"/>
    <w:rsid w:val="004901C6"/>
    <w:rsid w:val="004F3692"/>
    <w:rsid w:val="00566993"/>
    <w:rsid w:val="00754D29"/>
    <w:rsid w:val="00791BB8"/>
    <w:rsid w:val="00802E53"/>
    <w:rsid w:val="008859BA"/>
    <w:rsid w:val="00971261"/>
    <w:rsid w:val="00973CC8"/>
    <w:rsid w:val="009A267A"/>
    <w:rsid w:val="00A73F43"/>
    <w:rsid w:val="00B41ED2"/>
    <w:rsid w:val="00B56D9C"/>
    <w:rsid w:val="00BC219C"/>
    <w:rsid w:val="00C3236B"/>
    <w:rsid w:val="00EB2FBC"/>
    <w:rsid w:val="00F84F35"/>
    <w:rsid w:val="00FA08EF"/>
    <w:rsid w:val="44A52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widowControl/>
      <w:spacing w:before="240" w:after="60"/>
      <w:jc w:val="left"/>
      <w:outlineLvl w:val="0"/>
    </w:pPr>
    <w:rPr>
      <w:rFonts w:ascii="Cambria" w:hAnsi="Cambria" w:eastAsia="宋体" w:cs="Times New Roman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12"/>
    <w:qFormat/>
    <w:uiPriority w:val="0"/>
    <w:pPr>
      <w:keepNext/>
      <w:widowControl/>
      <w:spacing w:before="240" w:after="60"/>
      <w:jc w:val="left"/>
      <w:outlineLvl w:val="1"/>
    </w:pPr>
    <w:rPr>
      <w:rFonts w:ascii="Cambria" w:hAnsi="Cambria" w:eastAsia="宋体" w:cs="Times New Roman"/>
      <w:b/>
      <w:bCs/>
      <w:i/>
      <w:iCs/>
      <w:kern w:val="0"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9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6"/>
    <w:qFormat/>
    <w:uiPriority w:val="0"/>
    <w:pPr>
      <w:widowControl/>
      <w:spacing w:before="240" w:after="60"/>
      <w:jc w:val="center"/>
      <w:outlineLvl w:val="0"/>
    </w:pPr>
    <w:rPr>
      <w:rFonts w:ascii="Cambria" w:hAnsi="Cambria" w:eastAsia="宋体" w:cs="Times New Roman"/>
      <w:b/>
      <w:bCs/>
      <w:kern w:val="28"/>
      <w:sz w:val="32"/>
      <w:szCs w:val="32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标题 1 Char"/>
    <w:basedOn w:val="8"/>
    <w:link w:val="2"/>
    <w:uiPriority w:val="0"/>
    <w:rPr>
      <w:rFonts w:ascii="Cambria" w:hAnsi="Cambria" w:eastAsia="宋体" w:cs="Times New Roman"/>
      <w:b/>
      <w:bCs/>
      <w:kern w:val="32"/>
      <w:sz w:val="32"/>
      <w:szCs w:val="32"/>
    </w:rPr>
  </w:style>
  <w:style w:type="character" w:customStyle="1" w:styleId="12">
    <w:name w:val="标题 2 Char"/>
    <w:basedOn w:val="8"/>
    <w:link w:val="3"/>
    <w:uiPriority w:val="0"/>
    <w:rPr>
      <w:rFonts w:ascii="Cambria" w:hAnsi="Cambria" w:eastAsia="宋体" w:cs="Times New Roman"/>
      <w:b/>
      <w:bCs/>
      <w:i/>
      <w:iCs/>
      <w:kern w:val="0"/>
      <w:sz w:val="28"/>
      <w:szCs w:val="28"/>
    </w:rPr>
  </w:style>
  <w:style w:type="paragraph" w:customStyle="1" w:styleId="13">
    <w:name w:val="无间隔1"/>
    <w:basedOn w:val="1"/>
    <w:link w:val="14"/>
    <w:uiPriority w:val="0"/>
    <w:pPr>
      <w:widowControl/>
      <w:jc w:val="left"/>
    </w:pPr>
    <w:rPr>
      <w:rFonts w:ascii="Calibri" w:hAnsi="Calibri" w:eastAsia="宋体" w:cs="Times New Roman"/>
      <w:kern w:val="0"/>
      <w:sz w:val="24"/>
      <w:szCs w:val="32"/>
    </w:rPr>
  </w:style>
  <w:style w:type="character" w:customStyle="1" w:styleId="14">
    <w:name w:val="No Spacing Char"/>
    <w:basedOn w:val="8"/>
    <w:link w:val="13"/>
    <w:locked/>
    <w:uiPriority w:val="0"/>
    <w:rPr>
      <w:rFonts w:ascii="Calibri" w:hAnsi="Calibri" w:eastAsia="宋体" w:cs="Times New Roman"/>
      <w:kern w:val="0"/>
      <w:sz w:val="24"/>
      <w:szCs w:val="32"/>
    </w:rPr>
  </w:style>
  <w:style w:type="paragraph" w:customStyle="1" w:styleId="15">
    <w:name w:val="列出段落1"/>
    <w:basedOn w:val="1"/>
    <w:uiPriority w:val="0"/>
    <w:pPr>
      <w:widowControl/>
      <w:ind w:left="720"/>
      <w:jc w:val="left"/>
    </w:pPr>
    <w:rPr>
      <w:rFonts w:ascii="Calibri" w:hAnsi="Calibri" w:eastAsia="宋体" w:cs="Times New Roman"/>
      <w:kern w:val="0"/>
      <w:sz w:val="24"/>
      <w:szCs w:val="24"/>
      <w:lang w:eastAsia="en-US"/>
    </w:rPr>
  </w:style>
  <w:style w:type="character" w:customStyle="1" w:styleId="16">
    <w:name w:val="标题 Char"/>
    <w:basedOn w:val="8"/>
    <w:link w:val="7"/>
    <w:uiPriority w:val="0"/>
    <w:rPr>
      <w:rFonts w:ascii="Cambria" w:hAnsi="Cambria" w:eastAsia="宋体" w:cs="Times New Roman"/>
      <w:b/>
      <w:bCs/>
      <w:kern w:val="28"/>
      <w:sz w:val="32"/>
      <w:szCs w:val="32"/>
    </w:rPr>
  </w:style>
  <w:style w:type="character" w:customStyle="1" w:styleId="17">
    <w:name w:val="批注框文本 Char"/>
    <w:basedOn w:val="8"/>
    <w:link w:val="4"/>
    <w:semiHidden/>
    <w:uiPriority w:val="99"/>
    <w:rPr>
      <w:sz w:val="18"/>
      <w:szCs w:val="18"/>
    </w:rPr>
  </w:style>
  <w:style w:type="character" w:customStyle="1" w:styleId="18">
    <w:name w:val="页眉 Char"/>
    <w:basedOn w:val="8"/>
    <w:link w:val="6"/>
    <w:semiHidden/>
    <w:uiPriority w:val="99"/>
    <w:rPr>
      <w:sz w:val="18"/>
      <w:szCs w:val="18"/>
    </w:rPr>
  </w:style>
  <w:style w:type="character" w:customStyle="1" w:styleId="19">
    <w:name w:val="页脚 Char"/>
    <w:basedOn w:val="8"/>
    <w:link w:val="5"/>
    <w:semiHidden/>
    <w:uiPriority w:val="99"/>
    <w:rPr>
      <w:sz w:val="18"/>
      <w:szCs w:val="18"/>
    </w:rPr>
  </w:style>
  <w:style w:type="character" w:customStyle="1" w:styleId="20">
    <w:name w:val="无间隔 Char"/>
    <w:basedOn w:val="8"/>
    <w:uiPriority w:val="0"/>
    <w:rPr>
      <w:rFonts w:ascii="Calibri" w:hAnsi="Calibri" w:cs="黑体"/>
      <w:sz w:val="22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emf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emf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BE3200-73F7-421A-935F-5E8CB33002A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24</Pages>
  <Words>796</Words>
  <Characters>4539</Characters>
  <Lines>37</Lines>
  <Paragraphs>10</Paragraphs>
  <TotalTime>0</TotalTime>
  <ScaleCrop>false</ScaleCrop>
  <LinksUpToDate>false</LinksUpToDate>
  <CharactersWithSpaces>5325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2018-04-01T03:49:00Z</dcterms:created>
  <dc:creator>paken</dc:creator>
  <cp:lastModifiedBy>只等闲</cp:lastModifiedBy>
  <dcterms:modified xsi:type="dcterms:W3CDTF">2018-04-11T05:54:29Z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