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Development Phase Template</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8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739724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 Marks</w:t>
            </w:r>
          </w:p>
        </w:tc>
      </w:tr>
    </w:tbl>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tbl>
      <w:tblPr/>
      <w:tblGrid>
        <w:gridCol w:w="1212"/>
        <w:gridCol w:w="4208"/>
        <w:gridCol w:w="2346"/>
        <w:gridCol w:w="1591"/>
      </w:tblGrid>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Model</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Description</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Hyperparameters</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Performance Metric (e.g., Accuracy, F1 Score)</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r>
              <w:rPr>
                <w:rFonts w:ascii="Calibri" w:hAnsi="Calibri" w:cs="Calibri" w:eastAsia="Calibri"/>
                <w:color w:val="auto"/>
                <w:spacing w:val="0"/>
                <w:position w:val="0"/>
                <w:sz w:val="22"/>
                <w:shd w:fill="auto" w:val="clear"/>
              </w:rPr>
              <w:t xml:space="preserve"> </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In the context of predicting music sales, a decision tree model helps in making predictions based on various features such as genre, artist popularity, release date, and historical sales data.For this project, the decision tree helps identify the factors that influence music sales the most and predicts future sales based on historical data.</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Training accuracy 99%and test accuracy 94%</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Random forest </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Random Forest is an ensemble learning method that enhances the predictive accuracy and robustness of decision trees by constructing multiple trees during training and outputting the average prediction (for regression) or majority vote (for classification) of the individual trees. In the context of predicting music sales, the Random Forest model leverages various features such as genre and historical sales data to provide accurate and reliable forecasts. </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Training accuracy 99% and Testing accuracy 94%</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Linear Regression</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linear regression helps forecast future music sales by establishing a linear relationship between sales and various influencing factors such as marketing spend, social media engagement and historical sales trends. The simplicity and interpretability of linear regression make it a valuable tool for understanding how different features contribute to sales predictions and for making informed, data-driven decisions.</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76"/>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 18% and Testing accuracy 20%</w:t>
            </w:r>
          </w:p>
          <w:p>
            <w:pPr>
              <w:spacing w:before="0" w:after="160" w:line="276"/>
              <w:ind w:right="0" w:left="0" w:firstLine="0"/>
              <w:jc w:val="left"/>
              <w:rPr>
                <w:rFonts w:ascii="Times New Roman" w:hAnsi="Times New Roman" w:cs="Times New Roman" w:eastAsia="Times New Roman"/>
                <w:b/>
                <w:color w:val="0D0D0D"/>
                <w:spacing w:val="0"/>
                <w:position w:val="0"/>
                <w:sz w:val="24"/>
                <w:shd w:fill="auto" w:val="clear"/>
              </w:rPr>
            </w:pPr>
          </w:p>
          <w:p>
            <w:pPr>
              <w:spacing w:before="0" w:after="160" w:line="276"/>
              <w:ind w:right="0" w:left="0" w:firstLine="0"/>
              <w:jc w:val="left"/>
              <w:rPr>
                <w:spacing w:val="0"/>
                <w:position w:val="0"/>
              </w:rPr>
            </w:pP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KNN</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the K-Nearest Neighbors (KNN) algorithm is employed to predict music sales based on the proximity of data points in the feature space. KNN is a simple, yet effective, instance-based learning method where the model makes predictions by identifying the 'k' closest data points (neighbors) to a given input and then taking a majority vote (for classification) or averaging the values (for regression). This approach is particularly useful for identifying patterns and trends in music sales data by leveraging historical sales and other relevant features.</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Training accuracy 74% and Testing accuracy 60%</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XGBoost</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XGBoost (Extreme Gradient Boosting) is a powerful ensemble learning method used for both classification and regression tasks. It builds multiple decision trees in a sequential manner, where each new tree corrects the errors of the previous ones. This approach results in a highly accurate and robust model. For the Rhythmic Revenue project, XGBoost efficiently handles large datasets and captures complex patterns in music sales data, leading to precise predictions of future sales. Its ability to regularize helps in preventing overfitting, making it a reliable choice for our predictive analysis.</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 99%</w:t>
            </w:r>
          </w:p>
          <w:p>
            <w:pPr>
              <w:spacing w:before="0" w:after="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and Testing accuracy 94%</w:t>
            </w:r>
          </w:p>
          <w:p>
            <w:pPr>
              <w:spacing w:before="0" w:after="0" w:line="276"/>
              <w:ind w:right="0" w:left="0" w:firstLine="0"/>
              <w:jc w:val="left"/>
              <w:rPr>
                <w:spacing w:val="0"/>
                <w:position w:val="0"/>
              </w:rPr>
            </w:pPr>
          </w:p>
        </w:tc>
      </w:tr>
    </w:tbl>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