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2: HANDS-ON DATA LAB IMPLEMENTATION REPORT</w:t>
      </w:r>
    </w:p>
    <w:p>
      <w:pPr>
        <w:spacing w:after="320"/>
      </w:pPr>
      <w:r>
        <w:rPr>
          <w:i/>
          <w:color w:val="646E78"/>
          <w:sz w:val="22"/>
        </w:rPr>
        <w:t>Environment Architecture, Multi-Dimensional Data Manipulation, Statistical Visualization &amp; Exploratory Analysis</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1. Executive Summary &amp; Assessment Objective</w:t>
      </w:r>
    </w:p>
    <w:p>
      <w:pPr>
        <w:spacing w:after="120" w:line="276" w:lineRule="auto"/>
      </w:pPr>
      <w:r>
        <w:rPr>
          <w:color w:val="212529"/>
          <w:sz w:val="21"/>
        </w:rPr>
        <w:t>Modern data science and machine learning workflows depend on robust, reproducible computational environments paired with mastery of core data manipulation and visualization toolkits. The objective of Task 2 is twofold: (1) configure and verify a standardized data analysis laboratory environment comprising Python 3.14, Jupyter Notebook, NumPy, Pandas, Matplotlib, and Seaborn; and (2) execute end-to-end practical exercises involving realistic tabular dataset ingestion, missingness auditing, group-wise statistical imputation, multi-level aggregations, pivot table reshaping, and the generation of publication-grade exploratory visualizations.</w:t>
      </w:r>
    </w:p>
    <w:p>
      <w:pPr>
        <w:keepNext/>
        <w:spacing w:before="360" w:after="120"/>
      </w:pPr>
      <w:r>
        <w:rPr>
          <w:b/>
          <w:color w:val="102C57"/>
          <w:sz w:val="30"/>
        </w:rPr>
        <w:t>2. Laboratory Environment Architecture &amp; Toolstack</w:t>
      </w:r>
    </w:p>
    <w:p>
      <w:pPr>
        <w:spacing w:after="120" w:line="276" w:lineRule="auto"/>
      </w:pPr>
      <w:r>
        <w:rPr>
          <w:color w:val="212529"/>
          <w:sz w:val="21"/>
        </w:rPr>
        <w:t>A standardized local workstation environment was configured to guarantee package isolation and deterministic runtime behavior across teams.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80" w:type="dxa"/>
              <w:bottom w:w="80" w:type="dxa"/>
              <w:left w:w="100" w:type="dxa"/>
              <w:right w:w="100" w:type="dxa"/>
            </w:tcMar>
          </w:tcPr>
          <w:p>
            <w:r>
              <w:rPr>
                <w:b/>
                <w:color w:val="FFFFFF"/>
                <w:sz w:val="18"/>
              </w:rPr>
              <w:t>Layer / Tool</w:t>
            </w:r>
          </w:p>
        </w:tc>
        <w:tc>
          <w:tcPr>
            <w:tcW w:type="dxa" w:w="3120"/>
            <w:shd w:fill="102C57"/>
            <w:tcMar>
              <w:top w:w="80" w:type="dxa"/>
              <w:bottom w:w="80" w:type="dxa"/>
              <w:left w:w="100" w:type="dxa"/>
              <w:right w:w="100" w:type="dxa"/>
            </w:tcMar>
          </w:tcPr>
          <w:p>
            <w:r>
              <w:rPr>
                <w:b/>
                <w:color w:val="FFFFFF"/>
                <w:sz w:val="18"/>
              </w:rPr>
              <w:t>Verified Version</w:t>
            </w:r>
          </w:p>
        </w:tc>
        <w:tc>
          <w:tcPr>
            <w:tcW w:type="dxa" w:w="3120"/>
            <w:shd w:fill="102C57"/>
            <w:tcMar>
              <w:top w:w="80" w:type="dxa"/>
              <w:bottom w:w="80" w:type="dxa"/>
              <w:left w:w="100" w:type="dxa"/>
              <w:right w:w="100" w:type="dxa"/>
            </w:tcMar>
          </w:tcPr>
          <w:p>
            <w:r>
              <w:rPr>
                <w:b/>
                <w:color w:val="FFFFFF"/>
                <w:sz w:val="18"/>
              </w:rPr>
              <w:t>Functional Role in ML Lifecycle</w:t>
            </w:r>
          </w:p>
        </w:tc>
      </w:tr>
      <w:tr>
        <w:tc>
          <w:tcPr>
            <w:tcW w:type="dxa" w:w="3120"/>
            <w:shd w:fill="FFFFFF"/>
            <w:tcMar>
              <w:top w:w="60" w:type="dxa"/>
              <w:bottom w:w="60" w:type="dxa"/>
              <w:left w:w="100" w:type="dxa"/>
              <w:right w:w="100" w:type="dxa"/>
            </w:tcMar>
          </w:tcPr>
          <w:p>
            <w:r>
              <w:rPr>
                <w:color w:val="212529"/>
                <w:sz w:val="17"/>
              </w:rPr>
              <w:t>Python Runtime</w:t>
            </w:r>
          </w:p>
        </w:tc>
        <w:tc>
          <w:tcPr>
            <w:tcW w:type="dxa" w:w="3120"/>
            <w:shd w:fill="FFFFFF"/>
            <w:tcMar>
              <w:top w:w="60" w:type="dxa"/>
              <w:bottom w:w="60" w:type="dxa"/>
              <w:left w:w="100" w:type="dxa"/>
              <w:right w:w="100" w:type="dxa"/>
            </w:tcMar>
          </w:tcPr>
          <w:p>
            <w:r>
              <w:rPr>
                <w:color w:val="212529"/>
                <w:sz w:val="17"/>
              </w:rPr>
              <w:t>v3.14.2</w:t>
            </w:r>
          </w:p>
        </w:tc>
        <w:tc>
          <w:tcPr>
            <w:tcW w:type="dxa" w:w="3120"/>
            <w:shd w:fill="FFFFFF"/>
            <w:tcMar>
              <w:top w:w="60" w:type="dxa"/>
              <w:bottom w:w="60" w:type="dxa"/>
              <w:left w:w="100" w:type="dxa"/>
              <w:right w:w="100" w:type="dxa"/>
            </w:tcMar>
          </w:tcPr>
          <w:p>
            <w:r>
              <w:rPr>
                <w:color w:val="212529"/>
                <w:sz w:val="17"/>
              </w:rPr>
              <w:t>Core high-performance interpreted runtime</w:t>
            </w:r>
          </w:p>
        </w:tc>
      </w:tr>
      <w:tr>
        <w:tc>
          <w:tcPr>
            <w:tcW w:type="dxa" w:w="3120"/>
            <w:shd w:fill="F4F6F9"/>
            <w:tcMar>
              <w:top w:w="60" w:type="dxa"/>
              <w:bottom w:w="60" w:type="dxa"/>
              <w:left w:w="100" w:type="dxa"/>
              <w:right w:w="100" w:type="dxa"/>
            </w:tcMar>
          </w:tcPr>
          <w:p>
            <w:r>
              <w:rPr>
                <w:color w:val="212529"/>
                <w:sz w:val="17"/>
              </w:rPr>
              <w:t>NumPy</w:t>
            </w:r>
          </w:p>
        </w:tc>
        <w:tc>
          <w:tcPr>
            <w:tcW w:type="dxa" w:w="3120"/>
            <w:shd w:fill="F4F6F9"/>
            <w:tcMar>
              <w:top w:w="60" w:type="dxa"/>
              <w:bottom w:w="60" w:type="dxa"/>
              <w:left w:w="100" w:type="dxa"/>
              <w:right w:w="100" w:type="dxa"/>
            </w:tcMar>
          </w:tcPr>
          <w:p>
            <w:r>
              <w:rPr>
                <w:color w:val="212529"/>
                <w:sz w:val="17"/>
              </w:rPr>
              <w:t>v2.4.3</w:t>
            </w:r>
          </w:p>
        </w:tc>
        <w:tc>
          <w:tcPr>
            <w:tcW w:type="dxa" w:w="3120"/>
            <w:shd w:fill="F4F6F9"/>
            <w:tcMar>
              <w:top w:w="60" w:type="dxa"/>
              <w:bottom w:w="60" w:type="dxa"/>
              <w:left w:w="100" w:type="dxa"/>
              <w:right w:w="100" w:type="dxa"/>
            </w:tcMar>
          </w:tcPr>
          <w:p>
            <w:r>
              <w:rPr>
                <w:color w:val="212529"/>
                <w:sz w:val="17"/>
              </w:rPr>
              <w:t>N-dimensional vector arrays, linear algebra, vectorization</w:t>
            </w:r>
          </w:p>
        </w:tc>
      </w:tr>
      <w:tr>
        <w:tc>
          <w:tcPr>
            <w:tcW w:type="dxa" w:w="3120"/>
            <w:shd w:fill="FFFFFF"/>
            <w:tcMar>
              <w:top w:w="60" w:type="dxa"/>
              <w:bottom w:w="60" w:type="dxa"/>
              <w:left w:w="100" w:type="dxa"/>
              <w:right w:w="100" w:type="dxa"/>
            </w:tcMar>
          </w:tcPr>
          <w:p>
            <w:r>
              <w:rPr>
                <w:color w:val="212529"/>
                <w:sz w:val="17"/>
              </w:rPr>
              <w:t>Pandas</w:t>
            </w:r>
          </w:p>
        </w:tc>
        <w:tc>
          <w:tcPr>
            <w:tcW w:type="dxa" w:w="3120"/>
            <w:shd w:fill="FFFFFF"/>
            <w:tcMar>
              <w:top w:w="60" w:type="dxa"/>
              <w:bottom w:w="60" w:type="dxa"/>
              <w:left w:w="100" w:type="dxa"/>
              <w:right w:w="100" w:type="dxa"/>
            </w:tcMar>
          </w:tcPr>
          <w:p>
            <w:r>
              <w:rPr>
                <w:color w:val="212529"/>
                <w:sz w:val="17"/>
              </w:rPr>
              <w:t>v3.0.1</w:t>
            </w:r>
          </w:p>
        </w:tc>
        <w:tc>
          <w:tcPr>
            <w:tcW w:type="dxa" w:w="3120"/>
            <w:shd w:fill="FFFFFF"/>
            <w:tcMar>
              <w:top w:w="60" w:type="dxa"/>
              <w:bottom w:w="60" w:type="dxa"/>
              <w:left w:w="100" w:type="dxa"/>
              <w:right w:w="100" w:type="dxa"/>
            </w:tcMar>
          </w:tcPr>
          <w:p>
            <w:r>
              <w:rPr>
                <w:color w:val="212529"/>
                <w:sz w:val="17"/>
              </w:rPr>
              <w:t>DataFrame ETL, group-wise aggregations, pivot reshaping</w:t>
            </w:r>
          </w:p>
        </w:tc>
      </w:tr>
      <w:tr>
        <w:tc>
          <w:tcPr>
            <w:tcW w:type="dxa" w:w="3120"/>
            <w:shd w:fill="F4F6F9"/>
            <w:tcMar>
              <w:top w:w="60" w:type="dxa"/>
              <w:bottom w:w="60" w:type="dxa"/>
              <w:left w:w="100" w:type="dxa"/>
              <w:right w:w="100" w:type="dxa"/>
            </w:tcMar>
          </w:tcPr>
          <w:p>
            <w:r>
              <w:rPr>
                <w:color w:val="212529"/>
                <w:sz w:val="17"/>
              </w:rPr>
              <w:t>Matplotlib</w:t>
            </w:r>
          </w:p>
        </w:tc>
        <w:tc>
          <w:tcPr>
            <w:tcW w:type="dxa" w:w="3120"/>
            <w:shd w:fill="F4F6F9"/>
            <w:tcMar>
              <w:top w:w="60" w:type="dxa"/>
              <w:bottom w:w="60" w:type="dxa"/>
              <w:left w:w="100" w:type="dxa"/>
              <w:right w:w="100" w:type="dxa"/>
            </w:tcMar>
          </w:tcPr>
          <w:p>
            <w:r>
              <w:rPr>
                <w:color w:val="212529"/>
                <w:sz w:val="17"/>
              </w:rPr>
              <w:t>v3.10.8</w:t>
            </w:r>
          </w:p>
        </w:tc>
        <w:tc>
          <w:tcPr>
            <w:tcW w:type="dxa" w:w="3120"/>
            <w:shd w:fill="F4F6F9"/>
            <w:tcMar>
              <w:top w:w="60" w:type="dxa"/>
              <w:bottom w:w="60" w:type="dxa"/>
              <w:left w:w="100" w:type="dxa"/>
              <w:right w:w="100" w:type="dxa"/>
            </w:tcMar>
          </w:tcPr>
          <w:p>
            <w:r>
              <w:rPr>
                <w:color w:val="212529"/>
                <w:sz w:val="17"/>
              </w:rPr>
              <w:t>Foundational graphic engine for static and publication figures</w:t>
            </w:r>
          </w:p>
        </w:tc>
      </w:tr>
      <w:tr>
        <w:tc>
          <w:tcPr>
            <w:tcW w:type="dxa" w:w="3120"/>
            <w:shd w:fill="FFFFFF"/>
            <w:tcMar>
              <w:top w:w="60" w:type="dxa"/>
              <w:bottom w:w="60" w:type="dxa"/>
              <w:left w:w="100" w:type="dxa"/>
              <w:right w:w="100" w:type="dxa"/>
            </w:tcMar>
          </w:tcPr>
          <w:p>
            <w:r>
              <w:rPr>
                <w:color w:val="212529"/>
                <w:sz w:val="17"/>
              </w:rPr>
              <w:t>Seaborn</w:t>
            </w:r>
          </w:p>
        </w:tc>
        <w:tc>
          <w:tcPr>
            <w:tcW w:type="dxa" w:w="3120"/>
            <w:shd w:fill="FFFFFF"/>
            <w:tcMar>
              <w:top w:w="60" w:type="dxa"/>
              <w:bottom w:w="60" w:type="dxa"/>
              <w:left w:w="100" w:type="dxa"/>
              <w:right w:w="100" w:type="dxa"/>
            </w:tcMar>
          </w:tcPr>
          <w:p>
            <w:r>
              <w:rPr>
                <w:color w:val="212529"/>
                <w:sz w:val="17"/>
              </w:rPr>
              <w:t>v0.13.2</w:t>
            </w:r>
          </w:p>
        </w:tc>
        <w:tc>
          <w:tcPr>
            <w:tcW w:type="dxa" w:w="3120"/>
            <w:shd w:fill="FFFFFF"/>
            <w:tcMar>
              <w:top w:w="60" w:type="dxa"/>
              <w:bottom w:w="60" w:type="dxa"/>
              <w:left w:w="100" w:type="dxa"/>
              <w:right w:w="100" w:type="dxa"/>
            </w:tcMar>
          </w:tcPr>
          <w:p>
            <w:r>
              <w:rPr>
                <w:color w:val="212529"/>
                <w:sz w:val="17"/>
              </w:rPr>
              <w:t>High-level statistical data visualization, distribution KDEs, heatmaps</w:t>
            </w:r>
          </w:p>
        </w:tc>
      </w:tr>
    </w:tbl>
    <w:p>
      <w:pPr>
        <w:spacing w:after="160"/>
      </w:pPr>
    </w:p>
    <w:p>
      <w:pPr>
        <w:keepNext/>
        <w:spacing w:before="360" w:after="120"/>
      </w:pPr>
      <w:r>
        <w:rPr>
          <w:b/>
          <w:color w:val="102C57"/>
          <w:sz w:val="30"/>
        </w:rPr>
        <w:t>3. Data Manipulation, Cleaning &amp; Aggregation Exercises</w:t>
      </w:r>
    </w:p>
    <w:p>
      <w:pPr>
        <w:spacing w:after="120" w:line="276" w:lineRule="auto"/>
      </w:pPr>
      <w:r>
        <w:rPr>
          <w:color w:val="212529"/>
          <w:sz w:val="21"/>
        </w:rPr>
        <w:t>An enterprise workforce dataset consisting of N=500 employee records across 9 distinct features was analyzed. Real-world data characteristics were integrated, including departmental pay structures, educational tier multipliers, and controlled missing data entries (Missing at Random - MAR) to evaluate data sanitation routines.</w:t>
      </w:r>
    </w:p>
    <w:p>
      <w:pPr>
        <w:keepNext/>
        <w:spacing w:before="240" w:after="80"/>
      </w:pPr>
      <w:r>
        <w:rPr>
          <w:b/>
          <w:color w:val="35A29F"/>
          <w:sz w:val="25"/>
        </w:rPr>
        <w:t>3.1 Missing Value Diagnostics &amp; Group-Wise Imputation</w:t>
      </w:r>
    </w:p>
    <w:p>
      <w:pPr>
        <w:spacing w:after="120" w:line="276" w:lineRule="auto"/>
      </w:pPr>
      <w:r>
        <w:rPr>
          <w:color w:val="212529"/>
          <w:sz w:val="21"/>
        </w:rPr>
        <w:t>Initial inspection revealed 12 missing values in 'YearsExperience' and 13 missing values in 'PerformanceScore'. Global mean imputation was rejected because experience and performance variance correlate significantly with specific organizational roles. Instead, conditional median imputation grouped by 'Department' was executed, preventing structural bias:</w:t>
      </w:r>
    </w:p>
    <w:p>
      <w:pPr>
        <w:spacing w:after="120" w:line="276" w:lineRule="auto"/>
      </w:pPr>
      <w:r>
        <w:rPr>
          <w:b/>
          <w:color w:val="102C57"/>
        </w:rPr>
        <w:t xml:space="preserve">Transformation Logic: </w:t>
      </w:r>
      <w:r>
        <w:rPr>
          <w:color w:val="212529"/>
          <w:sz w:val="21"/>
        </w:rPr>
        <w:t>df['YearsExperience'] = df.groupby('Department')['YearsExperience'].transform(lambda x: x.fillna(x.median()))</w:t>
      </w:r>
    </w:p>
    <w:p>
      <w:pPr>
        <w:spacing w:after="120" w:line="276" w:lineRule="auto"/>
      </w:pPr>
      <w:r>
        <w:rPr>
          <w:color w:val="212529"/>
          <w:sz w:val="21"/>
        </w:rPr>
        <w:t>Post-imputation validation confirmed zero residual missing values across the complete matrix.</w:t>
      </w:r>
    </w:p>
    <w:p>
      <w:pPr>
        <w:keepNext/>
        <w:spacing w:before="240" w:after="80"/>
      </w:pPr>
      <w:r>
        <w:rPr>
          <w:b/>
          <w:color w:val="35A29F"/>
          <w:sz w:val="25"/>
        </w:rPr>
        <w:t>3.2 Multi-Level Aggregation &amp; Performance Summary</w:t>
      </w:r>
    </w:p>
    <w:p>
      <w:pPr>
        <w:spacing w:after="120" w:line="276" w:lineRule="auto"/>
      </w:pPr>
      <w:r>
        <w:rPr>
          <w:color w:val="212529"/>
          <w:sz w:val="21"/>
        </w:rPr>
        <w:t>The workforce records were aggregated across business departments to compute parametric and non-parametric central tendencies, experience distributions, and salary standard deviations: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80" w:type="dxa"/>
              <w:bottom w:w="80" w:type="dxa"/>
              <w:left w:w="80" w:type="dxa"/>
              <w:right w:w="80" w:type="dxa"/>
            </w:tcMar>
          </w:tcPr>
          <w:p>
            <w:r>
              <w:rPr>
                <w:b/>
                <w:color w:val="FFFFFF"/>
                <w:sz w:val="17"/>
              </w:rPr>
              <w:t>Department</w:t>
            </w:r>
          </w:p>
        </w:tc>
        <w:tc>
          <w:tcPr>
            <w:tcW w:type="dxa" w:w="1560"/>
            <w:shd w:fill="102C57"/>
            <w:tcMar>
              <w:top w:w="80" w:type="dxa"/>
              <w:bottom w:w="80" w:type="dxa"/>
              <w:left w:w="80" w:type="dxa"/>
              <w:right w:w="80" w:type="dxa"/>
            </w:tcMar>
          </w:tcPr>
          <w:p>
            <w:r>
              <w:rPr>
                <w:b/>
                <w:color w:val="FFFFFF"/>
                <w:sz w:val="17"/>
              </w:rPr>
              <w:t>Headcount</w:t>
            </w:r>
          </w:p>
        </w:tc>
        <w:tc>
          <w:tcPr>
            <w:tcW w:type="dxa" w:w="1560"/>
            <w:shd w:fill="102C57"/>
            <w:tcMar>
              <w:top w:w="80" w:type="dxa"/>
              <w:bottom w:w="80" w:type="dxa"/>
              <w:left w:w="80" w:type="dxa"/>
              <w:right w:w="80" w:type="dxa"/>
            </w:tcMar>
          </w:tcPr>
          <w:p>
            <w:r>
              <w:rPr>
                <w:b/>
                <w:color w:val="FFFFFF"/>
                <w:sz w:val="17"/>
              </w:rPr>
              <w:t>Mean Salary</w:t>
            </w:r>
          </w:p>
        </w:tc>
        <w:tc>
          <w:tcPr>
            <w:tcW w:type="dxa" w:w="1560"/>
            <w:shd w:fill="102C57"/>
            <w:tcMar>
              <w:top w:w="80" w:type="dxa"/>
              <w:bottom w:w="80" w:type="dxa"/>
              <w:left w:w="80" w:type="dxa"/>
              <w:right w:w="80" w:type="dxa"/>
            </w:tcMar>
          </w:tcPr>
          <w:p>
            <w:r>
              <w:rPr>
                <w:b/>
                <w:color w:val="FFFFFF"/>
                <w:sz w:val="17"/>
              </w:rPr>
              <w:t>Median Salary</w:t>
            </w:r>
          </w:p>
        </w:tc>
        <w:tc>
          <w:tcPr>
            <w:tcW w:type="dxa" w:w="1560"/>
            <w:shd w:fill="102C57"/>
            <w:tcMar>
              <w:top w:w="80" w:type="dxa"/>
              <w:bottom w:w="80" w:type="dxa"/>
              <w:left w:w="80" w:type="dxa"/>
              <w:right w:w="80" w:type="dxa"/>
            </w:tcMar>
          </w:tcPr>
          <w:p>
            <w:r>
              <w:rPr>
                <w:b/>
                <w:color w:val="FFFFFF"/>
                <w:sz w:val="17"/>
              </w:rPr>
              <w:t>Mean Exp (Yrs)</w:t>
            </w:r>
          </w:p>
        </w:tc>
        <w:tc>
          <w:tcPr>
            <w:tcW w:type="dxa" w:w="1560"/>
            <w:shd w:fill="102C57"/>
            <w:tcMar>
              <w:top w:w="80" w:type="dxa"/>
              <w:bottom w:w="80" w:type="dxa"/>
              <w:left w:w="80" w:type="dxa"/>
              <w:right w:w="80" w:type="dxa"/>
            </w:tcMar>
          </w:tcPr>
          <w:p>
            <w:r>
              <w:rPr>
                <w:b/>
                <w:color w:val="FFFFFF"/>
                <w:sz w:val="17"/>
              </w:rPr>
              <w:t>Std Dev Salary</w:t>
            </w:r>
          </w:p>
        </w:tc>
      </w:tr>
      <w:tr>
        <w:tc>
          <w:tcPr>
            <w:tcW w:type="dxa" w:w="1560"/>
            <w:shd w:fill="FFFFFF"/>
            <w:tcMar>
              <w:top w:w="60" w:type="dxa"/>
              <w:bottom w:w="60" w:type="dxa"/>
              <w:left w:w="80" w:type="dxa"/>
              <w:right w:w="80" w:type="dxa"/>
            </w:tcMar>
          </w:tcPr>
          <w:p>
            <w:r>
              <w:rPr>
                <w:color w:val="212529"/>
                <w:sz w:val="17"/>
              </w:rPr>
              <w:t>Data Science</w:t>
            </w:r>
          </w:p>
        </w:tc>
        <w:tc>
          <w:tcPr>
            <w:tcW w:type="dxa" w:w="1560"/>
            <w:shd w:fill="FFFFFF"/>
            <w:tcMar>
              <w:top w:w="60" w:type="dxa"/>
              <w:bottom w:w="60" w:type="dxa"/>
              <w:left w:w="80" w:type="dxa"/>
              <w:right w:w="80" w:type="dxa"/>
            </w:tcMar>
          </w:tcPr>
          <w:p>
            <w:r>
              <w:rPr>
                <w:color w:val="212529"/>
                <w:sz w:val="17"/>
              </w:rPr>
              <w:t>93</w:t>
            </w:r>
          </w:p>
        </w:tc>
        <w:tc>
          <w:tcPr>
            <w:tcW w:type="dxa" w:w="1560"/>
            <w:shd w:fill="FFFFFF"/>
            <w:tcMar>
              <w:top w:w="60" w:type="dxa"/>
              <w:bottom w:w="60" w:type="dxa"/>
              <w:left w:w="80" w:type="dxa"/>
              <w:right w:w="80" w:type="dxa"/>
            </w:tcMar>
          </w:tcPr>
          <w:p>
            <w:r>
              <w:rPr>
                <w:color w:val="212529"/>
                <w:sz w:val="17"/>
              </w:rPr>
              <w:t>$108,111.69</w:t>
            </w:r>
          </w:p>
        </w:tc>
        <w:tc>
          <w:tcPr>
            <w:tcW w:type="dxa" w:w="1560"/>
            <w:shd w:fill="FFFFFF"/>
            <w:tcMar>
              <w:top w:w="60" w:type="dxa"/>
              <w:bottom w:w="60" w:type="dxa"/>
              <w:left w:w="80" w:type="dxa"/>
              <w:right w:w="80" w:type="dxa"/>
            </w:tcMar>
          </w:tcPr>
          <w:p>
            <w:r>
              <w:rPr>
                <w:color w:val="212529"/>
                <w:sz w:val="17"/>
              </w:rPr>
              <w:t>$106,750.00</w:t>
            </w:r>
          </w:p>
        </w:tc>
        <w:tc>
          <w:tcPr>
            <w:tcW w:type="dxa" w:w="1560"/>
            <w:shd w:fill="FFFFFF"/>
            <w:tcMar>
              <w:top w:w="60" w:type="dxa"/>
              <w:bottom w:w="60" w:type="dxa"/>
              <w:left w:w="80" w:type="dxa"/>
              <w:right w:w="80" w:type="dxa"/>
            </w:tcMar>
          </w:tcPr>
          <w:p>
            <w:r>
              <w:rPr>
                <w:color w:val="212529"/>
                <w:sz w:val="17"/>
              </w:rPr>
              <w:t>6.4 yrs</w:t>
            </w:r>
          </w:p>
        </w:tc>
        <w:tc>
          <w:tcPr>
            <w:tcW w:type="dxa" w:w="1560"/>
            <w:shd w:fill="FFFFFF"/>
            <w:tcMar>
              <w:top w:w="60" w:type="dxa"/>
              <w:bottom w:w="60" w:type="dxa"/>
              <w:left w:w="80" w:type="dxa"/>
              <w:right w:w="80" w:type="dxa"/>
            </w:tcMar>
          </w:tcPr>
          <w:p>
            <w:r>
              <w:rPr>
                <w:color w:val="212529"/>
                <w:sz w:val="17"/>
              </w:rPr>
              <w:t>$19,888.96</w:t>
            </w:r>
          </w:p>
        </w:tc>
      </w:tr>
      <w:tr>
        <w:tc>
          <w:tcPr>
            <w:tcW w:type="dxa" w:w="1560"/>
            <w:shd w:fill="F4F6F9"/>
            <w:tcMar>
              <w:top w:w="60" w:type="dxa"/>
              <w:bottom w:w="60" w:type="dxa"/>
              <w:left w:w="80" w:type="dxa"/>
              <w:right w:w="80" w:type="dxa"/>
            </w:tcMar>
          </w:tcPr>
          <w:p>
            <w:r>
              <w:rPr>
                <w:color w:val="212529"/>
                <w:sz w:val="17"/>
              </w:rPr>
              <w:t>Product</w:t>
            </w:r>
          </w:p>
        </w:tc>
        <w:tc>
          <w:tcPr>
            <w:tcW w:type="dxa" w:w="1560"/>
            <w:shd w:fill="F4F6F9"/>
            <w:tcMar>
              <w:top w:w="60" w:type="dxa"/>
              <w:bottom w:w="60" w:type="dxa"/>
              <w:left w:w="80" w:type="dxa"/>
              <w:right w:w="80" w:type="dxa"/>
            </w:tcMar>
          </w:tcPr>
          <w:p>
            <w:r>
              <w:rPr>
                <w:color w:val="212529"/>
                <w:sz w:val="17"/>
              </w:rPr>
              <w:t>74</w:t>
            </w:r>
          </w:p>
        </w:tc>
        <w:tc>
          <w:tcPr>
            <w:tcW w:type="dxa" w:w="1560"/>
            <w:shd w:fill="F4F6F9"/>
            <w:tcMar>
              <w:top w:w="60" w:type="dxa"/>
              <w:bottom w:w="60" w:type="dxa"/>
              <w:left w:w="80" w:type="dxa"/>
              <w:right w:w="80" w:type="dxa"/>
            </w:tcMar>
          </w:tcPr>
          <w:p>
            <w:r>
              <w:rPr>
                <w:color w:val="212529"/>
                <w:sz w:val="17"/>
              </w:rPr>
              <w:t>$103,717.45</w:t>
            </w:r>
          </w:p>
        </w:tc>
        <w:tc>
          <w:tcPr>
            <w:tcW w:type="dxa" w:w="1560"/>
            <w:shd w:fill="F4F6F9"/>
            <w:tcMar>
              <w:top w:w="60" w:type="dxa"/>
              <w:bottom w:w="60" w:type="dxa"/>
              <w:left w:w="80" w:type="dxa"/>
              <w:right w:w="80" w:type="dxa"/>
            </w:tcMar>
          </w:tcPr>
          <w:p>
            <w:r>
              <w:rPr>
                <w:color w:val="212529"/>
                <w:sz w:val="17"/>
              </w:rPr>
              <w:t>$102,400.00</w:t>
            </w:r>
          </w:p>
        </w:tc>
        <w:tc>
          <w:tcPr>
            <w:tcW w:type="dxa" w:w="1560"/>
            <w:shd w:fill="F4F6F9"/>
            <w:tcMar>
              <w:top w:w="60" w:type="dxa"/>
              <w:bottom w:w="60" w:type="dxa"/>
              <w:left w:w="80" w:type="dxa"/>
              <w:right w:w="80" w:type="dxa"/>
            </w:tcMar>
          </w:tcPr>
          <w:p>
            <w:r>
              <w:rPr>
                <w:color w:val="212529"/>
                <w:sz w:val="17"/>
              </w:rPr>
              <w:t>6.2 yrs</w:t>
            </w:r>
          </w:p>
        </w:tc>
        <w:tc>
          <w:tcPr>
            <w:tcW w:type="dxa" w:w="1560"/>
            <w:shd w:fill="F4F6F9"/>
            <w:tcMar>
              <w:top w:w="60" w:type="dxa"/>
              <w:bottom w:w="60" w:type="dxa"/>
              <w:left w:w="80" w:type="dxa"/>
              <w:right w:w="80" w:type="dxa"/>
            </w:tcMar>
          </w:tcPr>
          <w:p>
            <w:r>
              <w:rPr>
                <w:color w:val="212529"/>
                <w:sz w:val="17"/>
              </w:rPr>
              <w:t>$21,259.21</w:t>
            </w:r>
          </w:p>
        </w:tc>
      </w:tr>
      <w:tr>
        <w:tc>
          <w:tcPr>
            <w:tcW w:type="dxa" w:w="1560"/>
            <w:shd w:fill="FFFFFF"/>
            <w:tcMar>
              <w:top w:w="60" w:type="dxa"/>
              <w:bottom w:w="60" w:type="dxa"/>
              <w:left w:w="80" w:type="dxa"/>
              <w:right w:w="80" w:type="dxa"/>
            </w:tcMar>
          </w:tcPr>
          <w:p>
            <w:r>
              <w:rPr>
                <w:color w:val="212529"/>
                <w:sz w:val="17"/>
              </w:rPr>
              <w:t>Engineering</w:t>
            </w:r>
          </w:p>
        </w:tc>
        <w:tc>
          <w:tcPr>
            <w:tcW w:type="dxa" w:w="1560"/>
            <w:shd w:fill="FFFFFF"/>
            <w:tcMar>
              <w:top w:w="60" w:type="dxa"/>
              <w:bottom w:w="60" w:type="dxa"/>
              <w:left w:w="80" w:type="dxa"/>
              <w:right w:w="80" w:type="dxa"/>
            </w:tcMar>
          </w:tcPr>
          <w:p>
            <w:r>
              <w:rPr>
                <w:color w:val="212529"/>
                <w:sz w:val="17"/>
              </w:rPr>
              <w:t>179</w:t>
            </w:r>
          </w:p>
        </w:tc>
        <w:tc>
          <w:tcPr>
            <w:tcW w:type="dxa" w:w="1560"/>
            <w:shd w:fill="FFFFFF"/>
            <w:tcMar>
              <w:top w:w="60" w:type="dxa"/>
              <w:bottom w:w="60" w:type="dxa"/>
              <w:left w:w="80" w:type="dxa"/>
              <w:right w:w="80" w:type="dxa"/>
            </w:tcMar>
          </w:tcPr>
          <w:p>
            <w:r>
              <w:rPr>
                <w:color w:val="212529"/>
                <w:sz w:val="17"/>
              </w:rPr>
              <w:t>$99,483.73</w:t>
            </w:r>
          </w:p>
        </w:tc>
        <w:tc>
          <w:tcPr>
            <w:tcW w:type="dxa" w:w="1560"/>
            <w:shd w:fill="FFFFFF"/>
            <w:tcMar>
              <w:top w:w="60" w:type="dxa"/>
              <w:bottom w:w="60" w:type="dxa"/>
              <w:left w:w="80" w:type="dxa"/>
              <w:right w:w="80" w:type="dxa"/>
            </w:tcMar>
          </w:tcPr>
          <w:p>
            <w:r>
              <w:rPr>
                <w:color w:val="212529"/>
                <w:sz w:val="17"/>
              </w:rPr>
              <w:t>$98,120.00</w:t>
            </w:r>
          </w:p>
        </w:tc>
        <w:tc>
          <w:tcPr>
            <w:tcW w:type="dxa" w:w="1560"/>
            <w:shd w:fill="FFFFFF"/>
            <w:tcMar>
              <w:top w:w="60" w:type="dxa"/>
              <w:bottom w:w="60" w:type="dxa"/>
              <w:left w:w="80" w:type="dxa"/>
              <w:right w:w="80" w:type="dxa"/>
            </w:tcMar>
          </w:tcPr>
          <w:p>
            <w:r>
              <w:rPr>
                <w:color w:val="212529"/>
                <w:sz w:val="17"/>
              </w:rPr>
              <w:t>5.9 yrs</w:t>
            </w:r>
          </w:p>
        </w:tc>
        <w:tc>
          <w:tcPr>
            <w:tcW w:type="dxa" w:w="1560"/>
            <w:shd w:fill="FFFFFF"/>
            <w:tcMar>
              <w:top w:w="60" w:type="dxa"/>
              <w:bottom w:w="60" w:type="dxa"/>
              <w:left w:w="80" w:type="dxa"/>
              <w:right w:w="80" w:type="dxa"/>
            </w:tcMar>
          </w:tcPr>
          <w:p>
            <w:r>
              <w:rPr>
                <w:color w:val="212529"/>
                <w:sz w:val="17"/>
              </w:rPr>
              <w:t>$20,717.45</w:t>
            </w:r>
          </w:p>
        </w:tc>
      </w:tr>
      <w:tr>
        <w:tc>
          <w:tcPr>
            <w:tcW w:type="dxa" w:w="1560"/>
            <w:shd w:fill="F4F6F9"/>
            <w:tcMar>
              <w:top w:w="60" w:type="dxa"/>
              <w:bottom w:w="60" w:type="dxa"/>
              <w:left w:w="80" w:type="dxa"/>
              <w:right w:w="80" w:type="dxa"/>
            </w:tcMar>
          </w:tcPr>
          <w:p>
            <w:r>
              <w:rPr>
                <w:color w:val="212529"/>
                <w:sz w:val="17"/>
              </w:rPr>
              <w:t>Marketing</w:t>
            </w:r>
          </w:p>
        </w:tc>
        <w:tc>
          <w:tcPr>
            <w:tcW w:type="dxa" w:w="1560"/>
            <w:shd w:fill="F4F6F9"/>
            <w:tcMar>
              <w:top w:w="60" w:type="dxa"/>
              <w:bottom w:w="60" w:type="dxa"/>
              <w:left w:w="80" w:type="dxa"/>
              <w:right w:w="80" w:type="dxa"/>
            </w:tcMar>
          </w:tcPr>
          <w:p>
            <w:r>
              <w:rPr>
                <w:color w:val="212529"/>
                <w:sz w:val="17"/>
              </w:rPr>
              <w:t>71</w:t>
            </w:r>
          </w:p>
        </w:tc>
        <w:tc>
          <w:tcPr>
            <w:tcW w:type="dxa" w:w="1560"/>
            <w:shd w:fill="F4F6F9"/>
            <w:tcMar>
              <w:top w:w="60" w:type="dxa"/>
              <w:bottom w:w="60" w:type="dxa"/>
              <w:left w:w="80" w:type="dxa"/>
              <w:right w:w="80" w:type="dxa"/>
            </w:tcMar>
          </w:tcPr>
          <w:p>
            <w:r>
              <w:rPr>
                <w:color w:val="212529"/>
                <w:sz w:val="17"/>
              </w:rPr>
              <w:t>$87,519.88</w:t>
            </w:r>
          </w:p>
        </w:tc>
        <w:tc>
          <w:tcPr>
            <w:tcW w:type="dxa" w:w="1560"/>
            <w:shd w:fill="F4F6F9"/>
            <w:tcMar>
              <w:top w:w="60" w:type="dxa"/>
              <w:bottom w:w="60" w:type="dxa"/>
              <w:left w:w="80" w:type="dxa"/>
              <w:right w:w="80" w:type="dxa"/>
            </w:tcMar>
          </w:tcPr>
          <w:p>
            <w:r>
              <w:rPr>
                <w:color w:val="212529"/>
                <w:sz w:val="17"/>
              </w:rPr>
              <w:t>$86,300.00</w:t>
            </w:r>
          </w:p>
        </w:tc>
        <w:tc>
          <w:tcPr>
            <w:tcW w:type="dxa" w:w="1560"/>
            <w:shd w:fill="F4F6F9"/>
            <w:tcMar>
              <w:top w:w="60" w:type="dxa"/>
              <w:bottom w:w="60" w:type="dxa"/>
              <w:left w:w="80" w:type="dxa"/>
              <w:right w:w="80" w:type="dxa"/>
            </w:tcMar>
          </w:tcPr>
          <w:p>
            <w:r>
              <w:rPr>
                <w:color w:val="212529"/>
                <w:sz w:val="17"/>
              </w:rPr>
              <w:t>5.8 yrs</w:t>
            </w:r>
          </w:p>
        </w:tc>
        <w:tc>
          <w:tcPr>
            <w:tcW w:type="dxa" w:w="1560"/>
            <w:shd w:fill="F4F6F9"/>
            <w:tcMar>
              <w:top w:w="60" w:type="dxa"/>
              <w:bottom w:w="60" w:type="dxa"/>
              <w:left w:w="80" w:type="dxa"/>
              <w:right w:w="80" w:type="dxa"/>
            </w:tcMar>
          </w:tcPr>
          <w:p>
            <w:r>
              <w:rPr>
                <w:color w:val="212529"/>
                <w:sz w:val="17"/>
              </w:rPr>
              <w:t>$19,780.33</w:t>
            </w:r>
          </w:p>
        </w:tc>
      </w:tr>
      <w:tr>
        <w:tc>
          <w:tcPr>
            <w:tcW w:type="dxa" w:w="1560"/>
            <w:shd w:fill="FFFFFF"/>
            <w:tcMar>
              <w:top w:w="60" w:type="dxa"/>
              <w:bottom w:w="60" w:type="dxa"/>
              <w:left w:w="80" w:type="dxa"/>
              <w:right w:w="80" w:type="dxa"/>
            </w:tcMar>
          </w:tcPr>
          <w:p>
            <w:r>
              <w:rPr>
                <w:color w:val="212529"/>
                <w:sz w:val="17"/>
              </w:rPr>
              <w:t>Sales</w:t>
            </w:r>
          </w:p>
        </w:tc>
        <w:tc>
          <w:tcPr>
            <w:tcW w:type="dxa" w:w="1560"/>
            <w:shd w:fill="FFFFFF"/>
            <w:tcMar>
              <w:top w:w="60" w:type="dxa"/>
              <w:bottom w:w="60" w:type="dxa"/>
              <w:left w:w="80" w:type="dxa"/>
              <w:right w:w="80" w:type="dxa"/>
            </w:tcMar>
          </w:tcPr>
          <w:p>
            <w:r>
              <w:rPr>
                <w:color w:val="212529"/>
                <w:sz w:val="17"/>
              </w:rPr>
              <w:t>83</w:t>
            </w:r>
          </w:p>
        </w:tc>
        <w:tc>
          <w:tcPr>
            <w:tcW w:type="dxa" w:w="1560"/>
            <w:shd w:fill="FFFFFF"/>
            <w:tcMar>
              <w:top w:w="60" w:type="dxa"/>
              <w:bottom w:w="60" w:type="dxa"/>
              <w:left w:w="80" w:type="dxa"/>
              <w:right w:w="80" w:type="dxa"/>
            </w:tcMar>
          </w:tcPr>
          <w:p>
            <w:r>
              <w:rPr>
                <w:color w:val="212529"/>
                <w:sz w:val="17"/>
              </w:rPr>
              <w:t>$81,932.27</w:t>
            </w:r>
          </w:p>
        </w:tc>
        <w:tc>
          <w:tcPr>
            <w:tcW w:type="dxa" w:w="1560"/>
            <w:shd w:fill="FFFFFF"/>
            <w:tcMar>
              <w:top w:w="60" w:type="dxa"/>
              <w:bottom w:w="60" w:type="dxa"/>
              <w:left w:w="80" w:type="dxa"/>
              <w:right w:w="80" w:type="dxa"/>
            </w:tcMar>
          </w:tcPr>
          <w:p>
            <w:r>
              <w:rPr>
                <w:color w:val="212529"/>
                <w:sz w:val="17"/>
              </w:rPr>
              <w:t>$80,950.00</w:t>
            </w:r>
          </w:p>
        </w:tc>
        <w:tc>
          <w:tcPr>
            <w:tcW w:type="dxa" w:w="1560"/>
            <w:shd w:fill="FFFFFF"/>
            <w:tcMar>
              <w:top w:w="60" w:type="dxa"/>
              <w:bottom w:w="60" w:type="dxa"/>
              <w:left w:w="80" w:type="dxa"/>
              <w:right w:w="80" w:type="dxa"/>
            </w:tcMar>
          </w:tcPr>
          <w:p>
            <w:r>
              <w:rPr>
                <w:color w:val="212529"/>
                <w:sz w:val="17"/>
              </w:rPr>
              <w:t>5.7 yrs</w:t>
            </w:r>
          </w:p>
        </w:tc>
        <w:tc>
          <w:tcPr>
            <w:tcW w:type="dxa" w:w="1560"/>
            <w:shd w:fill="FFFFFF"/>
            <w:tcMar>
              <w:top w:w="60" w:type="dxa"/>
              <w:bottom w:w="60" w:type="dxa"/>
              <w:left w:w="80" w:type="dxa"/>
              <w:right w:w="80" w:type="dxa"/>
            </w:tcMar>
          </w:tcPr>
          <w:p>
            <w:r>
              <w:rPr>
                <w:color w:val="212529"/>
                <w:sz w:val="17"/>
              </w:rPr>
              <w:t>$17,936.12</w:t>
            </w:r>
          </w:p>
        </w:tc>
      </w:tr>
    </w:tbl>
    <w:p>
      <w:pPr>
        <w:spacing w:after="200"/>
      </w:pPr>
    </w:p>
    <w:p>
      <w:pPr>
        <w:keepNext/>
        <w:spacing w:before="240" w:after="80"/>
      </w:pPr>
      <w:r>
        <w:rPr>
          <w:b/>
          <w:color w:val="35A29F"/>
          <w:sz w:val="25"/>
        </w:rPr>
        <w:t>3.3 Reshaping via Two-Dimensional Pivot Tables</w:t>
      </w:r>
    </w:p>
    <w:p>
      <w:pPr>
        <w:spacing w:after="120" w:line="276" w:lineRule="auto"/>
      </w:pPr>
      <w:r>
        <w:rPr>
          <w:color w:val="212529"/>
          <w:sz w:val="21"/>
        </w:rPr>
        <w:t>To evaluate educational wage premia across departments, a pivot table was constructed intersecting 'Department' and 'EducationLevel':</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100" w:type="dxa"/>
              <w:right w:w="100" w:type="dxa"/>
            </w:tcMar>
          </w:tcPr>
          <w:p>
            <w:r>
              <w:rPr>
                <w:b/>
                <w:color w:val="FFFFFF"/>
                <w:sz w:val="17"/>
              </w:rPr>
              <w:t>Department</w:t>
            </w:r>
          </w:p>
        </w:tc>
        <w:tc>
          <w:tcPr>
            <w:tcW w:type="dxa" w:w="2340"/>
            <w:shd w:fill="102C57"/>
            <w:tcMar>
              <w:top w:w="80" w:type="dxa"/>
              <w:bottom w:w="80" w:type="dxa"/>
              <w:left w:w="100" w:type="dxa"/>
              <w:right w:w="100" w:type="dxa"/>
            </w:tcMar>
          </w:tcPr>
          <w:p>
            <w:r>
              <w:rPr>
                <w:b/>
                <w:color w:val="FFFFFF"/>
                <w:sz w:val="17"/>
              </w:rPr>
              <w:t>Bachelor's Degree</w:t>
            </w:r>
          </w:p>
        </w:tc>
        <w:tc>
          <w:tcPr>
            <w:tcW w:type="dxa" w:w="2340"/>
            <w:shd w:fill="102C57"/>
            <w:tcMar>
              <w:top w:w="80" w:type="dxa"/>
              <w:bottom w:w="80" w:type="dxa"/>
              <w:left w:w="100" w:type="dxa"/>
              <w:right w:w="100" w:type="dxa"/>
            </w:tcMar>
          </w:tcPr>
          <w:p>
            <w:r>
              <w:rPr>
                <w:b/>
                <w:color w:val="FFFFFF"/>
                <w:sz w:val="17"/>
              </w:rPr>
              <w:t>Master's Degree</w:t>
            </w:r>
          </w:p>
        </w:tc>
        <w:tc>
          <w:tcPr>
            <w:tcW w:type="dxa" w:w="2340"/>
            <w:shd w:fill="102C57"/>
            <w:tcMar>
              <w:top w:w="80" w:type="dxa"/>
              <w:bottom w:w="80" w:type="dxa"/>
              <w:left w:w="100" w:type="dxa"/>
              <w:right w:w="100" w:type="dxa"/>
            </w:tcMar>
          </w:tcPr>
          <w:p>
            <w:r>
              <w:rPr>
                <w:b/>
                <w:color w:val="FFFFFF"/>
                <w:sz w:val="17"/>
              </w:rPr>
              <w:t>PhD Degree</w:t>
            </w:r>
          </w:p>
        </w:tc>
      </w:tr>
      <w:tr>
        <w:tc>
          <w:tcPr>
            <w:tcW w:type="dxa" w:w="2340"/>
            <w:shd w:fill="FFFFFF"/>
            <w:tcMar>
              <w:top w:w="60" w:type="dxa"/>
              <w:bottom w:w="60" w:type="dxa"/>
              <w:left w:w="100" w:type="dxa"/>
              <w:right w:w="100" w:type="dxa"/>
            </w:tcMar>
          </w:tcPr>
          <w:p>
            <w:r>
              <w:rPr>
                <w:color w:val="212529"/>
                <w:sz w:val="17"/>
              </w:rPr>
              <w:t>Data Science</w:t>
            </w:r>
          </w:p>
        </w:tc>
        <w:tc>
          <w:tcPr>
            <w:tcW w:type="dxa" w:w="2340"/>
            <w:shd w:fill="FFFFFF"/>
            <w:tcMar>
              <w:top w:w="60" w:type="dxa"/>
              <w:bottom w:w="60" w:type="dxa"/>
              <w:left w:w="100" w:type="dxa"/>
              <w:right w:w="100" w:type="dxa"/>
            </w:tcMar>
          </w:tcPr>
          <w:p>
            <w:r>
              <w:rPr>
                <w:color w:val="212529"/>
                <w:sz w:val="17"/>
              </w:rPr>
              <w:t>$98,378.02</w:t>
            </w:r>
          </w:p>
        </w:tc>
        <w:tc>
          <w:tcPr>
            <w:tcW w:type="dxa" w:w="2340"/>
            <w:shd w:fill="FFFFFF"/>
            <w:tcMar>
              <w:top w:w="60" w:type="dxa"/>
              <w:bottom w:w="60" w:type="dxa"/>
              <w:left w:w="100" w:type="dxa"/>
              <w:right w:w="100" w:type="dxa"/>
            </w:tcMar>
          </w:tcPr>
          <w:p>
            <w:r>
              <w:rPr>
                <w:color w:val="212529"/>
                <w:sz w:val="17"/>
              </w:rPr>
              <w:t>$116,242.76</w:t>
            </w:r>
          </w:p>
        </w:tc>
        <w:tc>
          <w:tcPr>
            <w:tcW w:type="dxa" w:w="2340"/>
            <w:shd w:fill="FFFFFF"/>
            <w:tcMar>
              <w:top w:w="60" w:type="dxa"/>
              <w:bottom w:w="60" w:type="dxa"/>
              <w:left w:w="100" w:type="dxa"/>
              <w:right w:w="100" w:type="dxa"/>
            </w:tcMar>
          </w:tcPr>
          <w:p>
            <w:r>
              <w:rPr>
                <w:color w:val="212529"/>
                <w:sz w:val="17"/>
              </w:rPr>
              <w:t>$129,360.44</w:t>
            </w:r>
          </w:p>
        </w:tc>
      </w:tr>
      <w:tr>
        <w:tc>
          <w:tcPr>
            <w:tcW w:type="dxa" w:w="2340"/>
            <w:shd w:fill="F4F6F9"/>
            <w:tcMar>
              <w:top w:w="60" w:type="dxa"/>
              <w:bottom w:w="60" w:type="dxa"/>
              <w:left w:w="100" w:type="dxa"/>
              <w:right w:w="100" w:type="dxa"/>
            </w:tcMar>
          </w:tcPr>
          <w:p>
            <w:r>
              <w:rPr>
                <w:color w:val="212529"/>
                <w:sz w:val="17"/>
              </w:rPr>
              <w:t>Engineering</w:t>
            </w:r>
          </w:p>
        </w:tc>
        <w:tc>
          <w:tcPr>
            <w:tcW w:type="dxa" w:w="2340"/>
            <w:shd w:fill="F4F6F9"/>
            <w:tcMar>
              <w:top w:w="60" w:type="dxa"/>
              <w:bottom w:w="60" w:type="dxa"/>
              <w:left w:w="100" w:type="dxa"/>
              <w:right w:w="100" w:type="dxa"/>
            </w:tcMar>
          </w:tcPr>
          <w:p>
            <w:r>
              <w:rPr>
                <w:color w:val="212529"/>
                <w:sz w:val="17"/>
              </w:rPr>
              <w:t>$89,899.19</w:t>
            </w:r>
          </w:p>
        </w:tc>
        <w:tc>
          <w:tcPr>
            <w:tcW w:type="dxa" w:w="2340"/>
            <w:shd w:fill="F4F6F9"/>
            <w:tcMar>
              <w:top w:w="60" w:type="dxa"/>
              <w:bottom w:w="60" w:type="dxa"/>
              <w:left w:w="100" w:type="dxa"/>
              <w:right w:w="100" w:type="dxa"/>
            </w:tcMar>
          </w:tcPr>
          <w:p>
            <w:r>
              <w:rPr>
                <w:color w:val="212529"/>
                <w:sz w:val="17"/>
              </w:rPr>
              <w:t>$111,935.12</w:t>
            </w:r>
          </w:p>
        </w:tc>
        <w:tc>
          <w:tcPr>
            <w:tcW w:type="dxa" w:w="2340"/>
            <w:shd w:fill="F4F6F9"/>
            <w:tcMar>
              <w:top w:w="60" w:type="dxa"/>
              <w:bottom w:w="60" w:type="dxa"/>
              <w:left w:w="100" w:type="dxa"/>
              <w:right w:w="100" w:type="dxa"/>
            </w:tcMar>
          </w:tcPr>
          <w:p>
            <w:r>
              <w:rPr>
                <w:color w:val="212529"/>
                <w:sz w:val="17"/>
              </w:rPr>
              <w:t>$122,118.52</w:t>
            </w:r>
          </w:p>
        </w:tc>
      </w:tr>
      <w:tr>
        <w:tc>
          <w:tcPr>
            <w:tcW w:type="dxa" w:w="2340"/>
            <w:shd w:fill="FFFFFF"/>
            <w:tcMar>
              <w:top w:w="60" w:type="dxa"/>
              <w:bottom w:w="60" w:type="dxa"/>
              <w:left w:w="100" w:type="dxa"/>
              <w:right w:w="100" w:type="dxa"/>
            </w:tcMar>
          </w:tcPr>
          <w:p>
            <w:r>
              <w:rPr>
                <w:color w:val="212529"/>
                <w:sz w:val="17"/>
              </w:rPr>
              <w:t>Marketing</w:t>
            </w:r>
          </w:p>
        </w:tc>
        <w:tc>
          <w:tcPr>
            <w:tcW w:type="dxa" w:w="2340"/>
            <w:shd w:fill="FFFFFF"/>
            <w:tcMar>
              <w:top w:w="60" w:type="dxa"/>
              <w:bottom w:w="60" w:type="dxa"/>
              <w:left w:w="100" w:type="dxa"/>
              <w:right w:w="100" w:type="dxa"/>
            </w:tcMar>
          </w:tcPr>
          <w:p>
            <w:r>
              <w:rPr>
                <w:color w:val="212529"/>
                <w:sz w:val="17"/>
              </w:rPr>
              <w:t>$80,787.85</w:t>
            </w:r>
          </w:p>
        </w:tc>
        <w:tc>
          <w:tcPr>
            <w:tcW w:type="dxa" w:w="2340"/>
            <w:shd w:fill="FFFFFF"/>
            <w:tcMar>
              <w:top w:w="60" w:type="dxa"/>
              <w:bottom w:w="60" w:type="dxa"/>
              <w:left w:w="100" w:type="dxa"/>
              <w:right w:w="100" w:type="dxa"/>
            </w:tcMar>
          </w:tcPr>
          <w:p>
            <w:r>
              <w:rPr>
                <w:color w:val="212529"/>
                <w:sz w:val="17"/>
              </w:rPr>
              <w:t>$96,082.76</w:t>
            </w:r>
          </w:p>
        </w:tc>
        <w:tc>
          <w:tcPr>
            <w:tcW w:type="dxa" w:w="2340"/>
            <w:shd w:fill="FFFFFF"/>
            <w:tcMar>
              <w:top w:w="60" w:type="dxa"/>
              <w:bottom w:w="60" w:type="dxa"/>
              <w:left w:w="100" w:type="dxa"/>
              <w:right w:w="100" w:type="dxa"/>
            </w:tcMar>
          </w:tcPr>
          <w:p>
            <w:r>
              <w:rPr>
                <w:color w:val="212529"/>
                <w:sz w:val="17"/>
              </w:rPr>
              <w:t>$98,473.63</w:t>
            </w:r>
          </w:p>
        </w:tc>
      </w:tr>
      <w:tr>
        <w:tc>
          <w:tcPr>
            <w:tcW w:type="dxa" w:w="2340"/>
            <w:shd w:fill="F4F6F9"/>
            <w:tcMar>
              <w:top w:w="60" w:type="dxa"/>
              <w:bottom w:w="60" w:type="dxa"/>
              <w:left w:w="100" w:type="dxa"/>
              <w:right w:w="100" w:type="dxa"/>
            </w:tcMar>
          </w:tcPr>
          <w:p>
            <w:r>
              <w:rPr>
                <w:color w:val="212529"/>
                <w:sz w:val="17"/>
              </w:rPr>
              <w:t>Product</w:t>
            </w:r>
          </w:p>
        </w:tc>
        <w:tc>
          <w:tcPr>
            <w:tcW w:type="dxa" w:w="2340"/>
            <w:shd w:fill="F4F6F9"/>
            <w:tcMar>
              <w:top w:w="60" w:type="dxa"/>
              <w:bottom w:w="60" w:type="dxa"/>
              <w:left w:w="100" w:type="dxa"/>
              <w:right w:w="100" w:type="dxa"/>
            </w:tcMar>
          </w:tcPr>
          <w:p>
            <w:r>
              <w:rPr>
                <w:color w:val="212529"/>
                <w:sz w:val="17"/>
              </w:rPr>
              <w:t>$96,570.42</w:t>
            </w:r>
          </w:p>
        </w:tc>
        <w:tc>
          <w:tcPr>
            <w:tcW w:type="dxa" w:w="2340"/>
            <w:shd w:fill="F4F6F9"/>
            <w:tcMar>
              <w:top w:w="60" w:type="dxa"/>
              <w:bottom w:w="60" w:type="dxa"/>
              <w:left w:w="100" w:type="dxa"/>
              <w:right w:w="100" w:type="dxa"/>
            </w:tcMar>
          </w:tcPr>
          <w:p>
            <w:r>
              <w:rPr>
                <w:color w:val="212529"/>
                <w:sz w:val="17"/>
              </w:rPr>
              <w:t>$105,973.44</w:t>
            </w:r>
          </w:p>
        </w:tc>
        <w:tc>
          <w:tcPr>
            <w:tcW w:type="dxa" w:w="2340"/>
            <w:shd w:fill="F4F6F9"/>
            <w:tcMar>
              <w:top w:w="60" w:type="dxa"/>
              <w:bottom w:w="60" w:type="dxa"/>
              <w:left w:w="100" w:type="dxa"/>
              <w:right w:w="100" w:type="dxa"/>
            </w:tcMar>
          </w:tcPr>
          <w:p>
            <w:r>
              <w:rPr>
                <w:color w:val="212529"/>
                <w:sz w:val="17"/>
              </w:rPr>
              <w:t>$137,199.24</w:t>
            </w:r>
          </w:p>
        </w:tc>
      </w:tr>
      <w:tr>
        <w:tc>
          <w:tcPr>
            <w:tcW w:type="dxa" w:w="2340"/>
            <w:shd w:fill="FFFFFF"/>
            <w:tcMar>
              <w:top w:w="60" w:type="dxa"/>
              <w:bottom w:w="60" w:type="dxa"/>
              <w:left w:w="100" w:type="dxa"/>
              <w:right w:w="100" w:type="dxa"/>
            </w:tcMar>
          </w:tcPr>
          <w:p>
            <w:r>
              <w:rPr>
                <w:color w:val="212529"/>
                <w:sz w:val="17"/>
              </w:rPr>
              <w:t>Sales</w:t>
            </w:r>
          </w:p>
        </w:tc>
        <w:tc>
          <w:tcPr>
            <w:tcW w:type="dxa" w:w="2340"/>
            <w:shd w:fill="FFFFFF"/>
            <w:tcMar>
              <w:top w:w="60" w:type="dxa"/>
              <w:bottom w:w="60" w:type="dxa"/>
              <w:left w:w="100" w:type="dxa"/>
              <w:right w:w="100" w:type="dxa"/>
            </w:tcMar>
          </w:tcPr>
          <w:p>
            <w:r>
              <w:rPr>
                <w:color w:val="212529"/>
                <w:sz w:val="17"/>
              </w:rPr>
              <w:t>$73,545.63</w:t>
            </w:r>
          </w:p>
        </w:tc>
        <w:tc>
          <w:tcPr>
            <w:tcW w:type="dxa" w:w="2340"/>
            <w:shd w:fill="FFFFFF"/>
            <w:tcMar>
              <w:top w:w="60" w:type="dxa"/>
              <w:bottom w:w="60" w:type="dxa"/>
              <w:left w:w="100" w:type="dxa"/>
              <w:right w:w="100" w:type="dxa"/>
            </w:tcMar>
          </w:tcPr>
          <w:p>
            <w:r>
              <w:rPr>
                <w:color w:val="212529"/>
                <w:sz w:val="17"/>
              </w:rPr>
              <w:t>$94,369.46</w:t>
            </w:r>
          </w:p>
        </w:tc>
        <w:tc>
          <w:tcPr>
            <w:tcW w:type="dxa" w:w="2340"/>
            <w:shd w:fill="FFFFFF"/>
            <w:tcMar>
              <w:top w:w="60" w:type="dxa"/>
              <w:bottom w:w="60" w:type="dxa"/>
              <w:left w:w="100" w:type="dxa"/>
              <w:right w:w="100" w:type="dxa"/>
            </w:tcMar>
          </w:tcPr>
          <w:p>
            <w:r>
              <w:rPr>
                <w:color w:val="212529"/>
                <w:sz w:val="17"/>
              </w:rPr>
              <w:t>$95,482.60</w:t>
            </w:r>
          </w:p>
        </w:tc>
      </w:tr>
    </w:tbl>
    <w:p>
      <w:pPr>
        <w:spacing w:after="240"/>
      </w:pPr>
    </w:p>
    <w:p>
      <w:pPr>
        <w:keepNext/>
        <w:spacing w:before="360" w:after="120"/>
      </w:pPr>
      <w:r>
        <w:rPr>
          <w:b/>
          <w:color w:val="102C57"/>
          <w:sz w:val="30"/>
        </w:rPr>
        <w:t>4. Statistical Data Visualizations</w:t>
      </w:r>
    </w:p>
    <w:p>
      <w:pPr>
        <w:spacing w:after="120" w:line="276" w:lineRule="auto"/>
      </w:pPr>
      <w:r>
        <w:rPr>
          <w:color w:val="212529"/>
          <w:sz w:val="21"/>
        </w:rPr>
        <w:t>Four comprehensive charts were designed and rendered using Matplotlib and Seaborn, capturing univariate distributions, bivariate groupings, regression relationships, and multi-collinearity structures.</w:t>
      </w:r>
    </w:p>
    <w:p>
      <w:pPr>
        <w:keepNext/>
        <w:spacing w:before="240" w:after="80"/>
      </w:pPr>
      <w:r>
        <w:rPr>
          <w:b/>
          <w:color w:val="35A29F"/>
          <w:sz w:val="25"/>
        </w:rPr>
        <w:t>4.1 Univariate Salary Distribution with Kernel Density Estimation (KDE)</w:t>
      </w:r>
    </w:p>
    <w:p>
      <w:pPr>
        <w:spacing w:after="120" w:line="276" w:lineRule="auto"/>
      </w:pPr>
      <w:r>
        <w:rPr>
          <w:color w:val="212529"/>
          <w:sz w:val="21"/>
        </w:rPr>
        <w:t>Figure 1 illustrates the univariate distribution of annual salaries across all 500 records. A superimposed KDE curve highlights moderate positive skewness, with the mean salary ($96,842) slightly pulling right of the median ($95,200).</w:t>
      </w:r>
    </w:p>
    <w:p>
      <w:pPr>
        <w:spacing w:before="160" w:after="4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ig1_salary_distribution.png"/>
                    <pic:cNvPicPr/>
                  </pic:nvPicPr>
                  <pic:blipFill>
                    <a:blip r:embed="rId9"/>
                    <a:stretch>
                      <a:fillRect/>
                    </a:stretch>
                  </pic:blipFill>
                  <pic:spPr>
                    <a:xfrm>
                      <a:off x="0" y="0"/>
                      <a:ext cx="5303520" cy="2983230"/>
                    </a:xfrm>
                    <a:prstGeom prst="rect"/>
                  </pic:spPr>
                </pic:pic>
              </a:graphicData>
            </a:graphic>
          </wp:inline>
        </w:drawing>
      </w:r>
    </w:p>
    <w:p>
      <w:pPr>
        <w:spacing w:after="240"/>
        <w:jc w:val="center"/>
      </w:pPr>
      <w:r>
        <w:rPr>
          <w:i/>
          <w:color w:val="646E78"/>
          <w:sz w:val="18"/>
        </w:rPr>
        <w:t>Figure 1: Univariate Annual Salary Distribution with Superimposed Kernel Density Estimate and Central Tendency Markers.</w:t>
      </w:r>
    </w:p>
    <w:p>
      <w:pPr>
        <w:keepNext/>
        <w:spacing w:before="240" w:after="80"/>
      </w:pPr>
      <w:r>
        <w:rPr>
          <w:b/>
          <w:color w:val="35A29F"/>
          <w:sz w:val="25"/>
        </w:rPr>
        <w:t>4.2 Categorical Wage Comparison Across Departments &amp; Education Levels</w:t>
      </w:r>
    </w:p>
    <w:p>
      <w:pPr>
        <w:spacing w:after="120" w:line="276" w:lineRule="auto"/>
      </w:pPr>
      <w:r>
        <w:rPr>
          <w:color w:val="212529"/>
          <w:sz w:val="21"/>
        </w:rPr>
        <w:t>Figure 2 utilizes grouped box plots to display median salary positions, interquartile spreads, and outlier thresholds for each department stratified by educational attainment.</w:t>
      </w:r>
    </w:p>
    <w:p>
      <w:pPr>
        <w:spacing w:before="160" w:after="4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salary_by_department.png"/>
                    <pic:cNvPicPr/>
                  </pic:nvPicPr>
                  <pic:blipFill>
                    <a:blip r:embed="rId10"/>
                    <a:stretch>
                      <a:fillRect/>
                    </a:stretch>
                  </pic:blipFill>
                  <pic:spPr>
                    <a:xfrm>
                      <a:off x="0" y="0"/>
                      <a:ext cx="5303520" cy="2946400"/>
                    </a:xfrm>
                    <a:prstGeom prst="rect"/>
                  </pic:spPr>
                </pic:pic>
              </a:graphicData>
            </a:graphic>
          </wp:inline>
        </w:drawing>
      </w:r>
    </w:p>
    <w:p>
      <w:pPr>
        <w:spacing w:after="240"/>
        <w:jc w:val="center"/>
      </w:pPr>
      <w:r>
        <w:rPr>
          <w:i/>
          <w:color w:val="646E78"/>
          <w:sz w:val="18"/>
        </w:rPr>
        <w:t>Figure 2: Grouped Box Plot of Annual Salary by Department Stratified by Education Level.</w:t>
      </w:r>
    </w:p>
    <w:p>
      <w:pPr>
        <w:keepNext/>
        <w:spacing w:before="240" w:after="80"/>
      </w:pPr>
      <w:r>
        <w:rPr>
          <w:b/>
          <w:color w:val="35A29F"/>
          <w:sz w:val="25"/>
        </w:rPr>
        <w:t>4.3 Bivariate Relationship: Experience vs. Compensation</w:t>
      </w:r>
    </w:p>
    <w:p>
      <w:pPr>
        <w:spacing w:after="120" w:line="276" w:lineRule="auto"/>
      </w:pPr>
      <w:r>
        <w:rPr>
          <w:color w:val="212529"/>
          <w:sz w:val="21"/>
        </w:rPr>
        <w:t>Figure 3 presents a scatter plot analyzing the correlation between employee experience (x-axis) and compensation (y-axis), color-coded continuously by performance score. An ordinary least squares regression trend line indicates an estimated increase of approximately $4,200 per additional year of tenure.</w:t>
      </w:r>
    </w:p>
    <w:p>
      <w:pPr>
        <w:spacing w:before="160" w:after="40"/>
        <w:jc w:val="center"/>
      </w:pPr>
      <w:r>
        <w:drawing>
          <wp:inline xmlns:a="http://schemas.openxmlformats.org/drawingml/2006/main" xmlns:pic="http://schemas.openxmlformats.org/drawingml/2006/picture">
            <wp:extent cx="5303520" cy="3119718"/>
            <wp:docPr id="3" name="Picture 3"/>
            <wp:cNvGraphicFramePr>
              <a:graphicFrameLocks noChangeAspect="1"/>
            </wp:cNvGraphicFramePr>
            <a:graphic>
              <a:graphicData uri="http://schemas.openxmlformats.org/drawingml/2006/picture">
                <pic:pic>
                  <pic:nvPicPr>
                    <pic:cNvPr id="0" name="fig3_experience_vs_salary.png"/>
                    <pic:cNvPicPr/>
                  </pic:nvPicPr>
                  <pic:blipFill>
                    <a:blip r:embed="rId11"/>
                    <a:stretch>
                      <a:fillRect/>
                    </a:stretch>
                  </pic:blipFill>
                  <pic:spPr>
                    <a:xfrm>
                      <a:off x="0" y="0"/>
                      <a:ext cx="5303520" cy="3119718"/>
                    </a:xfrm>
                    <a:prstGeom prst="rect"/>
                  </pic:spPr>
                </pic:pic>
              </a:graphicData>
            </a:graphic>
          </wp:inline>
        </w:drawing>
      </w:r>
    </w:p>
    <w:p>
      <w:pPr>
        <w:spacing w:after="240"/>
        <w:jc w:val="center"/>
      </w:pPr>
      <w:r>
        <w:rPr>
          <w:i/>
          <w:color w:val="646E78"/>
          <w:sz w:val="18"/>
        </w:rPr>
        <w:t>Figure 3: Scatter Plot of Experience versus Salary with Performance Color Gradient and Trend Line.</w:t>
      </w:r>
    </w:p>
    <w:p>
      <w:pPr>
        <w:keepNext/>
        <w:spacing w:before="240" w:after="80"/>
      </w:pPr>
      <w:r>
        <w:rPr>
          <w:b/>
          <w:color w:val="35A29F"/>
          <w:sz w:val="25"/>
        </w:rPr>
        <w:t>4.4 Pearson Correlation Matrix Heatmap</w:t>
      </w:r>
    </w:p>
    <w:p>
      <w:pPr>
        <w:spacing w:after="120" w:line="276" w:lineRule="auto"/>
      </w:pPr>
      <w:r>
        <w:rPr>
          <w:color w:val="212529"/>
          <w:sz w:val="21"/>
        </w:rPr>
        <w:t>Figure 4 provides a pairwise correlation heatmap evaluating all continuous numerical features. Strong positive linear correlation (r &gt; 0.75) is confirmed between Age, Experience, and Annual Salary.</w:t>
      </w:r>
    </w:p>
    <w:p>
      <w:pPr>
        <w:spacing w:before="160" w:after="40"/>
        <w:jc w:val="center"/>
      </w:pPr>
      <w:r>
        <w:drawing>
          <wp:inline xmlns:a="http://schemas.openxmlformats.org/drawingml/2006/main" xmlns:pic="http://schemas.openxmlformats.org/drawingml/2006/picture">
            <wp:extent cx="5303520" cy="4167051"/>
            <wp:docPr id="4" name="Picture 4"/>
            <wp:cNvGraphicFramePr>
              <a:graphicFrameLocks noChangeAspect="1"/>
            </wp:cNvGraphicFramePr>
            <a:graphic>
              <a:graphicData uri="http://schemas.openxmlformats.org/drawingml/2006/picture">
                <pic:pic>
                  <pic:nvPicPr>
                    <pic:cNvPr id="0" name="fig4_correlation_heatmap.png"/>
                    <pic:cNvPicPr/>
                  </pic:nvPicPr>
                  <pic:blipFill>
                    <a:blip r:embed="rId12"/>
                    <a:stretch>
                      <a:fillRect/>
                    </a:stretch>
                  </pic:blipFill>
                  <pic:spPr>
                    <a:xfrm>
                      <a:off x="0" y="0"/>
                      <a:ext cx="5303520" cy="4167051"/>
                    </a:xfrm>
                    <a:prstGeom prst="rect"/>
                  </pic:spPr>
                </pic:pic>
              </a:graphicData>
            </a:graphic>
          </wp:inline>
        </w:drawing>
      </w:r>
    </w:p>
    <w:p>
      <w:pPr>
        <w:spacing w:after="240"/>
        <w:jc w:val="center"/>
      </w:pPr>
      <w:r>
        <w:rPr>
          <w:i/>
          <w:color w:val="646E78"/>
          <w:sz w:val="18"/>
        </w:rPr>
        <w:t>Figure 4: Pearson Correlation Matrix Heatmap across Numeric Workforce Attributes.</w:t>
      </w:r>
    </w:p>
    <w:p>
      <w:pPr>
        <w:keepNext/>
        <w:spacing w:before="360" w:after="120"/>
      </w:pPr>
      <w:r>
        <w:rPr>
          <w:b/>
          <w:color w:val="102C57"/>
          <w:sz w:val="30"/>
        </w:rPr>
        <w:t>5. Conclusion &amp; Technical Insights</w:t>
      </w:r>
    </w:p>
    <w:p>
      <w:pPr>
        <w:spacing w:after="120" w:line="276" w:lineRule="auto"/>
      </w:pPr>
      <w:r>
        <w:rPr>
          <w:color w:val="212529"/>
          <w:sz w:val="21"/>
        </w:rPr>
        <w:t>Task 2 has successfully established a fully functioning, reproducible Python data science environment and demonstrated practical competence in exploratory data wrangling, missing data imputation, two-dimensional aggregations, and publication-ready visualization. All scripts, datasets, notebooks, and rendered figures are maintained under version control in the project's public GitHub repository at https://github.com/NEELU-05/YuvaIntern-ML-Internship under the Module-02-Data-Lab directory.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