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35A29F"/>
          <w:sz w:val="20"/>
        </w:rPr>
        <w:t>YUVAINTERN · MACHINE LEARNING ENGINEER VIRTUAL INTERNSHIP</w:t>
        <w:br/>
      </w:r>
      <w:r>
        <w:rPr>
          <w:b/>
          <w:color w:val="102C57"/>
          <w:sz w:val="44"/>
        </w:rPr>
        <w:t>TASK 4: DATA SCIENCE TOOL MASTERY PROJECT REPORT</w:t>
      </w:r>
    </w:p>
    <w:p>
      <w:pPr>
        <w:spacing w:after="320"/>
      </w:pPr>
      <w:r>
        <w:rPr>
          <w:i/>
          <w:color w:val="646E78"/>
          <w:sz w:val="22"/>
        </w:rPr>
        <w:t>Industry-Standard Toolkit Mastery: Scikit-Learn Pipelines, Preprocessing Architecture, Supervised Ensemble Modeling &amp; Portfolio Artifacts</w:t>
      </w:r>
    </w:p>
    <w:tbl>
      <w:tblPr>
        <w:tblW w:type="auto" w:w="0"/>
        <w:jc w:val="center"/>
        <w:tblLayout w:type="fixed"/>
        <w:tblLook w:firstColumn="1" w:firstRow="1" w:lastColumn="0" w:lastRow="0" w:noHBand="0" w:noVBand="1" w:val="04A0"/>
      </w:tblPr>
      <w:tblGrid>
        <w:gridCol w:w="4680"/>
        <w:gridCol w:w="4680"/>
      </w:tblGrid>
      <w:tr>
        <w:tc>
          <w:tcPr>
            <w:tcW w:type="dxa" w:w="3168"/>
            <w:shd w:fill="F4F6F9"/>
            <w:tcMar>
              <w:top w:w="60" w:type="dxa"/>
              <w:bottom w:w="60" w:type="dxa"/>
              <w:left w:w="100" w:type="dxa"/>
              <w:right w:w="100" w:type="dxa"/>
            </w:tcMar>
          </w:tcPr>
          <w:p>
            <w:pPr>
              <w:spacing w:after="40"/>
            </w:pPr>
            <w:r>
              <w:rPr>
                <w:b/>
                <w:color w:val="102C57"/>
                <w:sz w:val="19"/>
              </w:rPr>
              <w:t>Candidate Name:</w:t>
            </w:r>
          </w:p>
        </w:tc>
        <w:tc>
          <w:tcPr>
            <w:tcW w:type="dxa" w:w="6192"/>
            <w:shd w:fill="FFFFFF"/>
            <w:tcMar>
              <w:top w:w="60" w:type="dxa"/>
              <w:bottom w:w="60" w:type="dxa"/>
              <w:left w:w="100" w:type="dxa"/>
              <w:right w:w="100" w:type="dxa"/>
            </w:tcMar>
          </w:tcPr>
          <w:p>
            <w:pPr>
              <w:spacing w:after="40"/>
            </w:pPr>
            <w:r>
              <w:rPr>
                <w:color w:val="212529"/>
                <w:sz w:val="19"/>
              </w:rPr>
              <w:t>Neelotpal Ghosh</w:t>
            </w:r>
          </w:p>
        </w:tc>
      </w:tr>
      <w:tr>
        <w:tc>
          <w:tcPr>
            <w:tcW w:type="dxa" w:w="3168"/>
            <w:shd w:fill="F4F6F9"/>
            <w:tcMar>
              <w:top w:w="60" w:type="dxa"/>
              <w:bottom w:w="60" w:type="dxa"/>
              <w:left w:w="100" w:type="dxa"/>
              <w:right w:w="100" w:type="dxa"/>
            </w:tcMar>
          </w:tcPr>
          <w:p>
            <w:pPr>
              <w:spacing w:after="40"/>
            </w:pPr>
            <w:r>
              <w:rPr>
                <w:b/>
                <w:color w:val="102C57"/>
                <w:sz w:val="19"/>
              </w:rPr>
              <w:t>Student / Admission ID:</w:t>
            </w:r>
          </w:p>
        </w:tc>
        <w:tc>
          <w:tcPr>
            <w:tcW w:type="dxa" w:w="6192"/>
            <w:shd w:fill="FFFFFF"/>
            <w:tcMar>
              <w:top w:w="60" w:type="dxa"/>
              <w:bottom w:w="60" w:type="dxa"/>
              <w:left w:w="100" w:type="dxa"/>
              <w:right w:w="100" w:type="dxa"/>
            </w:tcMar>
          </w:tcPr>
          <w:p>
            <w:pPr>
              <w:spacing w:after="40"/>
            </w:pPr>
            <w:r>
              <w:rPr>
                <w:color w:val="212529"/>
                <w:sz w:val="19"/>
              </w:rPr>
              <w:t>24SCSE1650001 (B.Sc. Computer Science)</w:t>
            </w:r>
          </w:p>
        </w:tc>
      </w:tr>
      <w:tr>
        <w:tc>
          <w:tcPr>
            <w:tcW w:type="dxa" w:w="3168"/>
            <w:shd w:fill="F4F6F9"/>
            <w:tcMar>
              <w:top w:w="60" w:type="dxa"/>
              <w:bottom w:w="60" w:type="dxa"/>
              <w:left w:w="100" w:type="dxa"/>
              <w:right w:w="100" w:type="dxa"/>
            </w:tcMar>
          </w:tcPr>
          <w:p>
            <w:pPr>
              <w:spacing w:after="40"/>
            </w:pPr>
            <w:r>
              <w:rPr>
                <w:b/>
                <w:color w:val="102C57"/>
                <w:sz w:val="19"/>
              </w:rPr>
              <w:t>Internship Role:</w:t>
            </w:r>
          </w:p>
        </w:tc>
        <w:tc>
          <w:tcPr>
            <w:tcW w:type="dxa" w:w="6192"/>
            <w:shd w:fill="FFFFFF"/>
            <w:tcMar>
              <w:top w:w="60" w:type="dxa"/>
              <w:bottom w:w="60" w:type="dxa"/>
              <w:left w:w="100" w:type="dxa"/>
              <w:right w:w="100" w:type="dxa"/>
            </w:tcMar>
          </w:tcPr>
          <w:p>
            <w:pPr>
              <w:spacing w:after="40"/>
            </w:pPr>
            <w:r>
              <w:rPr>
                <w:color w:val="212529"/>
                <w:sz w:val="19"/>
              </w:rPr>
              <w:t>Machine Learning Engineer Intern</w:t>
            </w:r>
          </w:p>
        </w:tc>
      </w:tr>
      <w:tr>
        <w:tc>
          <w:tcPr>
            <w:tcW w:type="dxa" w:w="3168"/>
            <w:shd w:fill="F4F6F9"/>
            <w:tcMar>
              <w:top w:w="60" w:type="dxa"/>
              <w:bottom w:w="60" w:type="dxa"/>
              <w:left w:w="100" w:type="dxa"/>
              <w:right w:w="100" w:type="dxa"/>
            </w:tcMar>
          </w:tcPr>
          <w:p>
            <w:pPr>
              <w:spacing w:after="40"/>
            </w:pPr>
            <w:r>
              <w:rPr>
                <w:b/>
                <w:color w:val="102C57"/>
                <w:sz w:val="19"/>
              </w:rPr>
              <w:t>GitHub Repository:</w:t>
            </w:r>
          </w:p>
        </w:tc>
        <w:tc>
          <w:tcPr>
            <w:tcW w:type="dxa" w:w="6192"/>
            <w:shd w:fill="FFFFFF"/>
            <w:tcMar>
              <w:top w:w="60" w:type="dxa"/>
              <w:bottom w:w="60" w:type="dxa"/>
              <w:left w:w="100" w:type="dxa"/>
              <w:right w:w="100" w:type="dxa"/>
            </w:tcMar>
          </w:tcPr>
          <w:p>
            <w:pPr>
              <w:spacing w:after="40"/>
            </w:pPr>
            <w:r>
              <w:rPr>
                <w:color w:val="212529"/>
                <w:sz w:val="19"/>
              </w:rPr>
              <w:t>https://github.com/NEELU-05/YuvaIntern-ML-Internship</w:t>
            </w:r>
          </w:p>
        </w:tc>
      </w:tr>
    </w:tbl>
    <w:p>
      <w:pPr>
        <w:spacing w:after="240"/>
      </w:pPr>
    </w:p>
    <w:p>
      <w:pPr>
        <w:keepNext/>
        <w:spacing w:before="360" w:after="120"/>
      </w:pPr>
      <w:r>
        <w:rPr>
          <w:b/>
          <w:color w:val="102C57"/>
          <w:sz w:val="30"/>
        </w:rPr>
        <w:t>1. Executive Summary &amp; Toolset Objectives</w:t>
      </w:r>
    </w:p>
    <w:p>
      <w:pPr>
        <w:spacing w:after="120" w:line="276" w:lineRule="auto"/>
      </w:pPr>
      <w:r>
        <w:rPr>
          <w:color w:val="212529"/>
          <w:sz w:val="21"/>
        </w:rPr>
        <w:t>A proficient Machine Learning Engineer must master the full spectrum of industry-standard modeling frameworks, moving beyond manual data scripts toward unified, reproducible Scikit-Learn pipelines. The objective of Task 4 is to demonstrate verified mastery over six core industry toolsets: (1) Python, (2) Jupyter Notebook, (3) NumPy, (4) Pandas, (5) Matplotlib/Seaborn, and (6) Scikit-Learn. This project builds an end-to-end supervised machine learning benchmark across linear, decision tree, bagging, and boosting algorithms, evaluating them through 5-Fold Stratified Cross-Validation and producing high-value portfolio artifacts.</w:t>
      </w:r>
    </w:p>
    <w:p>
      <w:pPr>
        <w:keepNext/>
        <w:spacing w:before="360" w:after="120"/>
      </w:pPr>
      <w:r>
        <w:rPr>
          <w:b/>
          <w:color w:val="102C57"/>
          <w:sz w:val="30"/>
        </w:rPr>
        <w:t>2. Engineering Architecture: ColumnTransformer &amp; Scikit-Learn Pipelines</w:t>
      </w:r>
    </w:p>
    <w:p>
      <w:pPr>
        <w:spacing w:after="120" w:line="276" w:lineRule="auto"/>
      </w:pPr>
      <w:r>
        <w:rPr>
          <w:color w:val="212529"/>
          <w:sz w:val="21"/>
        </w:rPr>
        <w:t>In enterprise machine learning, a fatal risk is 'data leakage'—where information from the testing split inadvertently contaminates the feature scaling or encoding steps during training. To eliminate leakage, all preprocessing transformations were encapsulated within a Scikit-Learn ColumnTransformer and integrated directly into Pipeline objects.</w:t>
      </w:r>
    </w:p>
    <w:tbl>
      <w:tblPr>
        <w:tblW w:type="auto" w:w="0"/>
        <w:jc w:val="center"/>
        <w:tblLook w:firstColumn="1" w:firstRow="1" w:lastColumn="0" w:lastRow="0" w:noHBand="0" w:noVBand="1" w:val="04A0"/>
      </w:tblPr>
      <w:tblGrid>
        <w:gridCol w:w="3120"/>
        <w:gridCol w:w="3120"/>
        <w:gridCol w:w="3120"/>
      </w:tblGrid>
      <w:tr>
        <w:tc>
          <w:tcPr>
            <w:tcW w:type="dxa" w:w="3120"/>
            <w:shd w:fill="102C57"/>
            <w:tcMar>
              <w:top w:w="80" w:type="dxa"/>
              <w:bottom w:w="80" w:type="dxa"/>
              <w:left w:w="100" w:type="dxa"/>
              <w:right w:w="100" w:type="dxa"/>
            </w:tcMar>
          </w:tcPr>
          <w:p>
            <w:r>
              <w:rPr>
                <w:b/>
                <w:color w:val="FFFFFF"/>
                <w:sz w:val="18"/>
              </w:rPr>
              <w:t>Pipeline Component</w:t>
            </w:r>
          </w:p>
        </w:tc>
        <w:tc>
          <w:tcPr>
            <w:tcW w:type="dxa" w:w="3120"/>
            <w:shd w:fill="102C57"/>
            <w:tcMar>
              <w:top w:w="80" w:type="dxa"/>
              <w:bottom w:w="80" w:type="dxa"/>
              <w:left w:w="100" w:type="dxa"/>
              <w:right w:w="100" w:type="dxa"/>
            </w:tcMar>
          </w:tcPr>
          <w:p>
            <w:r>
              <w:rPr>
                <w:b/>
                <w:color w:val="FFFFFF"/>
                <w:sz w:val="18"/>
              </w:rPr>
              <w:t>Specific Scikit-Learn Class</w:t>
            </w:r>
          </w:p>
        </w:tc>
        <w:tc>
          <w:tcPr>
            <w:tcW w:type="dxa" w:w="3120"/>
            <w:shd w:fill="102C57"/>
            <w:tcMar>
              <w:top w:w="80" w:type="dxa"/>
              <w:bottom w:w="80" w:type="dxa"/>
              <w:left w:w="100" w:type="dxa"/>
              <w:right w:w="100" w:type="dxa"/>
            </w:tcMar>
          </w:tcPr>
          <w:p>
            <w:r>
              <w:rPr>
                <w:b/>
                <w:color w:val="FFFFFF"/>
                <w:sz w:val="18"/>
              </w:rPr>
              <w:t>Engineering Functionality &amp; Guarantees</w:t>
            </w:r>
          </w:p>
        </w:tc>
      </w:tr>
      <w:tr>
        <w:tc>
          <w:tcPr>
            <w:tcW w:type="dxa" w:w="3120"/>
            <w:shd w:fill="FFFFFF"/>
            <w:tcMar>
              <w:top w:w="60" w:type="dxa"/>
              <w:bottom w:w="60" w:type="dxa"/>
              <w:left w:w="100" w:type="dxa"/>
              <w:right w:w="100" w:type="dxa"/>
            </w:tcMar>
          </w:tcPr>
          <w:p>
            <w:r>
              <w:rPr>
                <w:color w:val="212529"/>
                <w:sz w:val="17"/>
              </w:rPr>
              <w:t>Numeric Imputer</w:t>
            </w:r>
          </w:p>
        </w:tc>
        <w:tc>
          <w:tcPr>
            <w:tcW w:type="dxa" w:w="3120"/>
            <w:shd w:fill="FFFFFF"/>
            <w:tcMar>
              <w:top w:w="60" w:type="dxa"/>
              <w:bottom w:w="60" w:type="dxa"/>
              <w:left w:w="100" w:type="dxa"/>
              <w:right w:w="100" w:type="dxa"/>
            </w:tcMar>
          </w:tcPr>
          <w:p>
            <w:r>
              <w:rPr>
                <w:color w:val="212529"/>
                <w:sz w:val="17"/>
              </w:rPr>
              <w:t>SimpleImputer(strategy='median')</w:t>
            </w:r>
          </w:p>
        </w:tc>
        <w:tc>
          <w:tcPr>
            <w:tcW w:type="dxa" w:w="3120"/>
            <w:shd w:fill="FFFFFF"/>
            <w:tcMar>
              <w:top w:w="60" w:type="dxa"/>
              <w:bottom w:w="60" w:type="dxa"/>
              <w:left w:w="100" w:type="dxa"/>
              <w:right w:w="100" w:type="dxa"/>
            </w:tcMar>
          </w:tcPr>
          <w:p>
            <w:r>
              <w:rPr>
                <w:color w:val="212529"/>
                <w:sz w:val="17"/>
              </w:rPr>
              <w:t>Robust non-parametric missing value imputation on training folds</w:t>
            </w:r>
          </w:p>
        </w:tc>
      </w:tr>
      <w:tr>
        <w:tc>
          <w:tcPr>
            <w:tcW w:type="dxa" w:w="3120"/>
            <w:shd w:fill="F4F6F9"/>
            <w:tcMar>
              <w:top w:w="60" w:type="dxa"/>
              <w:bottom w:w="60" w:type="dxa"/>
              <w:left w:w="100" w:type="dxa"/>
              <w:right w:w="100" w:type="dxa"/>
            </w:tcMar>
          </w:tcPr>
          <w:p>
            <w:r>
              <w:rPr>
                <w:color w:val="212529"/>
                <w:sz w:val="17"/>
              </w:rPr>
              <w:t>Feature Scaler</w:t>
            </w:r>
          </w:p>
        </w:tc>
        <w:tc>
          <w:tcPr>
            <w:tcW w:type="dxa" w:w="3120"/>
            <w:shd w:fill="F4F6F9"/>
            <w:tcMar>
              <w:top w:w="60" w:type="dxa"/>
              <w:bottom w:w="60" w:type="dxa"/>
              <w:left w:w="100" w:type="dxa"/>
              <w:right w:w="100" w:type="dxa"/>
            </w:tcMar>
          </w:tcPr>
          <w:p>
            <w:r>
              <w:rPr>
                <w:color w:val="212529"/>
                <w:sz w:val="17"/>
              </w:rPr>
              <w:t>StandardScaler()</w:t>
            </w:r>
          </w:p>
        </w:tc>
        <w:tc>
          <w:tcPr>
            <w:tcW w:type="dxa" w:w="3120"/>
            <w:shd w:fill="F4F6F9"/>
            <w:tcMar>
              <w:top w:w="60" w:type="dxa"/>
              <w:bottom w:w="60" w:type="dxa"/>
              <w:left w:w="100" w:type="dxa"/>
              <w:right w:w="100" w:type="dxa"/>
            </w:tcMar>
          </w:tcPr>
          <w:p>
            <w:r>
              <w:rPr>
                <w:color w:val="212529"/>
                <w:sz w:val="17"/>
              </w:rPr>
              <w:t>Z-score normalization (mean=0, variance=1) strictly fit on train split</w:t>
            </w:r>
          </w:p>
        </w:tc>
      </w:tr>
      <w:tr>
        <w:tc>
          <w:tcPr>
            <w:tcW w:type="dxa" w:w="3120"/>
            <w:shd w:fill="FFFFFF"/>
            <w:tcMar>
              <w:top w:w="60" w:type="dxa"/>
              <w:bottom w:w="60" w:type="dxa"/>
              <w:left w:w="100" w:type="dxa"/>
              <w:right w:w="100" w:type="dxa"/>
            </w:tcMar>
          </w:tcPr>
          <w:p>
            <w:r>
              <w:rPr>
                <w:color w:val="212529"/>
                <w:sz w:val="17"/>
              </w:rPr>
              <w:t>Categorical Encoder</w:t>
            </w:r>
          </w:p>
        </w:tc>
        <w:tc>
          <w:tcPr>
            <w:tcW w:type="dxa" w:w="3120"/>
            <w:shd w:fill="FFFFFF"/>
            <w:tcMar>
              <w:top w:w="60" w:type="dxa"/>
              <w:bottom w:w="60" w:type="dxa"/>
              <w:left w:w="100" w:type="dxa"/>
              <w:right w:w="100" w:type="dxa"/>
            </w:tcMar>
          </w:tcPr>
          <w:p>
            <w:r>
              <w:rPr>
                <w:color w:val="212529"/>
                <w:sz w:val="17"/>
              </w:rPr>
              <w:t>OneHotEncoder(drop='first')</w:t>
            </w:r>
          </w:p>
        </w:tc>
        <w:tc>
          <w:tcPr>
            <w:tcW w:type="dxa" w:w="3120"/>
            <w:shd w:fill="FFFFFF"/>
            <w:tcMar>
              <w:top w:w="60" w:type="dxa"/>
              <w:bottom w:w="60" w:type="dxa"/>
              <w:left w:w="100" w:type="dxa"/>
              <w:right w:w="100" w:type="dxa"/>
            </w:tcMar>
          </w:tcPr>
          <w:p>
            <w:r>
              <w:rPr>
                <w:color w:val="212529"/>
                <w:sz w:val="17"/>
              </w:rPr>
              <w:t>Dummies generation with drop-first to avoid multi-collinearity trap</w:t>
            </w:r>
          </w:p>
        </w:tc>
      </w:tr>
      <w:tr>
        <w:tc>
          <w:tcPr>
            <w:tcW w:type="dxa" w:w="3120"/>
            <w:shd w:fill="F4F6F9"/>
            <w:tcMar>
              <w:top w:w="60" w:type="dxa"/>
              <w:bottom w:w="60" w:type="dxa"/>
              <w:left w:w="100" w:type="dxa"/>
              <w:right w:w="100" w:type="dxa"/>
            </w:tcMar>
          </w:tcPr>
          <w:p>
            <w:r>
              <w:rPr>
                <w:color w:val="212529"/>
                <w:sz w:val="17"/>
              </w:rPr>
              <w:t>Transformer Wrapper</w:t>
            </w:r>
          </w:p>
        </w:tc>
        <w:tc>
          <w:tcPr>
            <w:tcW w:type="dxa" w:w="3120"/>
            <w:shd w:fill="F4F6F9"/>
            <w:tcMar>
              <w:top w:w="60" w:type="dxa"/>
              <w:bottom w:w="60" w:type="dxa"/>
              <w:left w:w="100" w:type="dxa"/>
              <w:right w:w="100" w:type="dxa"/>
            </w:tcMar>
          </w:tcPr>
          <w:p>
            <w:r>
              <w:rPr>
                <w:color w:val="212529"/>
                <w:sz w:val="17"/>
              </w:rPr>
              <w:t>ColumnTransformer(transformers=[...])</w:t>
            </w:r>
          </w:p>
        </w:tc>
        <w:tc>
          <w:tcPr>
            <w:tcW w:type="dxa" w:w="3120"/>
            <w:shd w:fill="F4F6F9"/>
            <w:tcMar>
              <w:top w:w="60" w:type="dxa"/>
              <w:bottom w:w="60" w:type="dxa"/>
              <w:left w:w="100" w:type="dxa"/>
              <w:right w:w="100" w:type="dxa"/>
            </w:tcMar>
          </w:tcPr>
          <w:p>
            <w:r>
              <w:rPr>
                <w:color w:val="212529"/>
                <w:sz w:val="17"/>
              </w:rPr>
              <w:t>Unified heterogenous column dispatch without DataFrame mutation</w:t>
            </w:r>
          </w:p>
        </w:tc>
      </w:tr>
    </w:tbl>
    <w:p>
      <w:pPr>
        <w:spacing w:after="200"/>
      </w:pPr>
    </w:p>
    <w:p>
      <w:pPr>
        <w:keepNext/>
        <w:spacing w:before="360" w:after="120"/>
      </w:pPr>
      <w:r>
        <w:rPr>
          <w:b/>
          <w:color w:val="102C57"/>
          <w:sz w:val="30"/>
        </w:rPr>
        <w:t>3. Empirical Model Benchmark &amp; Cross-Validation Leaderboard</w:t>
      </w:r>
    </w:p>
    <w:p>
      <w:pPr>
        <w:spacing w:after="120" w:line="276" w:lineRule="auto"/>
      </w:pPr>
      <w:r>
        <w:rPr>
          <w:color w:val="212529"/>
          <w:sz w:val="21"/>
        </w:rPr>
        <w:t>Four supervised classifiers representing distinct algorithmic families were trained and tested on an independent holdout split (25%, N=300) following 5-Fold Stratified Cross-Validation on the training subset (N=900):</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02C57"/>
            <w:tcMar>
              <w:top w:w="80" w:type="dxa"/>
              <w:bottom w:w="80" w:type="dxa"/>
              <w:left w:w="60" w:type="dxa"/>
              <w:right w:w="60" w:type="dxa"/>
            </w:tcMar>
          </w:tcPr>
          <w:p>
            <w:r>
              <w:rPr>
                <w:b/>
                <w:color w:val="FFFFFF"/>
                <w:sz w:val="17"/>
              </w:rPr>
              <w:t>Algorithm</w:t>
            </w:r>
          </w:p>
        </w:tc>
        <w:tc>
          <w:tcPr>
            <w:tcW w:type="dxa" w:w="1337"/>
            <w:shd w:fill="102C57"/>
            <w:tcMar>
              <w:top w:w="80" w:type="dxa"/>
              <w:bottom w:w="80" w:type="dxa"/>
              <w:left w:w="60" w:type="dxa"/>
              <w:right w:w="60" w:type="dxa"/>
            </w:tcMar>
          </w:tcPr>
          <w:p>
            <w:r>
              <w:rPr>
                <w:b/>
                <w:color w:val="FFFFFF"/>
                <w:sz w:val="17"/>
              </w:rPr>
              <w:t>Accuracy</w:t>
            </w:r>
          </w:p>
        </w:tc>
        <w:tc>
          <w:tcPr>
            <w:tcW w:type="dxa" w:w="1337"/>
            <w:shd w:fill="102C57"/>
            <w:tcMar>
              <w:top w:w="80" w:type="dxa"/>
              <w:bottom w:w="80" w:type="dxa"/>
              <w:left w:w="60" w:type="dxa"/>
              <w:right w:w="60" w:type="dxa"/>
            </w:tcMar>
          </w:tcPr>
          <w:p>
            <w:r>
              <w:rPr>
                <w:b/>
                <w:color w:val="FFFFFF"/>
                <w:sz w:val="17"/>
              </w:rPr>
              <w:t>Precision</w:t>
            </w:r>
          </w:p>
        </w:tc>
        <w:tc>
          <w:tcPr>
            <w:tcW w:type="dxa" w:w="1337"/>
            <w:shd w:fill="102C57"/>
            <w:tcMar>
              <w:top w:w="80" w:type="dxa"/>
              <w:bottom w:w="80" w:type="dxa"/>
              <w:left w:w="60" w:type="dxa"/>
              <w:right w:w="60" w:type="dxa"/>
            </w:tcMar>
          </w:tcPr>
          <w:p>
            <w:r>
              <w:rPr>
                <w:b/>
                <w:color w:val="FFFFFF"/>
                <w:sz w:val="17"/>
              </w:rPr>
              <w:t>Recall</w:t>
            </w:r>
          </w:p>
        </w:tc>
        <w:tc>
          <w:tcPr>
            <w:tcW w:type="dxa" w:w="1337"/>
            <w:shd w:fill="102C57"/>
            <w:tcMar>
              <w:top w:w="80" w:type="dxa"/>
              <w:bottom w:w="80" w:type="dxa"/>
              <w:left w:w="60" w:type="dxa"/>
              <w:right w:w="60" w:type="dxa"/>
            </w:tcMar>
          </w:tcPr>
          <w:p>
            <w:r>
              <w:rPr>
                <w:b/>
                <w:color w:val="FFFFFF"/>
                <w:sz w:val="17"/>
              </w:rPr>
              <w:t>F1-Score</w:t>
            </w:r>
          </w:p>
        </w:tc>
        <w:tc>
          <w:tcPr>
            <w:tcW w:type="dxa" w:w="1337"/>
            <w:shd w:fill="102C57"/>
            <w:tcMar>
              <w:top w:w="80" w:type="dxa"/>
              <w:bottom w:w="80" w:type="dxa"/>
              <w:left w:w="60" w:type="dxa"/>
              <w:right w:w="60" w:type="dxa"/>
            </w:tcMar>
          </w:tcPr>
          <w:p>
            <w:r>
              <w:rPr>
                <w:b/>
                <w:color w:val="FFFFFF"/>
                <w:sz w:val="17"/>
              </w:rPr>
              <w:t>Test ROC-AUC</w:t>
            </w:r>
          </w:p>
        </w:tc>
        <w:tc>
          <w:tcPr>
            <w:tcW w:type="dxa" w:w="1337"/>
            <w:shd w:fill="102C57"/>
            <w:tcMar>
              <w:top w:w="80" w:type="dxa"/>
              <w:bottom w:w="80" w:type="dxa"/>
              <w:left w:w="60" w:type="dxa"/>
              <w:right w:w="60" w:type="dxa"/>
            </w:tcMar>
          </w:tcPr>
          <w:p>
            <w:r>
              <w:rPr>
                <w:b/>
                <w:color w:val="FFFFFF"/>
                <w:sz w:val="17"/>
              </w:rPr>
              <w:t>5-Fold CV AUC</w:t>
            </w:r>
          </w:p>
        </w:tc>
      </w:tr>
      <w:tr>
        <w:tc>
          <w:tcPr>
            <w:tcW w:type="dxa" w:w="1337"/>
            <w:shd w:fill="FFFFFF"/>
            <w:tcMar>
              <w:top w:w="60" w:type="dxa"/>
              <w:bottom w:w="60" w:type="dxa"/>
              <w:left w:w="60" w:type="dxa"/>
              <w:right w:w="60" w:type="dxa"/>
            </w:tcMar>
          </w:tcPr>
          <w:p>
            <w:r>
              <w:rPr>
                <w:color w:val="212529"/>
                <w:sz w:val="17"/>
              </w:rPr>
              <w:t>Logistic Regression</w:t>
            </w:r>
          </w:p>
        </w:tc>
        <w:tc>
          <w:tcPr>
            <w:tcW w:type="dxa" w:w="1337"/>
            <w:shd w:fill="FFFFFF"/>
            <w:tcMar>
              <w:top w:w="60" w:type="dxa"/>
              <w:bottom w:w="60" w:type="dxa"/>
              <w:left w:w="60" w:type="dxa"/>
              <w:right w:w="60" w:type="dxa"/>
            </w:tcMar>
          </w:tcPr>
          <w:p>
            <w:r>
              <w:rPr>
                <w:color w:val="212529"/>
                <w:sz w:val="17"/>
              </w:rPr>
              <w:t>85.00%</w:t>
            </w:r>
          </w:p>
        </w:tc>
        <w:tc>
          <w:tcPr>
            <w:tcW w:type="dxa" w:w="1337"/>
            <w:shd w:fill="FFFFFF"/>
            <w:tcMar>
              <w:top w:w="60" w:type="dxa"/>
              <w:bottom w:w="60" w:type="dxa"/>
              <w:left w:w="60" w:type="dxa"/>
              <w:right w:w="60" w:type="dxa"/>
            </w:tcMar>
          </w:tcPr>
          <w:p>
            <w:r>
              <w:rPr>
                <w:color w:val="212529"/>
                <w:sz w:val="17"/>
              </w:rPr>
              <w:t>78.87%</w:t>
            </w:r>
          </w:p>
        </w:tc>
        <w:tc>
          <w:tcPr>
            <w:tcW w:type="dxa" w:w="1337"/>
            <w:shd w:fill="FFFFFF"/>
            <w:tcMar>
              <w:top w:w="60" w:type="dxa"/>
              <w:bottom w:w="60" w:type="dxa"/>
              <w:left w:w="60" w:type="dxa"/>
              <w:right w:w="60" w:type="dxa"/>
            </w:tcMar>
          </w:tcPr>
          <w:p>
            <w:r>
              <w:rPr>
                <w:color w:val="212529"/>
                <w:sz w:val="17"/>
              </w:rPr>
              <w:t>65.12%</w:t>
            </w:r>
          </w:p>
        </w:tc>
        <w:tc>
          <w:tcPr>
            <w:tcW w:type="dxa" w:w="1337"/>
            <w:shd w:fill="FFFFFF"/>
            <w:tcMar>
              <w:top w:w="60" w:type="dxa"/>
              <w:bottom w:w="60" w:type="dxa"/>
              <w:left w:w="60" w:type="dxa"/>
              <w:right w:w="60" w:type="dxa"/>
            </w:tcMar>
          </w:tcPr>
          <w:p>
            <w:r>
              <w:rPr>
                <w:color w:val="212529"/>
                <w:sz w:val="17"/>
              </w:rPr>
              <w:t>0.7134</w:t>
            </w:r>
          </w:p>
        </w:tc>
        <w:tc>
          <w:tcPr>
            <w:tcW w:type="dxa" w:w="1337"/>
            <w:shd w:fill="FFFFFF"/>
            <w:tcMar>
              <w:top w:w="60" w:type="dxa"/>
              <w:bottom w:w="60" w:type="dxa"/>
              <w:left w:w="60" w:type="dxa"/>
              <w:right w:w="60" w:type="dxa"/>
            </w:tcMar>
          </w:tcPr>
          <w:p>
            <w:r>
              <w:rPr>
                <w:color w:val="212529"/>
                <w:sz w:val="17"/>
              </w:rPr>
              <w:t>0.8925</w:t>
            </w:r>
          </w:p>
        </w:tc>
        <w:tc>
          <w:tcPr>
            <w:tcW w:type="dxa" w:w="1337"/>
            <w:shd w:fill="FFFFFF"/>
            <w:tcMar>
              <w:top w:w="60" w:type="dxa"/>
              <w:bottom w:w="60" w:type="dxa"/>
              <w:left w:w="60" w:type="dxa"/>
              <w:right w:w="60" w:type="dxa"/>
            </w:tcMar>
          </w:tcPr>
          <w:p>
            <w:r>
              <w:rPr>
                <w:color w:val="212529"/>
                <w:sz w:val="17"/>
              </w:rPr>
              <w:t>0.8896 (±0.013)</w:t>
            </w:r>
          </w:p>
        </w:tc>
      </w:tr>
      <w:tr>
        <w:tc>
          <w:tcPr>
            <w:tcW w:type="dxa" w:w="1337"/>
            <w:shd w:fill="F4F6F9"/>
            <w:tcMar>
              <w:top w:w="60" w:type="dxa"/>
              <w:bottom w:w="60" w:type="dxa"/>
              <w:left w:w="60" w:type="dxa"/>
              <w:right w:w="60" w:type="dxa"/>
            </w:tcMar>
          </w:tcPr>
          <w:p>
            <w:r>
              <w:rPr>
                <w:color w:val="212529"/>
                <w:sz w:val="17"/>
              </w:rPr>
              <w:t>Random Forest</w:t>
            </w:r>
          </w:p>
        </w:tc>
        <w:tc>
          <w:tcPr>
            <w:tcW w:type="dxa" w:w="1337"/>
            <w:shd w:fill="F4F6F9"/>
            <w:tcMar>
              <w:top w:w="60" w:type="dxa"/>
              <w:bottom w:w="60" w:type="dxa"/>
              <w:left w:w="60" w:type="dxa"/>
              <w:right w:w="60" w:type="dxa"/>
            </w:tcMar>
          </w:tcPr>
          <w:p>
            <w:r>
              <w:rPr>
                <w:color w:val="212529"/>
                <w:sz w:val="17"/>
              </w:rPr>
              <w:t>84.00%</w:t>
            </w:r>
          </w:p>
        </w:tc>
        <w:tc>
          <w:tcPr>
            <w:tcW w:type="dxa" w:w="1337"/>
            <w:shd w:fill="F4F6F9"/>
            <w:tcMar>
              <w:top w:w="60" w:type="dxa"/>
              <w:bottom w:w="60" w:type="dxa"/>
              <w:left w:w="60" w:type="dxa"/>
              <w:right w:w="60" w:type="dxa"/>
            </w:tcMar>
          </w:tcPr>
          <w:p>
            <w:r>
              <w:rPr>
                <w:color w:val="212529"/>
                <w:sz w:val="17"/>
              </w:rPr>
              <w:t>79.69%</w:t>
            </w:r>
          </w:p>
        </w:tc>
        <w:tc>
          <w:tcPr>
            <w:tcW w:type="dxa" w:w="1337"/>
            <w:shd w:fill="F4F6F9"/>
            <w:tcMar>
              <w:top w:w="60" w:type="dxa"/>
              <w:bottom w:w="60" w:type="dxa"/>
              <w:left w:w="60" w:type="dxa"/>
              <w:right w:w="60" w:type="dxa"/>
            </w:tcMar>
          </w:tcPr>
          <w:p>
            <w:r>
              <w:rPr>
                <w:color w:val="212529"/>
                <w:sz w:val="17"/>
              </w:rPr>
              <w:t>59.30%</w:t>
            </w:r>
          </w:p>
        </w:tc>
        <w:tc>
          <w:tcPr>
            <w:tcW w:type="dxa" w:w="1337"/>
            <w:shd w:fill="F4F6F9"/>
            <w:tcMar>
              <w:top w:w="60" w:type="dxa"/>
              <w:bottom w:w="60" w:type="dxa"/>
              <w:left w:w="60" w:type="dxa"/>
              <w:right w:w="60" w:type="dxa"/>
            </w:tcMar>
          </w:tcPr>
          <w:p>
            <w:r>
              <w:rPr>
                <w:color w:val="212529"/>
                <w:sz w:val="17"/>
              </w:rPr>
              <w:t>0.6800</w:t>
            </w:r>
          </w:p>
        </w:tc>
        <w:tc>
          <w:tcPr>
            <w:tcW w:type="dxa" w:w="1337"/>
            <w:shd w:fill="F4F6F9"/>
            <w:tcMar>
              <w:top w:w="60" w:type="dxa"/>
              <w:bottom w:w="60" w:type="dxa"/>
              <w:left w:w="60" w:type="dxa"/>
              <w:right w:w="60" w:type="dxa"/>
            </w:tcMar>
          </w:tcPr>
          <w:p>
            <w:r>
              <w:rPr>
                <w:color w:val="212529"/>
                <w:sz w:val="17"/>
              </w:rPr>
              <w:t>0.8770</w:t>
            </w:r>
          </w:p>
        </w:tc>
        <w:tc>
          <w:tcPr>
            <w:tcW w:type="dxa" w:w="1337"/>
            <w:shd w:fill="F4F6F9"/>
            <w:tcMar>
              <w:top w:w="60" w:type="dxa"/>
              <w:bottom w:w="60" w:type="dxa"/>
              <w:left w:w="60" w:type="dxa"/>
              <w:right w:w="60" w:type="dxa"/>
            </w:tcMar>
          </w:tcPr>
          <w:p>
            <w:r>
              <w:rPr>
                <w:color w:val="212529"/>
                <w:sz w:val="17"/>
              </w:rPr>
              <w:t>0.8778 (±0.015)</w:t>
            </w:r>
          </w:p>
        </w:tc>
      </w:tr>
      <w:tr>
        <w:tc>
          <w:tcPr>
            <w:tcW w:type="dxa" w:w="1337"/>
            <w:shd w:fill="FFFFFF"/>
            <w:tcMar>
              <w:top w:w="60" w:type="dxa"/>
              <w:bottom w:w="60" w:type="dxa"/>
              <w:left w:w="60" w:type="dxa"/>
              <w:right w:w="60" w:type="dxa"/>
            </w:tcMar>
          </w:tcPr>
          <w:p>
            <w:r>
              <w:rPr>
                <w:color w:val="212529"/>
                <w:sz w:val="17"/>
              </w:rPr>
              <w:t>Gradient Boosting</w:t>
            </w:r>
          </w:p>
        </w:tc>
        <w:tc>
          <w:tcPr>
            <w:tcW w:type="dxa" w:w="1337"/>
            <w:shd w:fill="FFFFFF"/>
            <w:tcMar>
              <w:top w:w="60" w:type="dxa"/>
              <w:bottom w:w="60" w:type="dxa"/>
              <w:left w:w="60" w:type="dxa"/>
              <w:right w:w="60" w:type="dxa"/>
            </w:tcMar>
          </w:tcPr>
          <w:p>
            <w:r>
              <w:rPr>
                <w:color w:val="212529"/>
                <w:sz w:val="17"/>
              </w:rPr>
              <w:t>82.00%</w:t>
            </w:r>
          </w:p>
        </w:tc>
        <w:tc>
          <w:tcPr>
            <w:tcW w:type="dxa" w:w="1337"/>
            <w:shd w:fill="FFFFFF"/>
            <w:tcMar>
              <w:top w:w="60" w:type="dxa"/>
              <w:bottom w:w="60" w:type="dxa"/>
              <w:left w:w="60" w:type="dxa"/>
              <w:right w:w="60" w:type="dxa"/>
            </w:tcMar>
          </w:tcPr>
          <w:p>
            <w:r>
              <w:rPr>
                <w:color w:val="212529"/>
                <w:sz w:val="17"/>
              </w:rPr>
              <w:t>71.62%</w:t>
            </w:r>
          </w:p>
        </w:tc>
        <w:tc>
          <w:tcPr>
            <w:tcW w:type="dxa" w:w="1337"/>
            <w:shd w:fill="FFFFFF"/>
            <w:tcMar>
              <w:top w:w="60" w:type="dxa"/>
              <w:bottom w:w="60" w:type="dxa"/>
              <w:left w:w="60" w:type="dxa"/>
              <w:right w:w="60" w:type="dxa"/>
            </w:tcMar>
          </w:tcPr>
          <w:p>
            <w:r>
              <w:rPr>
                <w:color w:val="212529"/>
                <w:sz w:val="17"/>
              </w:rPr>
              <w:t>61.63%</w:t>
            </w:r>
          </w:p>
        </w:tc>
        <w:tc>
          <w:tcPr>
            <w:tcW w:type="dxa" w:w="1337"/>
            <w:shd w:fill="FFFFFF"/>
            <w:tcMar>
              <w:top w:w="60" w:type="dxa"/>
              <w:bottom w:w="60" w:type="dxa"/>
              <w:left w:w="60" w:type="dxa"/>
              <w:right w:w="60" w:type="dxa"/>
            </w:tcMar>
          </w:tcPr>
          <w:p>
            <w:r>
              <w:rPr>
                <w:color w:val="212529"/>
                <w:sz w:val="17"/>
              </w:rPr>
              <w:t>0.6625</w:t>
            </w:r>
          </w:p>
        </w:tc>
        <w:tc>
          <w:tcPr>
            <w:tcW w:type="dxa" w:w="1337"/>
            <w:shd w:fill="FFFFFF"/>
            <w:tcMar>
              <w:top w:w="60" w:type="dxa"/>
              <w:bottom w:w="60" w:type="dxa"/>
              <w:left w:w="60" w:type="dxa"/>
              <w:right w:w="60" w:type="dxa"/>
            </w:tcMar>
          </w:tcPr>
          <w:p>
            <w:r>
              <w:rPr>
                <w:color w:val="212529"/>
                <w:sz w:val="17"/>
              </w:rPr>
              <w:t>0.8670</w:t>
            </w:r>
          </w:p>
        </w:tc>
        <w:tc>
          <w:tcPr>
            <w:tcW w:type="dxa" w:w="1337"/>
            <w:shd w:fill="FFFFFF"/>
            <w:tcMar>
              <w:top w:w="60" w:type="dxa"/>
              <w:bottom w:w="60" w:type="dxa"/>
              <w:left w:w="60" w:type="dxa"/>
              <w:right w:w="60" w:type="dxa"/>
            </w:tcMar>
          </w:tcPr>
          <w:p>
            <w:r>
              <w:rPr>
                <w:color w:val="212529"/>
                <w:sz w:val="17"/>
              </w:rPr>
              <w:t>0.8658 (±0.021)</w:t>
            </w:r>
          </w:p>
        </w:tc>
      </w:tr>
      <w:tr>
        <w:tc>
          <w:tcPr>
            <w:tcW w:type="dxa" w:w="1337"/>
            <w:shd w:fill="F4F6F9"/>
            <w:tcMar>
              <w:top w:w="60" w:type="dxa"/>
              <w:bottom w:w="60" w:type="dxa"/>
              <w:left w:w="60" w:type="dxa"/>
              <w:right w:w="60" w:type="dxa"/>
            </w:tcMar>
          </w:tcPr>
          <w:p>
            <w:r>
              <w:rPr>
                <w:color w:val="212529"/>
                <w:sz w:val="17"/>
              </w:rPr>
              <w:t>Decision Tree</w:t>
            </w:r>
          </w:p>
        </w:tc>
        <w:tc>
          <w:tcPr>
            <w:tcW w:type="dxa" w:w="1337"/>
            <w:shd w:fill="F4F6F9"/>
            <w:tcMar>
              <w:top w:w="60" w:type="dxa"/>
              <w:bottom w:w="60" w:type="dxa"/>
              <w:left w:w="60" w:type="dxa"/>
              <w:right w:w="60" w:type="dxa"/>
            </w:tcMar>
          </w:tcPr>
          <w:p>
            <w:r>
              <w:rPr>
                <w:color w:val="212529"/>
                <w:sz w:val="17"/>
              </w:rPr>
              <w:t>81.33%</w:t>
            </w:r>
          </w:p>
        </w:tc>
        <w:tc>
          <w:tcPr>
            <w:tcW w:type="dxa" w:w="1337"/>
            <w:shd w:fill="F4F6F9"/>
            <w:tcMar>
              <w:top w:w="60" w:type="dxa"/>
              <w:bottom w:w="60" w:type="dxa"/>
              <w:left w:w="60" w:type="dxa"/>
              <w:right w:w="60" w:type="dxa"/>
            </w:tcMar>
          </w:tcPr>
          <w:p>
            <w:r>
              <w:rPr>
                <w:color w:val="212529"/>
                <w:sz w:val="17"/>
              </w:rPr>
              <w:t>70.27%</w:t>
            </w:r>
          </w:p>
        </w:tc>
        <w:tc>
          <w:tcPr>
            <w:tcW w:type="dxa" w:w="1337"/>
            <w:shd w:fill="F4F6F9"/>
            <w:tcMar>
              <w:top w:w="60" w:type="dxa"/>
              <w:bottom w:w="60" w:type="dxa"/>
              <w:left w:w="60" w:type="dxa"/>
              <w:right w:w="60" w:type="dxa"/>
            </w:tcMar>
          </w:tcPr>
          <w:p>
            <w:r>
              <w:rPr>
                <w:color w:val="212529"/>
                <w:sz w:val="17"/>
              </w:rPr>
              <w:t>60.47%</w:t>
            </w:r>
          </w:p>
        </w:tc>
        <w:tc>
          <w:tcPr>
            <w:tcW w:type="dxa" w:w="1337"/>
            <w:shd w:fill="F4F6F9"/>
            <w:tcMar>
              <w:top w:w="60" w:type="dxa"/>
              <w:bottom w:w="60" w:type="dxa"/>
              <w:left w:w="60" w:type="dxa"/>
              <w:right w:w="60" w:type="dxa"/>
            </w:tcMar>
          </w:tcPr>
          <w:p>
            <w:r>
              <w:rPr>
                <w:color w:val="212529"/>
                <w:sz w:val="17"/>
              </w:rPr>
              <w:t>0.6500</w:t>
            </w:r>
          </w:p>
        </w:tc>
        <w:tc>
          <w:tcPr>
            <w:tcW w:type="dxa" w:w="1337"/>
            <w:shd w:fill="F4F6F9"/>
            <w:tcMar>
              <w:top w:w="60" w:type="dxa"/>
              <w:bottom w:w="60" w:type="dxa"/>
              <w:left w:w="60" w:type="dxa"/>
              <w:right w:w="60" w:type="dxa"/>
            </w:tcMar>
          </w:tcPr>
          <w:p>
            <w:r>
              <w:rPr>
                <w:color w:val="212529"/>
                <w:sz w:val="17"/>
              </w:rPr>
              <w:t>0.8475</w:t>
            </w:r>
          </w:p>
        </w:tc>
        <w:tc>
          <w:tcPr>
            <w:tcW w:type="dxa" w:w="1337"/>
            <w:shd w:fill="F4F6F9"/>
            <w:tcMar>
              <w:top w:w="60" w:type="dxa"/>
              <w:bottom w:w="60" w:type="dxa"/>
              <w:left w:w="60" w:type="dxa"/>
              <w:right w:w="60" w:type="dxa"/>
            </w:tcMar>
          </w:tcPr>
          <w:p>
            <w:r>
              <w:rPr>
                <w:color w:val="212529"/>
                <w:sz w:val="17"/>
              </w:rPr>
              <w:t>0.8416 (±0.017)</w:t>
            </w:r>
          </w:p>
        </w:tc>
      </w:tr>
    </w:tbl>
    <w:p>
      <w:pPr>
        <w:spacing w:after="240"/>
      </w:pPr>
    </w:p>
    <w:p>
      <w:pPr>
        <w:keepNext/>
        <w:spacing w:before="360" w:after="120"/>
      </w:pPr>
      <w:r>
        <w:rPr>
          <w:b/>
          <w:color w:val="102C57"/>
          <w:sz w:val="30"/>
        </w:rPr>
        <w:t>4. Portfolio Artifacts: Visualizations &amp; Diagnostics</w:t>
      </w:r>
    </w:p>
    <w:p>
      <w:pPr>
        <w:keepNext/>
        <w:spacing w:before="240" w:after="80"/>
      </w:pPr>
      <w:r>
        <w:rPr>
          <w:b/>
          <w:color w:val="35A29F"/>
          <w:sz w:val="25"/>
        </w:rPr>
        <w:t>4.1 Multi-Metric Benchmark Comparison</w:t>
      </w:r>
    </w:p>
    <w:p>
      <w:pPr>
        <w:spacing w:after="120" w:line="276" w:lineRule="auto"/>
      </w:pPr>
      <w:r>
        <w:rPr>
          <w:color w:val="212529"/>
          <w:sz w:val="21"/>
        </w:rPr>
        <w:t>Figure 1 provides a consolidated visual comparison of all evaluation metrics across the four candidate architectures. Logistic Regression and Random Forest deliver superior overall precision and discrimination capabilities.</w:t>
      </w:r>
    </w:p>
    <w:p>
      <w:pPr>
        <w:spacing w:before="160" w:after="40"/>
        <w:jc w:val="center"/>
      </w:pPr>
      <w:r>
        <w:drawing>
          <wp:inline xmlns:a="http://schemas.openxmlformats.org/drawingml/2006/main" xmlns:pic="http://schemas.openxmlformats.org/drawingml/2006/picture">
            <wp:extent cx="5303520" cy="2651760"/>
            <wp:docPr id="1" name="Picture 1"/>
            <wp:cNvGraphicFramePr>
              <a:graphicFrameLocks noChangeAspect="1"/>
            </wp:cNvGraphicFramePr>
            <a:graphic>
              <a:graphicData uri="http://schemas.openxmlformats.org/drawingml/2006/picture">
                <pic:pic>
                  <pic:nvPicPr>
                    <pic:cNvPr id="0" name="fig1_model_comparison_metrics.png"/>
                    <pic:cNvPicPr/>
                  </pic:nvPicPr>
                  <pic:blipFill>
                    <a:blip r:embed="rId9"/>
                    <a:stretch>
                      <a:fillRect/>
                    </a:stretch>
                  </pic:blipFill>
                  <pic:spPr>
                    <a:xfrm>
                      <a:off x="0" y="0"/>
                      <a:ext cx="5303520" cy="2651760"/>
                    </a:xfrm>
                    <a:prstGeom prst="rect"/>
                  </pic:spPr>
                </pic:pic>
              </a:graphicData>
            </a:graphic>
          </wp:inline>
        </w:drawing>
      </w:r>
    </w:p>
    <w:p>
      <w:pPr>
        <w:spacing w:after="240"/>
        <w:jc w:val="center"/>
      </w:pPr>
      <w:r>
        <w:rPr>
          <w:i/>
          <w:color w:val="646E78"/>
          <w:sz w:val="18"/>
        </w:rPr>
        <w:t>Figure 1: Grouped Bar Chart Comparing Accuracy, Precision, Recall, F1-Score, and ROC-AUC Across Models.</w:t>
      </w:r>
    </w:p>
    <w:p>
      <w:pPr>
        <w:keepNext/>
        <w:spacing w:before="240" w:after="80"/>
      </w:pPr>
      <w:r>
        <w:rPr>
          <w:b/>
          <w:color w:val="35A29F"/>
          <w:sz w:val="25"/>
        </w:rPr>
        <w:t>4.2 Confusion Matrices: Error Typology Analysis</w:t>
      </w:r>
    </w:p>
    <w:p>
      <w:pPr>
        <w:spacing w:after="120" w:line="276" w:lineRule="auto"/>
      </w:pPr>
      <w:r>
        <w:rPr>
          <w:color w:val="212529"/>
          <w:sz w:val="21"/>
        </w:rPr>
        <w:t>Figure 2 illustrates the confusion matrices for Logistic Regression and Gradient Boosting. Logistic Regression achieved 78.9% precision on the positive churn class, misclassifying only 15 retained subscribers as churners while capturing 56 true positive churn events.</w:t>
      </w:r>
    </w:p>
    <w:p>
      <w:pPr>
        <w:spacing w:before="160" w:after="40"/>
        <w:jc w:val="center"/>
      </w:pPr>
      <w:r>
        <w:drawing>
          <wp:inline xmlns:a="http://schemas.openxmlformats.org/drawingml/2006/main" xmlns:pic="http://schemas.openxmlformats.org/drawingml/2006/picture">
            <wp:extent cx="5303520" cy="2209800"/>
            <wp:docPr id="2" name="Picture 2"/>
            <wp:cNvGraphicFramePr>
              <a:graphicFrameLocks noChangeAspect="1"/>
            </wp:cNvGraphicFramePr>
            <a:graphic>
              <a:graphicData uri="http://schemas.openxmlformats.org/drawingml/2006/picture">
                <pic:pic>
                  <pic:nvPicPr>
                    <pic:cNvPr id="0" name="fig2_confusion_matrices.png"/>
                    <pic:cNvPicPr/>
                  </pic:nvPicPr>
                  <pic:blipFill>
                    <a:blip r:embed="rId10"/>
                    <a:stretch>
                      <a:fillRect/>
                    </a:stretch>
                  </pic:blipFill>
                  <pic:spPr>
                    <a:xfrm>
                      <a:off x="0" y="0"/>
                      <a:ext cx="5303520" cy="2209800"/>
                    </a:xfrm>
                    <a:prstGeom prst="rect"/>
                  </pic:spPr>
                </pic:pic>
              </a:graphicData>
            </a:graphic>
          </wp:inline>
        </w:drawing>
      </w:r>
    </w:p>
    <w:p>
      <w:pPr>
        <w:spacing w:after="240"/>
        <w:jc w:val="center"/>
      </w:pPr>
      <w:r>
        <w:rPr>
          <w:i/>
          <w:color w:val="646E78"/>
          <w:sz w:val="18"/>
        </w:rPr>
        <w:t>Figure 2: Confusion Matrices for Logistic Regression and Gradient Boosting on Holdout Test Split.</w:t>
      </w:r>
    </w:p>
    <w:p>
      <w:pPr>
        <w:keepNext/>
        <w:spacing w:before="240" w:after="80"/>
      </w:pPr>
      <w:r>
        <w:rPr>
          <w:b/>
          <w:color w:val="35A29F"/>
          <w:sz w:val="25"/>
        </w:rPr>
        <w:t>4.3 Receiver Operating Characteristic (ROC) Discrimination Curves</w:t>
      </w:r>
    </w:p>
    <w:p>
      <w:pPr>
        <w:spacing w:after="120" w:line="276" w:lineRule="auto"/>
      </w:pPr>
      <w:r>
        <w:rPr>
          <w:color w:val="212529"/>
          <w:sz w:val="21"/>
        </w:rPr>
        <w:t>Figure 3 compares the ROC curves across all four architectures against the diagonal non-informative baseline (AUC=0.50). All models exhibit strong discriminatory power (AUC &gt; 0.84), with Logistic Regression peaking at AUC = 0.893.</w:t>
      </w:r>
    </w:p>
    <w:p>
      <w:pPr>
        <w:spacing w:before="160" w:after="40"/>
        <w:jc w:val="center"/>
      </w:pPr>
      <w:r>
        <w:drawing>
          <wp:inline xmlns:a="http://schemas.openxmlformats.org/drawingml/2006/main" xmlns:pic="http://schemas.openxmlformats.org/drawingml/2006/picture">
            <wp:extent cx="5303520" cy="3977640"/>
            <wp:docPr id="3" name="Picture 3"/>
            <wp:cNvGraphicFramePr>
              <a:graphicFrameLocks noChangeAspect="1"/>
            </wp:cNvGraphicFramePr>
            <a:graphic>
              <a:graphicData uri="http://schemas.openxmlformats.org/drawingml/2006/picture">
                <pic:pic>
                  <pic:nvPicPr>
                    <pic:cNvPr id="0" name="fig3_roc_auc_curves.png"/>
                    <pic:cNvPicPr/>
                  </pic:nvPicPr>
                  <pic:blipFill>
                    <a:blip r:embed="rId11"/>
                    <a:stretch>
                      <a:fillRect/>
                    </a:stretch>
                  </pic:blipFill>
                  <pic:spPr>
                    <a:xfrm>
                      <a:off x="0" y="0"/>
                      <a:ext cx="5303520" cy="3977640"/>
                    </a:xfrm>
                    <a:prstGeom prst="rect"/>
                  </pic:spPr>
                </pic:pic>
              </a:graphicData>
            </a:graphic>
          </wp:inline>
        </w:drawing>
      </w:r>
    </w:p>
    <w:p>
      <w:pPr>
        <w:spacing w:after="240"/>
        <w:jc w:val="center"/>
      </w:pPr>
      <w:r>
        <w:rPr>
          <w:i/>
          <w:color w:val="646E78"/>
          <w:sz w:val="18"/>
        </w:rPr>
        <w:t>Figure 3: Receiver Operating Characteristic (ROC) Curves with AUC Score Annotations.</w:t>
      </w:r>
    </w:p>
    <w:p>
      <w:pPr>
        <w:keepNext/>
        <w:spacing w:before="240" w:after="80"/>
      </w:pPr>
      <w:r>
        <w:rPr>
          <w:b/>
          <w:color w:val="35A29F"/>
          <w:sz w:val="25"/>
        </w:rPr>
        <w:t>4.4 Feature Importance Ranking (Gini Impurity)</w:t>
      </w:r>
    </w:p>
    <w:p>
      <w:pPr>
        <w:spacing w:after="120" w:line="276" w:lineRule="auto"/>
      </w:pPr>
      <w:r>
        <w:rPr>
          <w:color w:val="212529"/>
          <w:sz w:val="21"/>
        </w:rPr>
        <w:t>Figure 4 charts the top 10 features ranked by Random Forest mean decrease in impurity. TotalCharges (0.284), Tenure (0.231), and MonthlyCharges (0.198) dominate the predictive signal, confirming that financial commitment and duration are the primary drivers of behavior.</w:t>
      </w:r>
    </w:p>
    <w:p>
      <w:pPr>
        <w:spacing w:before="160" w:after="40"/>
        <w:jc w:val="center"/>
      </w:pPr>
      <w:r>
        <w:drawing>
          <wp:inline xmlns:a="http://schemas.openxmlformats.org/drawingml/2006/main" xmlns:pic="http://schemas.openxmlformats.org/drawingml/2006/picture">
            <wp:extent cx="5303520" cy="2946400"/>
            <wp:docPr id="4" name="Picture 4"/>
            <wp:cNvGraphicFramePr>
              <a:graphicFrameLocks noChangeAspect="1"/>
            </wp:cNvGraphicFramePr>
            <a:graphic>
              <a:graphicData uri="http://schemas.openxmlformats.org/drawingml/2006/picture">
                <pic:pic>
                  <pic:nvPicPr>
                    <pic:cNvPr id="0" name="fig4_feature_importance.png"/>
                    <pic:cNvPicPr/>
                  </pic:nvPicPr>
                  <pic:blipFill>
                    <a:blip r:embed="rId12"/>
                    <a:stretch>
                      <a:fillRect/>
                    </a:stretch>
                  </pic:blipFill>
                  <pic:spPr>
                    <a:xfrm>
                      <a:off x="0" y="0"/>
                      <a:ext cx="5303520" cy="2946400"/>
                    </a:xfrm>
                    <a:prstGeom prst="rect"/>
                  </pic:spPr>
                </pic:pic>
              </a:graphicData>
            </a:graphic>
          </wp:inline>
        </w:drawing>
      </w:r>
    </w:p>
    <w:p>
      <w:pPr>
        <w:spacing w:after="240"/>
        <w:jc w:val="center"/>
      </w:pPr>
      <w:r>
        <w:rPr>
          <w:i/>
          <w:color w:val="646E78"/>
          <w:sz w:val="18"/>
        </w:rPr>
        <w:t>Figure 4: Top 10 Features Ranked by Random Forest Gini Importance.</w:t>
      </w:r>
    </w:p>
    <w:p>
      <w:pPr>
        <w:keepNext/>
        <w:spacing w:before="360" w:after="120"/>
      </w:pPr>
      <w:r>
        <w:rPr>
          <w:b/>
          <w:color w:val="102C57"/>
          <w:sz w:val="30"/>
        </w:rPr>
        <w:t>5. Conclusion &amp; Tool Mastery Verification</w:t>
      </w:r>
    </w:p>
    <w:p>
      <w:pPr>
        <w:spacing w:after="120" w:line="276" w:lineRule="auto"/>
      </w:pPr>
      <w:r>
        <w:rPr>
          <w:color w:val="212529"/>
          <w:sz w:val="21"/>
        </w:rPr>
        <w:t>The completion of Task 4 solidifies practical expertise with modern machine learning toolkits, moving from data manipulation to production pipeline encapsulation, model evaluation, and interpretability analysis. All code, notebooks, datasets, and generated figures are published in the project's public GitHub repository at https://github.com/NEELU-05/YuvaIntern-ML-Internship under Module-04-Tool-Mastery.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