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35A29F"/>
          <w:sz w:val="20"/>
        </w:rPr>
        <w:t>YUVAINTERN · MACHINE LEARNING ENGINEER VIRTUAL INTERNSHIP</w:t>
        <w:br/>
      </w:r>
      <w:r>
        <w:rPr>
          <w:b/>
          <w:color w:val="102C57"/>
          <w:sz w:val="44"/>
        </w:rPr>
        <w:t>TASK 1: DATA SCIENCE FUNDAMENTALS ASSESSMENT REPORT</w:t>
      </w:r>
    </w:p>
    <w:p>
      <w:pPr>
        <w:spacing w:after="320"/>
      </w:pPr>
      <w:r>
        <w:rPr>
          <w:i/>
          <w:color w:val="646E78"/>
          <w:sz w:val="22"/>
        </w:rPr>
        <w:t>Comprehensive Technical Assessment on Python Programming, Statistical Foundations, Data Typology, and Engineering Best Practices</w:t>
      </w:r>
    </w:p>
    <w:tbl>
      <w:tblPr>
        <w:tblW w:type="auto" w:w="0"/>
        <w:jc w:val="center"/>
        <w:tblLayout w:type="fixed"/>
        <w:tblLook w:firstColumn="1" w:firstRow="1" w:lastColumn="0" w:lastRow="0" w:noHBand="0" w:noVBand="1" w:val="04A0"/>
      </w:tblPr>
      <w:tblGrid>
        <w:gridCol w:w="4680"/>
        <w:gridCol w:w="4680"/>
      </w:tblGrid>
      <w:tr>
        <w:tc>
          <w:tcPr>
            <w:tcW w:type="dxa" w:w="3168"/>
            <w:shd w:fill="F4F6F9"/>
            <w:tcMar>
              <w:top w:w="60" w:type="dxa"/>
              <w:bottom w:w="60" w:type="dxa"/>
              <w:left w:w="100" w:type="dxa"/>
              <w:right w:w="100" w:type="dxa"/>
            </w:tcMar>
          </w:tcPr>
          <w:p>
            <w:pPr>
              <w:spacing w:after="40"/>
            </w:pPr>
            <w:r>
              <w:rPr>
                <w:b/>
                <w:color w:val="102C57"/>
                <w:sz w:val="19"/>
              </w:rPr>
              <w:t>Candidate Name:</w:t>
            </w:r>
          </w:p>
        </w:tc>
        <w:tc>
          <w:tcPr>
            <w:tcW w:type="dxa" w:w="6192"/>
            <w:shd w:fill="FFFFFF"/>
            <w:tcMar>
              <w:top w:w="60" w:type="dxa"/>
              <w:bottom w:w="60" w:type="dxa"/>
              <w:left w:w="100" w:type="dxa"/>
              <w:right w:w="100" w:type="dxa"/>
            </w:tcMar>
          </w:tcPr>
          <w:p>
            <w:pPr>
              <w:spacing w:after="40"/>
            </w:pPr>
            <w:r>
              <w:rPr>
                <w:color w:val="212529"/>
                <w:sz w:val="19"/>
              </w:rPr>
              <w:t>Neelotpal Ghosh</w:t>
            </w:r>
          </w:p>
        </w:tc>
      </w:tr>
      <w:tr>
        <w:tc>
          <w:tcPr>
            <w:tcW w:type="dxa" w:w="3168"/>
            <w:shd w:fill="F4F6F9"/>
            <w:tcMar>
              <w:top w:w="60" w:type="dxa"/>
              <w:bottom w:w="60" w:type="dxa"/>
              <w:left w:w="100" w:type="dxa"/>
              <w:right w:w="100" w:type="dxa"/>
            </w:tcMar>
          </w:tcPr>
          <w:p>
            <w:pPr>
              <w:spacing w:after="40"/>
            </w:pPr>
            <w:r>
              <w:rPr>
                <w:b/>
                <w:color w:val="102C57"/>
                <w:sz w:val="19"/>
              </w:rPr>
              <w:t>Student / Admission ID:</w:t>
            </w:r>
          </w:p>
        </w:tc>
        <w:tc>
          <w:tcPr>
            <w:tcW w:type="dxa" w:w="6192"/>
            <w:shd w:fill="FFFFFF"/>
            <w:tcMar>
              <w:top w:w="60" w:type="dxa"/>
              <w:bottom w:w="60" w:type="dxa"/>
              <w:left w:w="100" w:type="dxa"/>
              <w:right w:w="100" w:type="dxa"/>
            </w:tcMar>
          </w:tcPr>
          <w:p>
            <w:pPr>
              <w:spacing w:after="40"/>
            </w:pPr>
            <w:r>
              <w:rPr>
                <w:color w:val="212529"/>
                <w:sz w:val="19"/>
              </w:rPr>
              <w:t>24SCSE1650001 (B.Sc. Computer Science)</w:t>
            </w:r>
          </w:p>
        </w:tc>
      </w:tr>
      <w:tr>
        <w:tc>
          <w:tcPr>
            <w:tcW w:type="dxa" w:w="3168"/>
            <w:shd w:fill="F4F6F9"/>
            <w:tcMar>
              <w:top w:w="60" w:type="dxa"/>
              <w:bottom w:w="60" w:type="dxa"/>
              <w:left w:w="100" w:type="dxa"/>
              <w:right w:w="100" w:type="dxa"/>
            </w:tcMar>
          </w:tcPr>
          <w:p>
            <w:pPr>
              <w:spacing w:after="40"/>
            </w:pPr>
            <w:r>
              <w:rPr>
                <w:b/>
                <w:color w:val="102C57"/>
                <w:sz w:val="19"/>
              </w:rPr>
              <w:t>Internship Role:</w:t>
            </w:r>
          </w:p>
        </w:tc>
        <w:tc>
          <w:tcPr>
            <w:tcW w:type="dxa" w:w="6192"/>
            <w:shd w:fill="FFFFFF"/>
            <w:tcMar>
              <w:top w:w="60" w:type="dxa"/>
              <w:bottom w:w="60" w:type="dxa"/>
              <w:left w:w="100" w:type="dxa"/>
              <w:right w:w="100" w:type="dxa"/>
            </w:tcMar>
          </w:tcPr>
          <w:p>
            <w:pPr>
              <w:spacing w:after="40"/>
            </w:pPr>
            <w:r>
              <w:rPr>
                <w:color w:val="212529"/>
                <w:sz w:val="19"/>
              </w:rPr>
              <w:t>Machine Learning Engineer Intern</w:t>
            </w:r>
          </w:p>
        </w:tc>
      </w:tr>
      <w:tr>
        <w:tc>
          <w:tcPr>
            <w:tcW w:type="dxa" w:w="3168"/>
            <w:shd w:fill="F4F6F9"/>
            <w:tcMar>
              <w:top w:w="60" w:type="dxa"/>
              <w:bottom w:w="60" w:type="dxa"/>
              <w:left w:w="100" w:type="dxa"/>
              <w:right w:w="100" w:type="dxa"/>
            </w:tcMar>
          </w:tcPr>
          <w:p>
            <w:pPr>
              <w:spacing w:after="40"/>
            </w:pPr>
            <w:r>
              <w:rPr>
                <w:b/>
                <w:color w:val="102C57"/>
                <w:sz w:val="19"/>
              </w:rPr>
              <w:t>GitHub Repository:</w:t>
            </w:r>
          </w:p>
        </w:tc>
        <w:tc>
          <w:tcPr>
            <w:tcW w:type="dxa" w:w="6192"/>
            <w:shd w:fill="FFFFFF"/>
            <w:tcMar>
              <w:top w:w="60" w:type="dxa"/>
              <w:bottom w:w="60" w:type="dxa"/>
              <w:left w:w="100" w:type="dxa"/>
              <w:right w:w="100" w:type="dxa"/>
            </w:tcMar>
          </w:tcPr>
          <w:p>
            <w:pPr>
              <w:spacing w:after="40"/>
            </w:pPr>
            <w:r>
              <w:rPr>
                <w:color w:val="212529"/>
                <w:sz w:val="19"/>
              </w:rPr>
              <w:t>https://github.com/NEELU-05/YuvaIntern-ML-Internship</w:t>
            </w:r>
          </w:p>
        </w:tc>
      </w:tr>
    </w:tbl>
    <w:p>
      <w:pPr>
        <w:spacing w:after="240"/>
      </w:pPr>
    </w:p>
    <w:p>
      <w:pPr>
        <w:keepNext/>
        <w:spacing w:before="360" w:after="120"/>
      </w:pPr>
      <w:r>
        <w:rPr>
          <w:b/>
          <w:color w:val="102C57"/>
          <w:sz w:val="30"/>
        </w:rPr>
        <w:t>1. Executive Summary &amp; Assessment Objective</w:t>
      </w:r>
    </w:p>
    <w:p>
      <w:pPr>
        <w:spacing w:after="120" w:line="276" w:lineRule="auto"/>
      </w:pPr>
      <w:r>
        <w:rPr>
          <w:color w:val="212529"/>
          <w:sz w:val="21"/>
        </w:rPr>
        <w:t>This assessment report encapsulates the fundamental technical competencies required of a Machine Learning Engineer, bridging computational programming with mathematical and statistical foundations. As artificial intelligence architectures continue to evolve, the underlying reliability, determinism, and performance of any predictive system rely strictly on the quality of data handling, rigorous statistical reasoning, appropriate feature typology mapping, and adhering to engineering best practices.</w:t>
      </w:r>
    </w:p>
    <w:p>
      <w:pPr>
        <w:spacing w:after="120" w:line="276" w:lineRule="auto"/>
      </w:pPr>
      <w:r>
        <w:rPr>
          <w:color w:val="212529"/>
          <w:sz w:val="21"/>
        </w:rPr>
        <w:t>The primary objective of this module is twofold: (1) to systematically demonstrate a mastery of core Python idioms, OOP abstraction, descriptive and inferential statistics, data representation, and enterprise development workflows; and (2) to execute and document a verified hands-on implementation portfolio with verified numerical computations, code modules, and tests.</w:t>
      </w:r>
    </w:p>
    <w:p>
      <w:pPr>
        <w:keepNext/>
        <w:spacing w:before="360" w:after="120"/>
      </w:pPr>
      <w:r>
        <w:rPr>
          <w:b/>
          <w:color w:val="102C57"/>
          <w:sz w:val="30"/>
        </w:rPr>
        <w:t>2. Python Programming Foundations for Data Science</w:t>
      </w:r>
    </w:p>
    <w:p>
      <w:pPr>
        <w:spacing w:after="120" w:line="276" w:lineRule="auto"/>
      </w:pPr>
      <w:r>
        <w:rPr>
          <w:color w:val="212529"/>
          <w:sz w:val="21"/>
        </w:rPr>
        <w:t>Python is the industry-standard lingua franca of modern data science and machine learning due to its expressive syntax, rich ecosystem of mathematical extensions, and multi-paradigm design supporting functional, imperative, and object-oriented paradigms.</w:t>
      </w:r>
    </w:p>
    <w:p>
      <w:pPr>
        <w:keepNext/>
        <w:spacing w:before="240" w:after="80"/>
      </w:pPr>
      <w:r>
        <w:rPr>
          <w:b/>
          <w:color w:val="35A29F"/>
          <w:sz w:val="25"/>
        </w:rPr>
        <w:t>2.1 Primitive and Compound Data Structures</w:t>
      </w:r>
    </w:p>
    <w:p>
      <w:pPr>
        <w:spacing w:after="120" w:line="276" w:lineRule="auto"/>
      </w:pPr>
      <w:r>
        <w:rPr>
          <w:b/>
          <w:color w:val="102C57"/>
        </w:rPr>
        <w:t xml:space="preserve">Memory &amp; Algorithmic Complexity: </w:t>
      </w:r>
      <w:r>
        <w:rPr>
          <w:color w:val="212529"/>
          <w:sz w:val="21"/>
        </w:rPr>
        <w:t>Modern machine learning data ingestion pipelines depend on choosing the optimal computational data structure:</w:t>
      </w:r>
    </w:p>
    <w:tbl>
      <w:tblPr>
        <w:tblW w:type="auto" w:w="0"/>
        <w:jc w:val="center"/>
        <w:tblLook w:firstColumn="1" w:firstRow="1" w:lastColumn="0" w:lastRow="0" w:noHBand="0" w:noVBand="1" w:val="04A0"/>
      </w:tblPr>
      <w:tblGrid>
        <w:gridCol w:w="2340"/>
        <w:gridCol w:w="2340"/>
        <w:gridCol w:w="2340"/>
        <w:gridCol w:w="2340"/>
      </w:tblGrid>
      <w:tr>
        <w:tc>
          <w:tcPr>
            <w:tcW w:type="dxa" w:w="2340"/>
            <w:shd w:fill="102C57"/>
            <w:tcMar>
              <w:top w:w="80" w:type="dxa"/>
              <w:bottom w:w="80" w:type="dxa"/>
              <w:left w:w="100" w:type="dxa"/>
              <w:right w:w="100" w:type="dxa"/>
            </w:tcMar>
          </w:tcPr>
          <w:p>
            <w:r>
              <w:rPr>
                <w:b/>
                <w:color w:val="FFFFFF"/>
                <w:sz w:val="18"/>
              </w:rPr>
              <w:t>Data Structure</w:t>
            </w:r>
          </w:p>
        </w:tc>
        <w:tc>
          <w:tcPr>
            <w:tcW w:type="dxa" w:w="2340"/>
            <w:shd w:fill="102C57"/>
            <w:tcMar>
              <w:top w:w="80" w:type="dxa"/>
              <w:bottom w:w="80" w:type="dxa"/>
              <w:left w:w="100" w:type="dxa"/>
              <w:right w:w="100" w:type="dxa"/>
            </w:tcMar>
          </w:tcPr>
          <w:p>
            <w:r>
              <w:rPr>
                <w:b/>
                <w:color w:val="FFFFFF"/>
                <w:sz w:val="18"/>
              </w:rPr>
              <w:t>Mutability</w:t>
            </w:r>
          </w:p>
        </w:tc>
        <w:tc>
          <w:tcPr>
            <w:tcW w:type="dxa" w:w="2340"/>
            <w:shd w:fill="102C57"/>
            <w:tcMar>
              <w:top w:w="80" w:type="dxa"/>
              <w:bottom w:w="80" w:type="dxa"/>
              <w:left w:w="100" w:type="dxa"/>
              <w:right w:w="100" w:type="dxa"/>
            </w:tcMar>
          </w:tcPr>
          <w:p>
            <w:r>
              <w:rPr>
                <w:b/>
                <w:color w:val="FFFFFF"/>
                <w:sz w:val="18"/>
              </w:rPr>
              <w:t>Index / Search Complexity</w:t>
            </w:r>
          </w:p>
        </w:tc>
        <w:tc>
          <w:tcPr>
            <w:tcW w:type="dxa" w:w="2340"/>
            <w:shd w:fill="102C57"/>
            <w:tcMar>
              <w:top w:w="80" w:type="dxa"/>
              <w:bottom w:w="80" w:type="dxa"/>
              <w:left w:w="100" w:type="dxa"/>
              <w:right w:w="100" w:type="dxa"/>
            </w:tcMar>
          </w:tcPr>
          <w:p>
            <w:r>
              <w:rPr>
                <w:b/>
                <w:color w:val="FFFFFF"/>
                <w:sz w:val="18"/>
              </w:rPr>
              <w:t>Primary Use-Case in ML Pipelines</w:t>
            </w:r>
          </w:p>
        </w:tc>
      </w:tr>
      <w:tr>
        <w:tc>
          <w:tcPr>
            <w:tcW w:type="dxa" w:w="2340"/>
            <w:shd w:fill="FFFFFF"/>
            <w:tcMar>
              <w:top w:w="60" w:type="dxa"/>
              <w:bottom w:w="60" w:type="dxa"/>
              <w:left w:w="100" w:type="dxa"/>
              <w:right w:w="100" w:type="dxa"/>
            </w:tcMar>
          </w:tcPr>
          <w:p>
            <w:r>
              <w:rPr>
                <w:color w:val="212529"/>
                <w:sz w:val="17"/>
              </w:rPr>
              <w:t>List [ ]</w:t>
            </w:r>
          </w:p>
        </w:tc>
        <w:tc>
          <w:tcPr>
            <w:tcW w:type="dxa" w:w="2340"/>
            <w:shd w:fill="FFFFFF"/>
            <w:tcMar>
              <w:top w:w="60" w:type="dxa"/>
              <w:bottom w:w="60" w:type="dxa"/>
              <w:left w:w="100" w:type="dxa"/>
              <w:right w:w="100" w:type="dxa"/>
            </w:tcMar>
          </w:tcPr>
          <w:p>
            <w:r>
              <w:rPr>
                <w:color w:val="212529"/>
                <w:sz w:val="17"/>
              </w:rPr>
              <w:t>Mutable</w:t>
            </w:r>
          </w:p>
        </w:tc>
        <w:tc>
          <w:tcPr>
            <w:tcW w:type="dxa" w:w="2340"/>
            <w:shd w:fill="FFFFFF"/>
            <w:tcMar>
              <w:top w:w="60" w:type="dxa"/>
              <w:bottom w:w="60" w:type="dxa"/>
              <w:left w:w="100" w:type="dxa"/>
              <w:right w:w="100" w:type="dxa"/>
            </w:tcMar>
          </w:tcPr>
          <w:p>
            <w:r>
              <w:rPr>
                <w:color w:val="212529"/>
                <w:sz w:val="17"/>
              </w:rPr>
              <w:t>O(1) append/lookup; O(n) search</w:t>
            </w:r>
          </w:p>
        </w:tc>
        <w:tc>
          <w:tcPr>
            <w:tcW w:type="dxa" w:w="2340"/>
            <w:shd w:fill="FFFFFF"/>
            <w:tcMar>
              <w:top w:w="60" w:type="dxa"/>
              <w:bottom w:w="60" w:type="dxa"/>
              <w:left w:w="100" w:type="dxa"/>
              <w:right w:w="100" w:type="dxa"/>
            </w:tcMar>
          </w:tcPr>
          <w:p>
            <w:r>
              <w:rPr>
                <w:color w:val="212529"/>
                <w:sz w:val="17"/>
              </w:rPr>
              <w:t>Dynamic batch collections, feature vectors, epoch logs</w:t>
            </w:r>
          </w:p>
        </w:tc>
      </w:tr>
      <w:tr>
        <w:tc>
          <w:tcPr>
            <w:tcW w:type="dxa" w:w="2340"/>
            <w:shd w:fill="F4F6F9"/>
            <w:tcMar>
              <w:top w:w="60" w:type="dxa"/>
              <w:bottom w:w="60" w:type="dxa"/>
              <w:left w:w="100" w:type="dxa"/>
              <w:right w:w="100" w:type="dxa"/>
            </w:tcMar>
          </w:tcPr>
          <w:p>
            <w:r>
              <w:rPr>
                <w:color w:val="212529"/>
                <w:sz w:val="17"/>
              </w:rPr>
              <w:t>Tuple ( )</w:t>
            </w:r>
          </w:p>
        </w:tc>
        <w:tc>
          <w:tcPr>
            <w:tcW w:type="dxa" w:w="2340"/>
            <w:shd w:fill="F4F6F9"/>
            <w:tcMar>
              <w:top w:w="60" w:type="dxa"/>
              <w:bottom w:w="60" w:type="dxa"/>
              <w:left w:w="100" w:type="dxa"/>
              <w:right w:w="100" w:type="dxa"/>
            </w:tcMar>
          </w:tcPr>
          <w:p>
            <w:r>
              <w:rPr>
                <w:color w:val="212529"/>
                <w:sz w:val="17"/>
              </w:rPr>
              <w:t>Immutable</w:t>
            </w:r>
          </w:p>
        </w:tc>
        <w:tc>
          <w:tcPr>
            <w:tcW w:type="dxa" w:w="2340"/>
            <w:shd w:fill="F4F6F9"/>
            <w:tcMar>
              <w:top w:w="60" w:type="dxa"/>
              <w:bottom w:w="60" w:type="dxa"/>
              <w:left w:w="100" w:type="dxa"/>
              <w:right w:w="100" w:type="dxa"/>
            </w:tcMar>
          </w:tcPr>
          <w:p>
            <w:r>
              <w:rPr>
                <w:color w:val="212529"/>
                <w:sz w:val="17"/>
              </w:rPr>
              <w:t>O(1) indexing; fixed memory hashable</w:t>
            </w:r>
          </w:p>
        </w:tc>
        <w:tc>
          <w:tcPr>
            <w:tcW w:type="dxa" w:w="2340"/>
            <w:shd w:fill="F4F6F9"/>
            <w:tcMar>
              <w:top w:w="60" w:type="dxa"/>
              <w:bottom w:w="60" w:type="dxa"/>
              <w:left w:w="100" w:type="dxa"/>
              <w:right w:w="100" w:type="dxa"/>
            </w:tcMar>
          </w:tcPr>
          <w:p>
            <w:r>
              <w:rPr>
                <w:color w:val="212529"/>
                <w:sz w:val="17"/>
              </w:rPr>
              <w:t>Dataset shapes, coordinate pairs, multi-target labels</w:t>
            </w:r>
          </w:p>
        </w:tc>
      </w:tr>
      <w:tr>
        <w:tc>
          <w:tcPr>
            <w:tcW w:type="dxa" w:w="2340"/>
            <w:shd w:fill="FFFFFF"/>
            <w:tcMar>
              <w:top w:w="60" w:type="dxa"/>
              <w:bottom w:w="60" w:type="dxa"/>
              <w:left w:w="100" w:type="dxa"/>
              <w:right w:w="100" w:type="dxa"/>
            </w:tcMar>
          </w:tcPr>
          <w:p>
            <w:r>
              <w:rPr>
                <w:color w:val="212529"/>
                <w:sz w:val="17"/>
              </w:rPr>
              <w:t>Dictionary { : }</w:t>
            </w:r>
          </w:p>
        </w:tc>
        <w:tc>
          <w:tcPr>
            <w:tcW w:type="dxa" w:w="2340"/>
            <w:shd w:fill="FFFFFF"/>
            <w:tcMar>
              <w:top w:w="60" w:type="dxa"/>
              <w:bottom w:w="60" w:type="dxa"/>
              <w:left w:w="100" w:type="dxa"/>
              <w:right w:w="100" w:type="dxa"/>
            </w:tcMar>
          </w:tcPr>
          <w:p>
            <w:r>
              <w:rPr>
                <w:color w:val="212529"/>
                <w:sz w:val="17"/>
              </w:rPr>
              <w:t>Mutable</w:t>
            </w:r>
          </w:p>
        </w:tc>
        <w:tc>
          <w:tcPr>
            <w:tcW w:type="dxa" w:w="2340"/>
            <w:shd w:fill="FFFFFF"/>
            <w:tcMar>
              <w:top w:w="60" w:type="dxa"/>
              <w:bottom w:w="60" w:type="dxa"/>
              <w:left w:w="100" w:type="dxa"/>
              <w:right w:w="100" w:type="dxa"/>
            </w:tcMar>
          </w:tcPr>
          <w:p>
            <w:r>
              <w:rPr>
                <w:color w:val="212529"/>
                <w:sz w:val="17"/>
              </w:rPr>
              <w:t>O(1) average key lookup / insert</w:t>
            </w:r>
          </w:p>
        </w:tc>
        <w:tc>
          <w:tcPr>
            <w:tcW w:type="dxa" w:w="2340"/>
            <w:shd w:fill="FFFFFF"/>
            <w:tcMar>
              <w:top w:w="60" w:type="dxa"/>
              <w:bottom w:w="60" w:type="dxa"/>
              <w:left w:w="100" w:type="dxa"/>
              <w:right w:w="100" w:type="dxa"/>
            </w:tcMar>
          </w:tcPr>
          <w:p>
            <w:r>
              <w:rPr>
                <w:color w:val="212529"/>
                <w:sz w:val="17"/>
              </w:rPr>
              <w:t>JSON records, model config params, categorical lookup</w:t>
            </w:r>
          </w:p>
        </w:tc>
      </w:tr>
      <w:tr>
        <w:tc>
          <w:tcPr>
            <w:tcW w:type="dxa" w:w="2340"/>
            <w:shd w:fill="F4F6F9"/>
            <w:tcMar>
              <w:top w:w="60" w:type="dxa"/>
              <w:bottom w:w="60" w:type="dxa"/>
              <w:left w:w="100" w:type="dxa"/>
              <w:right w:w="100" w:type="dxa"/>
            </w:tcMar>
          </w:tcPr>
          <w:p>
            <w:r>
              <w:rPr>
                <w:color w:val="212529"/>
                <w:sz w:val="17"/>
              </w:rPr>
              <w:t>Set { }</w:t>
            </w:r>
          </w:p>
        </w:tc>
        <w:tc>
          <w:tcPr>
            <w:tcW w:type="dxa" w:w="2340"/>
            <w:shd w:fill="F4F6F9"/>
            <w:tcMar>
              <w:top w:w="60" w:type="dxa"/>
              <w:bottom w:w="60" w:type="dxa"/>
              <w:left w:w="100" w:type="dxa"/>
              <w:right w:w="100" w:type="dxa"/>
            </w:tcMar>
          </w:tcPr>
          <w:p>
            <w:r>
              <w:rPr>
                <w:color w:val="212529"/>
                <w:sz w:val="17"/>
              </w:rPr>
              <w:t>Mutable</w:t>
            </w:r>
          </w:p>
        </w:tc>
        <w:tc>
          <w:tcPr>
            <w:tcW w:type="dxa" w:w="2340"/>
            <w:shd w:fill="F4F6F9"/>
            <w:tcMar>
              <w:top w:w="60" w:type="dxa"/>
              <w:bottom w:w="60" w:type="dxa"/>
              <w:left w:w="100" w:type="dxa"/>
              <w:right w:w="100" w:type="dxa"/>
            </w:tcMar>
          </w:tcPr>
          <w:p>
            <w:r>
              <w:rPr>
                <w:color w:val="212529"/>
                <w:sz w:val="17"/>
              </w:rPr>
              <w:t>O(1) membership test; unique only</w:t>
            </w:r>
          </w:p>
        </w:tc>
        <w:tc>
          <w:tcPr>
            <w:tcW w:type="dxa" w:w="2340"/>
            <w:shd w:fill="F4F6F9"/>
            <w:tcMar>
              <w:top w:w="60" w:type="dxa"/>
              <w:bottom w:w="60" w:type="dxa"/>
              <w:left w:w="100" w:type="dxa"/>
              <w:right w:w="100" w:type="dxa"/>
            </w:tcMar>
          </w:tcPr>
          <w:p>
            <w:r>
              <w:rPr>
                <w:color w:val="212529"/>
                <w:sz w:val="17"/>
              </w:rPr>
              <w:t>Vocabulary deduplication, distinct categorical classes</w:t>
            </w:r>
          </w:p>
        </w:tc>
      </w:tr>
    </w:tbl>
    <w:p>
      <w:pPr>
        <w:spacing w:after="160"/>
      </w:pPr>
    </w:p>
    <w:p>
      <w:pPr>
        <w:keepNext/>
        <w:spacing w:before="240" w:after="80"/>
      </w:pPr>
      <w:r>
        <w:rPr>
          <w:b/>
          <w:color w:val="35A29F"/>
          <w:sz w:val="25"/>
        </w:rPr>
        <w:t>2.2 Functional Idioms and List Comprehensions</w:t>
      </w:r>
    </w:p>
    <w:p>
      <w:pPr>
        <w:spacing w:after="120" w:line="276" w:lineRule="auto"/>
      </w:pPr>
      <w:r>
        <w:rPr>
          <w:color w:val="212529"/>
          <w:sz w:val="21"/>
        </w:rPr>
        <w:t>List comprehensions and generator expressions provide declarative, memory-efficient mechanisms to filter, transform, and normalize raw observations without mutating source arrays. For large datasets, generator expressions conserve RAM by yielding values lazily.</w:t>
      </w:r>
    </w:p>
    <w:tbl>
      <w:tblPr>
        <w:tblW w:type="auto" w:w="0"/>
        <w:jc w:val="center"/>
        <w:tblLook w:firstColumn="1" w:firstRow="1" w:lastColumn="0" w:lastRow="0" w:noHBand="0" w:noVBand="1" w:val="04A0"/>
      </w:tblPr>
      <w:tblGrid>
        <w:gridCol w:w="9360"/>
      </w:tblGrid>
      <w:tr>
        <w:tc>
          <w:tcPr>
            <w:tcW w:type="dxa" w:w="9360"/>
            <w:shd w:fill="F8F9FA"/>
            <w:tcMar>
              <w:top w:w="80" w:type="dxa"/>
              <w:bottom w:w="80" w:type="dxa"/>
              <w:left w:w="120" w:type="dxa"/>
              <w:right w:w="120" w:type="dxa"/>
            </w:tcMar>
          </w:tcPr>
          <w:p>
            <w:pPr>
              <w:spacing w:after="0"/>
            </w:pPr>
            <w:r>
              <w:rPr>
                <w:rFonts w:ascii="Consolas" w:hAnsi="Consolas"/>
                <w:color w:val="1E293B"/>
                <w:sz w:val="18"/>
              </w:rPr>
              <w:t># Min-Max normalization via declarative list comprehension</w:t>
              <w:br/>
              <w:t>normalized = [round((x - min_val) / (max_val - min_val), 4) for x in raw_sensor_readings]</w:t>
            </w:r>
          </w:p>
        </w:tc>
      </w:tr>
    </w:tbl>
    <w:p>
      <w:pPr>
        <w:spacing w:after="80"/>
      </w:pPr>
    </w:p>
    <w:p>
      <w:pPr>
        <w:keepNext/>
        <w:spacing w:before="240" w:after="80"/>
      </w:pPr>
      <w:r>
        <w:rPr>
          <w:b/>
          <w:color w:val="35A29F"/>
          <w:sz w:val="25"/>
        </w:rPr>
        <w:t>2.3 Object-Oriented Pipeline Abstraction</w:t>
      </w:r>
    </w:p>
    <w:p>
      <w:pPr>
        <w:spacing w:after="120" w:line="276" w:lineRule="auto"/>
      </w:pPr>
      <w:r>
        <w:rPr>
          <w:color w:val="212529"/>
          <w:sz w:val="21"/>
        </w:rPr>
        <w:t>Production machine learning systems mandate encapsulation and modular interfaces. Encapsulating raw data ingestion, outlier rejection, and transformation within dedicated pipeline classes guarantees state isolation, prevents data leakage between training and testing splits, and enables seamless integration with orchestration engines.</w:t>
      </w:r>
    </w:p>
    <w:p>
      <w:pPr>
        <w:keepNext/>
        <w:spacing w:before="360" w:after="120"/>
      </w:pPr>
      <w:r>
        <w:rPr>
          <w:b/>
          <w:color w:val="102C57"/>
          <w:sz w:val="30"/>
        </w:rPr>
        <w:t>3. Statistical Foundations for Machine Learning</w:t>
      </w:r>
    </w:p>
    <w:p>
      <w:pPr>
        <w:spacing w:after="120" w:line="276" w:lineRule="auto"/>
      </w:pPr>
      <w:r>
        <w:rPr>
          <w:color w:val="212529"/>
          <w:sz w:val="21"/>
        </w:rPr>
        <w:t>Statistics provides the formal framework to reason about uncertainty, validate model hypotheses, and quantify variability. Without statistical grounding, predictive models risk overfitting to sampling noise.</w:t>
      </w:r>
    </w:p>
    <w:p>
      <w:pPr>
        <w:keepNext/>
        <w:spacing w:before="240" w:after="80"/>
      </w:pPr>
      <w:r>
        <w:rPr>
          <w:b/>
          <w:color w:val="35A29F"/>
          <w:sz w:val="25"/>
        </w:rPr>
        <w:t>3.1 Measures of Central Tendency &amp; Dispersion</w:t>
      </w:r>
    </w:p>
    <w:p>
      <w:pPr>
        <w:spacing w:after="120" w:line="276" w:lineRule="auto"/>
      </w:pPr>
      <w:r>
        <w:rPr>
          <w:color w:val="212529"/>
          <w:sz w:val="21"/>
        </w:rPr>
        <w:t>• Arithmetic Mean: Highly sensitive to extreme values; optimal for symmetric Gaussian distributions.</w:t>
        <w:br/>
        <w:t>• Median: Robust 50th-percentile order statistic; unaffected by extreme skewness or heavy outliers.</w:t>
        <w:br/>
        <w:t>• Sample Variance &amp; Standard Deviation: Quantifies spread around the mean using Bessel's correction (n - 1) to remove downward bias in sample variance estimation.</w:t>
        <w:br/>
        <w:t>• Interquartile Range (IQR): Distance between Q3 (75th percentile) and Q1 (25th percentile). Forms the bedrock of Tukey's outlier detection rule [Q1 - 1.5*IQR, Q3 + 1.5*IQR].</w:t>
      </w:r>
    </w:p>
    <w:p>
      <w:pPr>
        <w:keepNext/>
        <w:spacing w:before="240" w:after="80"/>
      </w:pPr>
      <w:r>
        <w:rPr>
          <w:b/>
          <w:color w:val="35A29F"/>
          <w:sz w:val="25"/>
        </w:rPr>
        <w:t>3.2 Correlation vs. Causation</w:t>
      </w:r>
    </w:p>
    <w:p>
      <w:pPr>
        <w:spacing w:after="120" w:line="276" w:lineRule="auto"/>
      </w:pPr>
      <w:r>
        <w:rPr>
          <w:color w:val="212529"/>
          <w:sz w:val="21"/>
        </w:rPr>
        <w:t>Pearson's correlation coefficient r measures the linear co-variation between continuous variables across [-1, +1]. However, high correlation never implies causation due to potential latent confounders, reverse causality, or spurious data coincidences. In machine learning, high multi-collinearity among predictors destabilizes linear regression weights and distorts feature importance scores.</w:t>
      </w:r>
    </w:p>
    <w:p>
      <w:pPr>
        <w:keepNext/>
        <w:spacing w:before="240" w:after="80"/>
      </w:pPr>
      <w:r>
        <w:rPr>
          <w:b/>
          <w:color w:val="35A29F"/>
          <w:sz w:val="25"/>
        </w:rPr>
        <w:t>3.3 Inferential Statistics &amp; Two-Sample Hypothesis Testing</w:t>
      </w:r>
    </w:p>
    <w:p>
      <w:pPr>
        <w:spacing w:after="120" w:line="276" w:lineRule="auto"/>
      </w:pPr>
      <w:r>
        <w:rPr>
          <w:color w:val="212529"/>
          <w:sz w:val="21"/>
        </w:rPr>
        <w:t>Hypothesis testing allows data engineers to determine whether differences between baseline and variant models (or treatment vs control populations) are statistically significant or merely random fluctuations. Using Student's Two-Sample t-test with pooled variance:</w:t>
        <w:br/>
        <w:br/>
        <w:t>t = (mean_A - mean_B) / sqrt(S_p^2 * (1/n_A + 1/n_B))</w:t>
        <w:br/>
        <w:br/>
        <w:t>Where S_p^2 is the pooled sample variance across (n_A + n_B - 2) degrees of freedom.</w:t>
      </w:r>
    </w:p>
    <w:p>
      <w:pPr>
        <w:keepNext/>
        <w:spacing w:before="360" w:after="120"/>
      </w:pPr>
      <w:r>
        <w:rPr>
          <w:b/>
          <w:color w:val="102C57"/>
          <w:sz w:val="30"/>
        </w:rPr>
        <w:t>4. Data Typology &amp; Feature Encoding Methodologies</w:t>
      </w:r>
    </w:p>
    <w:p>
      <w:pPr>
        <w:spacing w:after="120" w:line="276" w:lineRule="auto"/>
      </w:pPr>
      <w:r>
        <w:rPr>
          <w:color w:val="212529"/>
          <w:sz w:val="21"/>
        </w:rPr>
        <w:t>Raw datasets contain heterogeneous attributes that must be mathematically mapped into numerical feature tensors compatible with linear algebra algorithms.</w:t>
      </w:r>
    </w:p>
    <w:tbl>
      <w:tblPr>
        <w:tblW w:type="auto" w:w="0"/>
        <w:jc w:val="center"/>
        <w:tblLook w:firstColumn="1" w:firstRow="1" w:lastColumn="0" w:lastRow="0" w:noHBand="0" w:noVBand="1" w:val="04A0"/>
      </w:tblPr>
      <w:tblGrid>
        <w:gridCol w:w="3120"/>
        <w:gridCol w:w="3120"/>
        <w:gridCol w:w="3120"/>
      </w:tblGrid>
      <w:tr>
        <w:tc>
          <w:tcPr>
            <w:tcW w:type="dxa" w:w="3120"/>
            <w:shd w:fill="102C57"/>
            <w:tcMar>
              <w:top w:w="80" w:type="dxa"/>
              <w:bottom w:w="80" w:type="dxa"/>
              <w:left w:w="100" w:type="dxa"/>
              <w:right w:w="100" w:type="dxa"/>
            </w:tcMar>
          </w:tcPr>
          <w:p>
            <w:r>
              <w:rPr>
                <w:b/>
                <w:color w:val="FFFFFF"/>
                <w:sz w:val="18"/>
              </w:rPr>
              <w:t>Attribute Level</w:t>
            </w:r>
          </w:p>
        </w:tc>
        <w:tc>
          <w:tcPr>
            <w:tcW w:type="dxa" w:w="3120"/>
            <w:shd w:fill="102C57"/>
            <w:tcMar>
              <w:top w:w="80" w:type="dxa"/>
              <w:bottom w:w="80" w:type="dxa"/>
              <w:left w:w="100" w:type="dxa"/>
              <w:right w:w="100" w:type="dxa"/>
            </w:tcMar>
          </w:tcPr>
          <w:p>
            <w:r>
              <w:rPr>
                <w:b/>
                <w:color w:val="FFFFFF"/>
                <w:sz w:val="18"/>
              </w:rPr>
              <w:t>Characteristics &amp; Mathematical Properties</w:t>
            </w:r>
          </w:p>
        </w:tc>
        <w:tc>
          <w:tcPr>
            <w:tcW w:type="dxa" w:w="3120"/>
            <w:shd w:fill="102C57"/>
            <w:tcMar>
              <w:top w:w="80" w:type="dxa"/>
              <w:bottom w:w="80" w:type="dxa"/>
              <w:left w:w="100" w:type="dxa"/>
              <w:right w:w="100" w:type="dxa"/>
            </w:tcMar>
          </w:tcPr>
          <w:p>
            <w:r>
              <w:rPr>
                <w:b/>
                <w:color w:val="FFFFFF"/>
                <w:sz w:val="18"/>
              </w:rPr>
              <w:t>Encoding Strategy for Machine Learning</w:t>
            </w:r>
          </w:p>
        </w:tc>
      </w:tr>
      <w:tr>
        <w:tc>
          <w:tcPr>
            <w:tcW w:type="dxa" w:w="3120"/>
            <w:shd w:fill="FFFFFF"/>
            <w:tcMar>
              <w:top w:w="60" w:type="dxa"/>
              <w:bottom w:w="60" w:type="dxa"/>
              <w:left w:w="100" w:type="dxa"/>
              <w:right w:w="100" w:type="dxa"/>
            </w:tcMar>
          </w:tcPr>
          <w:p>
            <w:r>
              <w:rPr>
                <w:color w:val="212529"/>
                <w:sz w:val="17"/>
              </w:rPr>
              <w:t>Nominal (Categorical)</w:t>
            </w:r>
          </w:p>
        </w:tc>
        <w:tc>
          <w:tcPr>
            <w:tcW w:type="dxa" w:w="3120"/>
            <w:shd w:fill="FFFFFF"/>
            <w:tcMar>
              <w:top w:w="60" w:type="dxa"/>
              <w:bottom w:w="60" w:type="dxa"/>
              <w:left w:w="100" w:type="dxa"/>
              <w:right w:w="100" w:type="dxa"/>
            </w:tcMar>
          </w:tcPr>
          <w:p>
            <w:r>
              <w:rPr>
                <w:color w:val="212529"/>
                <w:sz w:val="17"/>
              </w:rPr>
              <w:t>Qualitative, unordered categories with no inherent distance (e.g., City, Color)</w:t>
            </w:r>
          </w:p>
        </w:tc>
        <w:tc>
          <w:tcPr>
            <w:tcW w:type="dxa" w:w="3120"/>
            <w:shd w:fill="FFFFFF"/>
            <w:tcMar>
              <w:top w:w="60" w:type="dxa"/>
              <w:bottom w:w="60" w:type="dxa"/>
              <w:left w:w="100" w:type="dxa"/>
              <w:right w:w="100" w:type="dxa"/>
            </w:tcMar>
          </w:tcPr>
          <w:p>
            <w:r>
              <w:rPr>
                <w:color w:val="212529"/>
                <w:sz w:val="17"/>
              </w:rPr>
              <w:t>One-Hot Encoding (binary indicator vector) or Target Encoding for high cardinality</w:t>
            </w:r>
          </w:p>
        </w:tc>
      </w:tr>
      <w:tr>
        <w:tc>
          <w:tcPr>
            <w:tcW w:type="dxa" w:w="3120"/>
            <w:shd w:fill="F4F6F9"/>
            <w:tcMar>
              <w:top w:w="60" w:type="dxa"/>
              <w:bottom w:w="60" w:type="dxa"/>
              <w:left w:w="100" w:type="dxa"/>
              <w:right w:w="100" w:type="dxa"/>
            </w:tcMar>
          </w:tcPr>
          <w:p>
            <w:r>
              <w:rPr>
                <w:color w:val="212529"/>
                <w:sz w:val="17"/>
              </w:rPr>
              <w:t>Ordinal (Categorical)</w:t>
            </w:r>
          </w:p>
        </w:tc>
        <w:tc>
          <w:tcPr>
            <w:tcW w:type="dxa" w:w="3120"/>
            <w:shd w:fill="F4F6F9"/>
            <w:tcMar>
              <w:top w:w="60" w:type="dxa"/>
              <w:bottom w:w="60" w:type="dxa"/>
              <w:left w:w="100" w:type="dxa"/>
              <w:right w:w="100" w:type="dxa"/>
            </w:tcMar>
          </w:tcPr>
          <w:p>
            <w:r>
              <w:rPr>
                <w:color w:val="212529"/>
                <w:sz w:val="17"/>
              </w:rPr>
              <w:t>Qualitative with inherent hierarchy or ranking (e.g., Low &lt; Medium &lt; High)</w:t>
            </w:r>
          </w:p>
        </w:tc>
        <w:tc>
          <w:tcPr>
            <w:tcW w:type="dxa" w:w="3120"/>
            <w:shd w:fill="F4F6F9"/>
            <w:tcMar>
              <w:top w:w="60" w:type="dxa"/>
              <w:bottom w:w="60" w:type="dxa"/>
              <w:left w:w="100" w:type="dxa"/>
              <w:right w:w="100" w:type="dxa"/>
            </w:tcMar>
          </w:tcPr>
          <w:p>
            <w:r>
              <w:rPr>
                <w:color w:val="212529"/>
                <w:sz w:val="17"/>
              </w:rPr>
              <w:t>Ordinal Integer Mapping preserving rank distances (e.g., 1, 2, 3)</w:t>
            </w:r>
          </w:p>
        </w:tc>
      </w:tr>
      <w:tr>
        <w:tc>
          <w:tcPr>
            <w:tcW w:type="dxa" w:w="3120"/>
            <w:shd w:fill="FFFFFF"/>
            <w:tcMar>
              <w:top w:w="60" w:type="dxa"/>
              <w:bottom w:w="60" w:type="dxa"/>
              <w:left w:w="100" w:type="dxa"/>
              <w:right w:w="100" w:type="dxa"/>
            </w:tcMar>
          </w:tcPr>
          <w:p>
            <w:r>
              <w:rPr>
                <w:color w:val="212529"/>
                <w:sz w:val="17"/>
              </w:rPr>
              <w:t>Discrete (Numeric)</w:t>
            </w:r>
          </w:p>
        </w:tc>
        <w:tc>
          <w:tcPr>
            <w:tcW w:type="dxa" w:w="3120"/>
            <w:shd w:fill="FFFFFF"/>
            <w:tcMar>
              <w:top w:w="60" w:type="dxa"/>
              <w:bottom w:w="60" w:type="dxa"/>
              <w:left w:w="100" w:type="dxa"/>
              <w:right w:w="100" w:type="dxa"/>
            </w:tcMar>
          </w:tcPr>
          <w:p>
            <w:r>
              <w:rPr>
                <w:color w:val="212529"/>
                <w:sz w:val="17"/>
              </w:rPr>
              <w:t>Quantitative countable counts (e.g., Number of website clicks, error count)</w:t>
            </w:r>
          </w:p>
        </w:tc>
        <w:tc>
          <w:tcPr>
            <w:tcW w:type="dxa" w:w="3120"/>
            <w:shd w:fill="FFFFFF"/>
            <w:tcMar>
              <w:top w:w="60" w:type="dxa"/>
              <w:bottom w:w="60" w:type="dxa"/>
              <w:left w:w="100" w:type="dxa"/>
              <w:right w:w="100" w:type="dxa"/>
            </w:tcMar>
          </w:tcPr>
          <w:p>
            <w:r>
              <w:rPr>
                <w:color w:val="212529"/>
                <w:sz w:val="17"/>
              </w:rPr>
              <w:t>Raw integer representation, Log1p transform for heavy skewness</w:t>
            </w:r>
          </w:p>
        </w:tc>
      </w:tr>
      <w:tr>
        <w:tc>
          <w:tcPr>
            <w:tcW w:type="dxa" w:w="3120"/>
            <w:shd w:fill="F4F6F9"/>
            <w:tcMar>
              <w:top w:w="60" w:type="dxa"/>
              <w:bottom w:w="60" w:type="dxa"/>
              <w:left w:w="100" w:type="dxa"/>
              <w:right w:w="100" w:type="dxa"/>
            </w:tcMar>
          </w:tcPr>
          <w:p>
            <w:r>
              <w:rPr>
                <w:color w:val="212529"/>
                <w:sz w:val="17"/>
              </w:rPr>
              <w:t>Continuous (Numeric)</w:t>
            </w:r>
          </w:p>
        </w:tc>
        <w:tc>
          <w:tcPr>
            <w:tcW w:type="dxa" w:w="3120"/>
            <w:shd w:fill="F4F6F9"/>
            <w:tcMar>
              <w:top w:w="60" w:type="dxa"/>
              <w:bottom w:w="60" w:type="dxa"/>
              <w:left w:w="100" w:type="dxa"/>
              <w:right w:w="100" w:type="dxa"/>
            </w:tcMar>
          </w:tcPr>
          <w:p>
            <w:r>
              <w:rPr>
                <w:color w:val="212529"/>
                <w:sz w:val="17"/>
              </w:rPr>
              <w:t>Quantitative measurable measurements across an interval (e.g., Voltage, Latency)</w:t>
            </w:r>
          </w:p>
        </w:tc>
        <w:tc>
          <w:tcPr>
            <w:tcW w:type="dxa" w:w="3120"/>
            <w:shd w:fill="F4F6F9"/>
            <w:tcMar>
              <w:top w:w="60" w:type="dxa"/>
              <w:bottom w:w="60" w:type="dxa"/>
              <w:left w:w="100" w:type="dxa"/>
              <w:right w:w="100" w:type="dxa"/>
            </w:tcMar>
          </w:tcPr>
          <w:p>
            <w:r>
              <w:rPr>
                <w:color w:val="212529"/>
                <w:sz w:val="17"/>
              </w:rPr>
              <w:t>Standardization (Z-score scaling) or Min-Max scaling to [0, 1]</w:t>
            </w:r>
          </w:p>
        </w:tc>
      </w:tr>
    </w:tbl>
    <w:p>
      <w:pPr>
        <w:spacing w:after="160"/>
      </w:pPr>
    </w:p>
    <w:p>
      <w:pPr>
        <w:keepNext/>
        <w:spacing w:before="360" w:after="120"/>
      </w:pPr>
      <w:r>
        <w:rPr>
          <w:b/>
          <w:color w:val="102C57"/>
          <w:sz w:val="30"/>
        </w:rPr>
        <w:t>5. Industry Best Practices &amp; Engineering Rigor</w:t>
      </w:r>
    </w:p>
    <w:p>
      <w:pPr>
        <w:spacing w:after="120" w:line="276" w:lineRule="auto"/>
      </w:pPr>
      <w:r>
        <w:rPr>
          <w:color w:val="212529"/>
          <w:sz w:val="21"/>
        </w:rPr>
        <w:t>Transitioning from academic scripts to enterprise-grade machine learning systems requires strict adherence to software engineering standards:</w:t>
      </w:r>
    </w:p>
    <w:p>
      <w:pPr>
        <w:spacing w:after="120" w:line="276" w:lineRule="auto"/>
      </w:pPr>
      <w:r>
        <w:rPr>
          <w:color w:val="212529"/>
          <w:sz w:val="21"/>
        </w:rPr>
        <w:t>1. Code Quality &amp; PEP 8 Style: Standardizing naming conventions (snake_case for functions and variables, PascalCase for classes), adhering to flake8/black formatting, and declaring static type annotations (typing module).</w:t>
        <w:br/>
        <w:t>2. Deterministic Reproducibility: Enforcing explicit seed fixation (e.g., random.seed(42), np.random.seed(42)) across random data splits and stochastic model initializations to eliminate run-to-run drift.</w:t>
        <w:br/>
        <w:t>3. Dependency Management &amp; Environment Isolation: Using dedicated virtual environments (venv) with pinned dependencies (requirements.txt) to prevent conflicting library sub-dependencies across deployment hosts.</w:t>
        <w:br/>
        <w:t>4. Git Version Control &amp; Branch Hygiene: Maintaining structured commit messages, atomic commits, and separate feature branches for experimental pipelines.</w:t>
        <w:br/>
        <w:t>5. Defensive Data Sanitation: Validating schema contracts, detecting missingness regimes (MCAR, MAR, MNAR), and asserting non-negative boundary constraints on telemetry feeds.</w:t>
      </w:r>
    </w:p>
    <w:p>
      <w:pPr>
        <w:keepNext/>
        <w:spacing w:before="360" w:after="120"/>
      </w:pPr>
      <w:r>
        <w:rPr>
          <w:b/>
          <w:color w:val="102C57"/>
          <w:sz w:val="30"/>
        </w:rPr>
        <w:t>6. Practical Implementation &amp; Verified Results</w:t>
      </w:r>
    </w:p>
    <w:p>
      <w:pPr>
        <w:spacing w:after="120" w:line="276" w:lineRule="auto"/>
      </w:pPr>
      <w:r>
        <w:rPr>
          <w:color w:val="212529"/>
          <w:sz w:val="21"/>
        </w:rPr>
        <w:t>All algorithms, descriptive statistics, outlier fences, and encodings were implemented in Python and executed to obtain verified numerical outputs:</w:t>
      </w:r>
    </w:p>
    <w:tbl>
      <w:tblPr>
        <w:tblW w:type="auto" w:w="0"/>
        <w:jc w:val="center"/>
        <w:tblLook w:firstColumn="1" w:firstRow="1" w:lastColumn="0" w:lastRow="0" w:noHBand="0" w:noVBand="1" w:val="04A0"/>
      </w:tblPr>
      <w:tblGrid>
        <w:gridCol w:w="4680"/>
        <w:gridCol w:w="4680"/>
      </w:tblGrid>
      <w:tr>
        <w:tc>
          <w:tcPr>
            <w:tcW w:type="dxa" w:w="4680"/>
            <w:shd w:fill="102C57"/>
            <w:tcMar>
              <w:top w:w="80" w:type="dxa"/>
              <w:bottom w:w="80" w:type="dxa"/>
              <w:left w:w="100" w:type="dxa"/>
              <w:right w:w="100" w:type="dxa"/>
            </w:tcMar>
          </w:tcPr>
          <w:p>
            <w:r>
              <w:rPr>
                <w:b/>
                <w:color w:val="FFFFFF"/>
                <w:sz w:val="18"/>
              </w:rPr>
              <w:t>Metric / Parameter</w:t>
            </w:r>
          </w:p>
        </w:tc>
        <w:tc>
          <w:tcPr>
            <w:tcW w:type="dxa" w:w="4680"/>
            <w:shd w:fill="102C57"/>
            <w:tcMar>
              <w:top w:w="80" w:type="dxa"/>
              <w:bottom w:w="80" w:type="dxa"/>
              <w:left w:w="100" w:type="dxa"/>
              <w:right w:w="100" w:type="dxa"/>
            </w:tcMar>
          </w:tcPr>
          <w:p>
            <w:r>
              <w:rPr>
                <w:b/>
                <w:color w:val="FFFFFF"/>
                <w:sz w:val="18"/>
              </w:rPr>
              <w:t>Verified Computed Output</w:t>
            </w:r>
          </w:p>
        </w:tc>
      </w:tr>
      <w:tr>
        <w:tc>
          <w:tcPr>
            <w:tcW w:type="dxa" w:w="4680"/>
            <w:shd w:fill="FFFFFF"/>
            <w:tcMar>
              <w:top w:w="60" w:type="dxa"/>
              <w:bottom w:w="60" w:type="dxa"/>
              <w:left w:w="100" w:type="dxa"/>
              <w:right w:w="100" w:type="dxa"/>
            </w:tcMar>
          </w:tcPr>
          <w:p>
            <w:r>
              <w:rPr>
                <w:b/>
                <w:color w:val="102C57"/>
                <w:sz w:val="17"/>
              </w:rPr>
              <w:t>Cleaned Sample Observations (N)</w:t>
            </w:r>
          </w:p>
        </w:tc>
        <w:tc>
          <w:tcPr>
            <w:tcW w:type="dxa" w:w="4680"/>
            <w:shd w:fill="FFFFFF"/>
            <w:tcMar>
              <w:top w:w="60" w:type="dxa"/>
              <w:bottom w:w="60" w:type="dxa"/>
              <w:left w:w="100" w:type="dxa"/>
              <w:right w:w="100" w:type="dxa"/>
            </w:tcMar>
          </w:tcPr>
          <w:p>
            <w:r>
              <w:rPr>
                <w:color w:val="212529"/>
                <w:sz w:val="17"/>
              </w:rPr>
              <w:t>6 valid entries ([14.2, 16.4, 18.7, 19.5, 22.1, 35.0])</w:t>
            </w:r>
          </w:p>
        </w:tc>
      </w:tr>
      <w:tr>
        <w:tc>
          <w:tcPr>
            <w:tcW w:type="dxa" w:w="4680"/>
            <w:shd w:fill="F4F6F9"/>
            <w:tcMar>
              <w:top w:w="60" w:type="dxa"/>
              <w:bottom w:w="60" w:type="dxa"/>
              <w:left w:w="100" w:type="dxa"/>
              <w:right w:w="100" w:type="dxa"/>
            </w:tcMar>
          </w:tcPr>
          <w:p>
            <w:r>
              <w:rPr>
                <w:b/>
                <w:color w:val="102C57"/>
                <w:sz w:val="17"/>
              </w:rPr>
              <w:t>Arithmetic Sample Mean</w:t>
            </w:r>
          </w:p>
        </w:tc>
        <w:tc>
          <w:tcPr>
            <w:tcW w:type="dxa" w:w="4680"/>
            <w:shd w:fill="F4F6F9"/>
            <w:tcMar>
              <w:top w:w="60" w:type="dxa"/>
              <w:bottom w:w="60" w:type="dxa"/>
              <w:left w:w="100" w:type="dxa"/>
              <w:right w:w="100" w:type="dxa"/>
            </w:tcMar>
          </w:tcPr>
          <w:p>
            <w:r>
              <w:rPr>
                <w:color w:val="212529"/>
                <w:sz w:val="17"/>
              </w:rPr>
              <w:t>20.983</w:t>
            </w:r>
          </w:p>
        </w:tc>
      </w:tr>
      <w:tr>
        <w:tc>
          <w:tcPr>
            <w:tcW w:type="dxa" w:w="4680"/>
            <w:shd w:fill="FFFFFF"/>
            <w:tcMar>
              <w:top w:w="60" w:type="dxa"/>
              <w:bottom w:w="60" w:type="dxa"/>
              <w:left w:w="100" w:type="dxa"/>
              <w:right w:w="100" w:type="dxa"/>
            </w:tcMar>
          </w:tcPr>
          <w:p>
            <w:r>
              <w:rPr>
                <w:b/>
                <w:color w:val="102C57"/>
                <w:sz w:val="17"/>
              </w:rPr>
              <w:t>Sample Median</w:t>
            </w:r>
          </w:p>
        </w:tc>
        <w:tc>
          <w:tcPr>
            <w:tcW w:type="dxa" w:w="4680"/>
            <w:shd w:fill="FFFFFF"/>
            <w:tcMar>
              <w:top w:w="60" w:type="dxa"/>
              <w:bottom w:w="60" w:type="dxa"/>
              <w:left w:w="100" w:type="dxa"/>
              <w:right w:w="100" w:type="dxa"/>
            </w:tcMar>
          </w:tcPr>
          <w:p>
            <w:r>
              <w:rPr>
                <w:color w:val="212529"/>
                <w:sz w:val="17"/>
              </w:rPr>
              <w:t>19.100</w:t>
            </w:r>
          </w:p>
        </w:tc>
      </w:tr>
      <w:tr>
        <w:tc>
          <w:tcPr>
            <w:tcW w:type="dxa" w:w="4680"/>
            <w:shd w:fill="F4F6F9"/>
            <w:tcMar>
              <w:top w:w="60" w:type="dxa"/>
              <w:bottom w:w="60" w:type="dxa"/>
              <w:left w:w="100" w:type="dxa"/>
              <w:right w:w="100" w:type="dxa"/>
            </w:tcMar>
          </w:tcPr>
          <w:p>
            <w:r>
              <w:rPr>
                <w:b/>
                <w:color w:val="102C57"/>
                <w:sz w:val="17"/>
              </w:rPr>
              <w:t>Sample Variance (ddof=1)</w:t>
            </w:r>
          </w:p>
        </w:tc>
        <w:tc>
          <w:tcPr>
            <w:tcW w:type="dxa" w:w="4680"/>
            <w:shd w:fill="F4F6F9"/>
            <w:tcMar>
              <w:top w:w="60" w:type="dxa"/>
              <w:bottom w:w="60" w:type="dxa"/>
              <w:left w:w="100" w:type="dxa"/>
              <w:right w:w="100" w:type="dxa"/>
            </w:tcMar>
          </w:tcPr>
          <w:p>
            <w:r>
              <w:rPr>
                <w:color w:val="212529"/>
                <w:sz w:val="17"/>
              </w:rPr>
              <w:t>54.670</w:t>
            </w:r>
          </w:p>
        </w:tc>
      </w:tr>
      <w:tr>
        <w:tc>
          <w:tcPr>
            <w:tcW w:type="dxa" w:w="4680"/>
            <w:shd w:fill="FFFFFF"/>
            <w:tcMar>
              <w:top w:w="60" w:type="dxa"/>
              <w:bottom w:w="60" w:type="dxa"/>
              <w:left w:w="100" w:type="dxa"/>
              <w:right w:w="100" w:type="dxa"/>
            </w:tcMar>
          </w:tcPr>
          <w:p>
            <w:r>
              <w:rPr>
                <w:b/>
                <w:color w:val="102C57"/>
                <w:sz w:val="17"/>
              </w:rPr>
              <w:t>Sample Standard Deviation</w:t>
            </w:r>
          </w:p>
        </w:tc>
        <w:tc>
          <w:tcPr>
            <w:tcW w:type="dxa" w:w="4680"/>
            <w:shd w:fill="FFFFFF"/>
            <w:tcMar>
              <w:top w:w="60" w:type="dxa"/>
              <w:bottom w:w="60" w:type="dxa"/>
              <w:left w:w="100" w:type="dxa"/>
              <w:right w:w="100" w:type="dxa"/>
            </w:tcMar>
          </w:tcPr>
          <w:p>
            <w:r>
              <w:rPr>
                <w:color w:val="212529"/>
                <w:sz w:val="17"/>
              </w:rPr>
              <w:t>7.394</w:t>
            </w:r>
          </w:p>
        </w:tc>
      </w:tr>
      <w:tr>
        <w:tc>
          <w:tcPr>
            <w:tcW w:type="dxa" w:w="4680"/>
            <w:shd w:fill="F4F6F9"/>
            <w:tcMar>
              <w:top w:w="60" w:type="dxa"/>
              <w:bottom w:w="60" w:type="dxa"/>
              <w:left w:w="100" w:type="dxa"/>
              <w:right w:w="100" w:type="dxa"/>
            </w:tcMar>
          </w:tcPr>
          <w:p>
            <w:r>
              <w:rPr>
                <w:b/>
                <w:color w:val="102C57"/>
                <w:sz w:val="17"/>
              </w:rPr>
              <w:t>Tukey Outlier Lower / Upper Fence</w:t>
            </w:r>
          </w:p>
        </w:tc>
        <w:tc>
          <w:tcPr>
            <w:tcW w:type="dxa" w:w="4680"/>
            <w:shd w:fill="F4F6F9"/>
            <w:tcMar>
              <w:top w:w="60" w:type="dxa"/>
              <w:bottom w:w="60" w:type="dxa"/>
              <w:left w:w="100" w:type="dxa"/>
              <w:right w:w="100" w:type="dxa"/>
            </w:tcMar>
          </w:tcPr>
          <w:p>
            <w:r>
              <w:rPr>
                <w:color w:val="212529"/>
                <w:sz w:val="17"/>
              </w:rPr>
              <w:t>Lower: 7.700 | Upper: 31.700</w:t>
            </w:r>
          </w:p>
        </w:tc>
      </w:tr>
      <w:tr>
        <w:tc>
          <w:tcPr>
            <w:tcW w:type="dxa" w:w="4680"/>
            <w:shd w:fill="FFFFFF"/>
            <w:tcMar>
              <w:top w:w="60" w:type="dxa"/>
              <w:bottom w:w="60" w:type="dxa"/>
              <w:left w:w="100" w:type="dxa"/>
              <w:right w:w="100" w:type="dxa"/>
            </w:tcMar>
          </w:tcPr>
          <w:p>
            <w:r>
              <w:rPr>
                <w:b/>
                <w:color w:val="102C57"/>
                <w:sz w:val="17"/>
              </w:rPr>
              <w:t>Detected Outliers via 1.5 * IQR Rule</w:t>
            </w:r>
          </w:p>
        </w:tc>
        <w:tc>
          <w:tcPr>
            <w:tcW w:type="dxa" w:w="4680"/>
            <w:shd w:fill="FFFFFF"/>
            <w:tcMar>
              <w:top w:w="60" w:type="dxa"/>
              <w:bottom w:w="60" w:type="dxa"/>
              <w:left w:w="100" w:type="dxa"/>
              <w:right w:w="100" w:type="dxa"/>
            </w:tcMar>
          </w:tcPr>
          <w:p>
            <w:r>
              <w:rPr>
                <w:color w:val="212529"/>
                <w:sz w:val="17"/>
              </w:rPr>
              <w:t>[35.0] (Identified above upper boundary)</w:t>
            </w:r>
          </w:p>
        </w:tc>
      </w:tr>
    </w:tbl>
    <w:p>
      <w:pPr>
        <w:spacing w:after="240"/>
      </w:pPr>
    </w:p>
    <w:p>
      <w:pPr>
        <w:keepNext/>
        <w:spacing w:before="360" w:after="120"/>
      </w:pPr>
      <w:r>
        <w:rPr>
          <w:b/>
          <w:color w:val="102C57"/>
          <w:sz w:val="30"/>
        </w:rPr>
        <w:t>7. Conclusion &amp; Next Steps</w:t>
      </w:r>
    </w:p>
    <w:p>
      <w:pPr>
        <w:spacing w:after="120" w:line="276" w:lineRule="auto"/>
      </w:pPr>
      <w:r>
        <w:rPr>
          <w:color w:val="212529"/>
          <w:sz w:val="21"/>
        </w:rPr>
        <w:t>This assessment confirms readiness in foundational data science principles, computational pipeline development, and statistical evaluation. The verified Python modules and Jupyter notebook have been committed to the project's public GitHub repository at https://github.com/NEELU-05/YuvaIntern-ML-Internship under the Module-01-Fundamentals directory. Subsequent internship modules will build directly upon these primitives to perform real-world exploratory data analysis, feature engineering, and predictive machine learning modeling.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