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4D8F"/>
          <w:sz w:val="18"/>
          <w:szCs w:val="18"/>
        </w:rPr>
        <w:t xml:space="preserve">PRODUCT REQUIREMENTS · DEVELOPER HANDOFF</w:t>
      </w:r>
    </w:p>
    <w:p>
      <w:pPr>
        <w:spacing w:after="60"/>
      </w:pPr>
      <w:r>
        <w:rPr>
          <w:b/>
          <w:bCs/>
          <w:color w:val="16263B"/>
          <w:sz w:val="52"/>
          <w:szCs w:val="52"/>
        </w:rPr>
        <w:t xml:space="preserve">DU Admissions Explorer</w:t>
      </w:r>
    </w:p>
    <w:p>
      <w:pPr>
        <w:spacing w:after="240"/>
      </w:pPr>
      <w:r>
        <w:rPr>
          <w:i/>
          <w:iCs/>
          <w:color w:val="5B6B7B"/>
          <w:sz w:val="24"/>
          <w:szCs w:val="24"/>
        </w:rPr>
        <w:t xml:space="preserve">A companion platform for CUET aspirants navigating Delhi University admissions</w:t>
      </w:r>
    </w:p>
    <w:p>
      <w:pPr>
        <w:pBdr>
          <w:bottom w:val="single" w:color="1B4D8F" w:sz="6" w:space="1"/>
        </w:pBdr>
        <w:spacing w:after="160" w:before="40"/>
      </w:pPr>
    </w:p>
    <w:p>
      <w:pPr>
        <w:pStyle w:val="Heading1"/>
      </w:pPr>
      <w:r>
        <w:t xml:space="preserve">1. Purpose &amp; vision</w:t>
      </w:r>
    </w:p>
    <w:p>
      <w:pPr>
        <w:spacing w:after="120" w:before="0" w:line="276"/>
      </w:pPr>
      <w:r>
        <w:rPr>
          <w:color w:val="16263B"/>
          <w:sz w:val="22"/>
          <w:szCs w:val="22"/>
        </w:rPr>
        <w:t xml:space="preserve">The DU Admissions Explorer is a web and mobile platform that helps a CUET aspirant move confidently through the entire Delhi University admission journey — from the day after the CUET exam to settling into a college. It answers the questions a student and their family actually have: which colleges and courses exist, how many seats are available, what last year’s cutoffs were, what the eligibility criteria are, where the colleges are, where their score may place them, and how to plan their preference list.</w:t>
      </w:r>
    </w:p>
    <w:p>
      <w:pPr>
        <w:spacing w:after="120" w:before="0" w:line="276"/>
      </w:pPr>
      <w:r>
        <w:rPr>
          <w:color w:val="16263B"/>
          <w:sz w:val="22"/>
          <w:szCs w:val="22"/>
        </w:rPr>
        <w:t xml:space="preserve">The platform brings together reference data (seats, cutoffs, eligibility), decision tools (a college predictor and a preference sheet maker), orientation tools (an interactive map, official links, college notices), and a community layer in one trustworthy place.</w:t>
      </w:r>
    </w:p>
    <w:p>
      <w:pPr>
        <w:pStyle w:val="Heading1"/>
      </w:pPr>
      <w:r>
        <w:t xml:space="preserve">2. Target users</w:t>
      </w:r>
    </w:p>
    <w:p>
      <w:pPr>
        <w:pStyle w:val="ListParagraph"/>
        <w:numPr>
          <w:ilvl w:val="0"/>
          <w:numId w:val="2"/>
        </w:numPr>
        <w:spacing w:after="70" w:line="270"/>
      </w:pPr>
      <w:r>
        <w:rPr>
          <w:b/>
          <w:bCs/>
          <w:color w:val="16263B"/>
          <w:sz w:val="22"/>
          <w:szCs w:val="22"/>
        </w:rPr>
        <w:t xml:space="preserve">Primary — </w:t>
      </w:r>
      <w:r>
        <w:rPr>
          <w:color w:val="16263B"/>
          <w:sz w:val="22"/>
          <w:szCs w:val="22"/>
        </w:rPr>
        <w:t xml:space="preserve">CUET aspirants applying to Delhi University undergraduate programs (typically 17–19 years old).</w:t>
      </w:r>
    </w:p>
    <w:p>
      <w:pPr>
        <w:pStyle w:val="ListParagraph"/>
        <w:numPr>
          <w:ilvl w:val="0"/>
          <w:numId w:val="2"/>
        </w:numPr>
        <w:spacing w:after="70" w:line="270"/>
      </w:pPr>
      <w:r>
        <w:rPr>
          <w:b/>
          <w:bCs/>
          <w:color w:val="16263B"/>
          <w:sz w:val="22"/>
          <w:szCs w:val="22"/>
        </w:rPr>
        <w:t xml:space="preserve">Secondary — </w:t>
      </w:r>
      <w:r>
        <w:rPr>
          <w:color w:val="16263B"/>
          <w:sz w:val="22"/>
          <w:szCs w:val="22"/>
        </w:rPr>
        <w:t xml:space="preserve">parents and guardians supporting the admission decision.</w:t>
      </w:r>
    </w:p>
    <w:p>
      <w:pPr>
        <w:pStyle w:val="ListParagraph"/>
        <w:numPr>
          <w:ilvl w:val="0"/>
          <w:numId w:val="2"/>
        </w:numPr>
        <w:spacing w:after="70" w:line="270"/>
      </w:pPr>
      <w:r>
        <w:rPr>
          <w:b/>
          <w:bCs/>
          <w:color w:val="16263B"/>
          <w:sz w:val="22"/>
          <w:szCs w:val="22"/>
        </w:rPr>
        <w:t xml:space="preserve">Note on age — </w:t>
      </w:r>
      <w:r>
        <w:rPr>
          <w:color w:val="16263B"/>
          <w:sz w:val="22"/>
          <w:szCs w:val="22"/>
        </w:rPr>
        <w:t xml:space="preserve">a meaningful share of users are minors, which directly shapes the moderation and safety requirements for the community.</w:t>
      </w:r>
    </w:p>
    <w:p>
      <w:pPr>
        <w:pStyle w:val="Heading1"/>
      </w:pPr>
      <w:r>
        <w:t xml:space="preserve">3. Guiding principles (non-negotiable)</w:t>
      </w:r>
    </w:p>
    <w:p>
      <w:pPr>
        <w:pStyle w:val="ListParagraph"/>
        <w:numPr>
          <w:ilvl w:val="0"/>
          <w:numId w:val="2"/>
        </w:numPr>
        <w:spacing w:after="70" w:line="270"/>
      </w:pPr>
      <w:r>
        <w:rPr>
          <w:b/>
          <w:bCs/>
          <w:color w:val="16263B"/>
          <w:sz w:val="22"/>
          <w:szCs w:val="22"/>
        </w:rPr>
        <w:t xml:space="preserve">Credibility first — </w:t>
      </w:r>
      <w:r>
        <w:rPr>
          <w:color w:val="16263B"/>
          <w:sz w:val="22"/>
          <w:szCs w:val="22"/>
        </w:rPr>
        <w:t xml:space="preserve">every seat and cutoff figure must trace back to an official source (DU / CSAS) and carry a visible “last updated” date. This is the platform’s core differentiator over the cluttered, outdated cutoff pages elsewhere.</w:t>
      </w:r>
    </w:p>
    <w:p>
      <w:pPr>
        <w:pStyle w:val="ListParagraph"/>
        <w:numPr>
          <w:ilvl w:val="0"/>
          <w:numId w:val="2"/>
        </w:numPr>
        <w:spacing w:after="70" w:line="270"/>
      </w:pPr>
      <w:r>
        <w:rPr>
          <w:b/>
          <w:bCs/>
          <w:color w:val="16263B"/>
          <w:sz w:val="22"/>
          <w:szCs w:val="22"/>
        </w:rPr>
        <w:t xml:space="preserve">Reflect the real CUET / CSAS system — </w:t>
      </w:r>
      <w:r>
        <w:rPr>
          <w:color w:val="16263B"/>
          <w:sz w:val="22"/>
          <w:szCs w:val="22"/>
        </w:rPr>
        <w:t xml:space="preserve">DU undergraduate admissions run on CUET scores processed through CSAS (Common Seat Allocation System) in multiple allocation rounds. Cutoffs are CUET merit scores per round and per reservation category, not the old percentage cutoffs.</w:t>
      </w:r>
    </w:p>
    <w:p>
      <w:pPr>
        <w:pStyle w:val="ListParagraph"/>
        <w:numPr>
          <w:ilvl w:val="0"/>
          <w:numId w:val="2"/>
        </w:numPr>
        <w:spacing w:after="70" w:line="270"/>
      </w:pPr>
      <w:r>
        <w:rPr>
          <w:b/>
          <w:bCs/>
          <w:color w:val="16263B"/>
          <w:sz w:val="22"/>
          <w:szCs w:val="22"/>
        </w:rPr>
        <w:t xml:space="preserve">Mobile first — </w:t>
      </w:r>
      <w:r>
        <w:rPr>
          <w:color w:val="16263B"/>
          <w:sz w:val="22"/>
          <w:szCs w:val="22"/>
        </w:rPr>
        <w:t xml:space="preserve">most students will use this on a phone; every screen must work well on a small screen.</w:t>
      </w:r>
    </w:p>
    <w:p>
      <w:pPr>
        <w:pStyle w:val="ListParagraph"/>
        <w:numPr>
          <w:ilvl w:val="0"/>
          <w:numId w:val="2"/>
        </w:numPr>
        <w:spacing w:after="70" w:line="270"/>
      </w:pPr>
      <w:r>
        <w:rPr>
          <w:b/>
          <w:bCs/>
          <w:color w:val="16263B"/>
          <w:sz w:val="22"/>
          <w:szCs w:val="22"/>
        </w:rPr>
        <w:t xml:space="preserve">Honest and calm — </w:t>
      </w:r>
      <w:r>
        <w:rPr>
          <w:color w:val="16263B"/>
          <w:sz w:val="22"/>
          <w:szCs w:val="22"/>
        </w:rPr>
        <w:t xml:space="preserve">no hype, no false promises. Where data is uncertain or a result is only indicative, say so plainly.</w:t>
      </w:r>
    </w:p>
    <w:p>
      <w:pPr>
        <w:pStyle w:val="ListParagraph"/>
        <w:numPr>
          <w:ilvl w:val="0"/>
          <w:numId w:val="2"/>
        </w:numPr>
        <w:spacing w:after="70" w:line="270"/>
      </w:pPr>
      <w:r>
        <w:rPr>
          <w:b/>
          <w:bCs/>
          <w:color w:val="16263B"/>
          <w:sz w:val="22"/>
          <w:szCs w:val="22"/>
        </w:rPr>
        <w:t xml:space="preserve">Student-friendly tone — </w:t>
      </w:r>
      <w:r>
        <w:rPr>
          <w:color w:val="16263B"/>
          <w:sz w:val="22"/>
          <w:szCs w:val="22"/>
        </w:rPr>
        <w:t xml:space="preserve">plain language, Hinglish-friendly microcopy where it suits the audience.</w:t>
      </w:r>
    </w:p>
    <w:p>
      <w:pPr>
        <w:pStyle w:val="Heading1"/>
      </w:pPr>
      <w:r>
        <w:t xml:space="preserve">4. Scope</w:t>
      </w:r>
    </w:p>
    <w:p>
      <w:pPr>
        <w:pStyle w:val="Heading2"/>
      </w:pPr>
      <w:r>
        <w:t xml:space="preserve">In scope</w:t>
      </w:r>
    </w:p>
    <w:p>
      <w:pPr>
        <w:spacing w:after="120" w:before="0" w:line="276"/>
      </w:pPr>
      <w:r>
        <w:rPr>
          <w:color w:val="16263B"/>
          <w:sz w:val="22"/>
          <w:szCs w:val="22"/>
        </w:rPr>
        <w:t xml:space="preserve">All twelve feature modules described in Section 5: seats, cutoffs, and eligibility data; a college predictor; a preference sheet maker; an interactive map; official website links; per-college notice boards; a community; and an Ask-Me-Anything chatbot.</w:t>
      </w:r>
    </w:p>
    <w:p>
      <w:pPr>
        <w:pStyle w:val="Heading2"/>
      </w:pPr>
      <w:r>
        <w:t xml:space="preserve">Explicitly NOT in scope</w:t>
      </w:r>
    </w:p>
    <w:p>
      <w:pPr>
        <w:pStyle w:val="ListParagraph"/>
        <w:numPr>
          <w:ilvl w:val="0"/>
          <w:numId w:val="2"/>
        </w:numPr>
        <w:spacing w:after="70" w:line="270"/>
      </w:pPr>
      <w:r>
        <w:rPr>
          <w:b/>
          <w:bCs/>
          <w:color w:val="16263B"/>
          <w:sz w:val="22"/>
          <w:szCs w:val="22"/>
        </w:rPr>
        <w:t xml:space="preserve">Prediction inside the cutoffs &amp; seats module — </w:t>
      </w:r>
      <w:r>
        <w:rPr>
          <w:color w:val="16263B"/>
          <w:sz w:val="22"/>
          <w:szCs w:val="22"/>
        </w:rPr>
        <w:t xml:space="preserve">the cutoffs &amp; seats tool (5.4) is reference-only and must never show probability, “chance,” or “fit.” Admission likelihood is offered ONLY by the separate College Predictor (5.6), and even there it must be framed as indicative, never a guarantee.</w:t>
      </w:r>
    </w:p>
    <w:p>
      <w:pPr>
        <w:pStyle w:val="ListParagraph"/>
        <w:numPr>
          <w:ilvl w:val="0"/>
          <w:numId w:val="2"/>
        </w:numPr>
        <w:spacing w:after="70" w:line="270"/>
      </w:pPr>
      <w:r>
        <w:rPr>
          <w:b/>
          <w:bCs/>
          <w:color w:val="16263B"/>
          <w:sz w:val="22"/>
          <w:szCs w:val="22"/>
        </w:rPr>
        <w:t xml:space="preserve">Payments and transactions — </w:t>
      </w:r>
      <w:r>
        <w:rPr>
          <w:color w:val="16263B"/>
          <w:sz w:val="22"/>
          <w:szCs w:val="22"/>
        </w:rPr>
        <w:t xml:space="preserve">not part of the initial build.</w:t>
      </w:r>
    </w:p>
    <w:p>
      <w:pPr>
        <w:pStyle w:val="ListParagraph"/>
        <w:numPr>
          <w:ilvl w:val="0"/>
          <w:numId w:val="2"/>
        </w:numPr>
        <w:spacing w:after="70" w:line="270"/>
      </w:pPr>
      <w:r>
        <w:rPr>
          <w:b/>
          <w:bCs/>
          <w:color w:val="16263B"/>
          <w:sz w:val="22"/>
          <w:szCs w:val="22"/>
        </w:rPr>
        <w:t xml:space="preserve">Official application / counselling submission — </w:t>
      </w:r>
      <w:r>
        <w:rPr>
          <w:color w:val="16263B"/>
          <w:sz w:val="22"/>
          <w:szCs w:val="22"/>
        </w:rPr>
        <w:t xml:space="preserve">students still apply and fill preferences through the official CSAS portal; this platform informs and helps plan, it does not replace official systems.</w:t>
      </w:r>
    </w:p>
    <w:p>
      <w:pPr>
        <w:pStyle w:val="Heading1"/>
      </w:pPr>
      <w:r>
        <w:t xml:space="preserve">5. Feature modules</w:t>
      </w:r>
    </w:p>
    <w:p>
      <w:pPr>
        <w:pStyle w:val="Heading2"/>
      </w:pPr>
      <w:r>
        <w:t xml:space="preserve">5.1  Home &amp; search</w:t>
      </w:r>
    </w:p>
    <w:p>
      <w:pPr>
        <w:spacing w:after="120" w:before="0" w:line="276"/>
      </w:pPr>
      <w:r>
        <w:rPr>
          <w:color w:val="16263B"/>
          <w:sz w:val="22"/>
          <w:szCs w:val="22"/>
        </w:rPr>
        <w:t xml:space="preserve">The entry point. A single search box plus clear pathways into the main tools, so a confused student knows where to go within seconds.</w:t>
      </w:r>
    </w:p>
    <w:p>
      <w:pPr>
        <w:pStyle w:val="ListParagraph"/>
        <w:numPr>
          <w:ilvl w:val="0"/>
          <w:numId w:val="2"/>
        </w:numPr>
        <w:spacing w:after="70" w:line="270"/>
      </w:pPr>
      <w:r>
        <w:rPr>
          <w:color w:val="16263B"/>
          <w:sz w:val="22"/>
          <w:szCs w:val="22"/>
        </w:rPr>
        <w:t xml:space="preserve">Prominent search that matches both colleges and courses (e.g. “B.Com Hons” or “Hansraj”).</w:t>
      </w:r>
    </w:p>
    <w:p>
      <w:pPr>
        <w:pStyle w:val="ListParagraph"/>
        <w:numPr>
          <w:ilvl w:val="0"/>
          <w:numId w:val="2"/>
        </w:numPr>
        <w:spacing w:after="70" w:line="270"/>
      </w:pPr>
      <w:r>
        <w:rPr>
          <w:color w:val="16263B"/>
          <w:sz w:val="22"/>
          <w:szCs w:val="22"/>
        </w:rPr>
        <w:t xml:space="preserve">Quick-access entry points: Explore colleges, Browse courses, Cutoffs &amp; seats, College predictor, Preference sheet maker, Map, Community.</w:t>
      </w:r>
    </w:p>
    <w:p>
      <w:pPr>
        <w:pStyle w:val="ListParagraph"/>
        <w:numPr>
          <w:ilvl w:val="0"/>
          <w:numId w:val="2"/>
        </w:numPr>
        <w:spacing w:after="70" w:line="270"/>
      </w:pPr>
      <w:r>
        <w:rPr>
          <w:color w:val="16263B"/>
          <w:sz w:val="22"/>
          <w:szCs w:val="22"/>
        </w:rPr>
        <w:t xml:space="preserve">A lightweight summary strip (number of colleges, courses, total seats, latest data year).</w:t>
      </w:r>
    </w:p>
    <w:p>
      <w:pPr>
        <w:pStyle w:val="Heading2"/>
      </w:pPr>
      <w:r>
        <w:t xml:space="preserve">5.2  College explorer</w:t>
      </w:r>
    </w:p>
    <w:p>
      <w:pPr>
        <w:spacing w:after="120" w:before="0" w:line="276"/>
      </w:pPr>
      <w:r>
        <w:rPr>
          <w:color w:val="16263B"/>
          <w:sz w:val="22"/>
          <w:szCs w:val="22"/>
        </w:rPr>
        <w:t xml:space="preserve">A browsable, filterable directory of all ~70 DU colleges.</w:t>
      </w:r>
    </w:p>
    <w:p>
      <w:pPr>
        <w:pStyle w:val="ListParagraph"/>
        <w:numPr>
          <w:ilvl w:val="0"/>
          <w:numId w:val="2"/>
        </w:numPr>
        <w:spacing w:after="70" w:line="270"/>
      </w:pPr>
      <w:r>
        <w:rPr>
          <w:color w:val="16263B"/>
          <w:sz w:val="22"/>
          <w:szCs w:val="22"/>
        </w:rPr>
        <w:t xml:space="preserve">Filter by campus / location (North, South, off-campus), college type (co-ed / women), and facilities (e.g. hostel).</w:t>
      </w:r>
    </w:p>
    <w:p>
      <w:pPr>
        <w:pStyle w:val="ListParagraph"/>
        <w:numPr>
          <w:ilvl w:val="0"/>
          <w:numId w:val="2"/>
        </w:numPr>
        <w:spacing w:after="70" w:line="270"/>
      </w:pPr>
      <w:r>
        <w:rPr>
          <w:color w:val="16263B"/>
          <w:sz w:val="22"/>
          <w:szCs w:val="22"/>
        </w:rPr>
        <w:t xml:space="preserve">Each college links through to its College detail page.</w:t>
      </w:r>
    </w:p>
    <w:p>
      <w:pPr>
        <w:pStyle w:val="ListParagraph"/>
        <w:numPr>
          <w:ilvl w:val="0"/>
          <w:numId w:val="2"/>
        </w:numPr>
        <w:spacing w:after="70" w:line="270"/>
      </w:pPr>
      <w:r>
        <w:rPr>
          <w:color w:val="16263B"/>
          <w:sz w:val="22"/>
          <w:szCs w:val="22"/>
        </w:rPr>
        <w:t xml:space="preserve">Works as a clean list/grid, not an overwhelming wall of identical boxes.</w:t>
      </w:r>
    </w:p>
    <w:p>
      <w:pPr>
        <w:pStyle w:val="Heading2"/>
      </w:pPr>
      <w:r>
        <w:t xml:space="preserve">5.3  College detail page</w:t>
      </w:r>
    </w:p>
    <w:p>
      <w:pPr>
        <w:spacing w:after="120" w:before="0" w:line="276"/>
      </w:pPr>
      <w:r>
        <w:rPr>
          <w:color w:val="16263B"/>
          <w:sz w:val="22"/>
          <w:szCs w:val="22"/>
        </w:rPr>
        <w:t xml:space="preserve">The hub for a single college, pulling together everything about it.</w:t>
      </w:r>
    </w:p>
    <w:p>
      <w:pPr>
        <w:pStyle w:val="ListParagraph"/>
        <w:numPr>
          <w:ilvl w:val="0"/>
          <w:numId w:val="2"/>
        </w:numPr>
        <w:spacing w:after="70" w:line="270"/>
      </w:pPr>
      <w:r>
        <w:rPr>
          <w:color w:val="16263B"/>
          <w:sz w:val="22"/>
          <w:szCs w:val="22"/>
        </w:rPr>
        <w:t xml:space="preserve">Overview: name, campus, type, key facts (total seats, facilities).</w:t>
      </w:r>
    </w:p>
    <w:p>
      <w:pPr>
        <w:pStyle w:val="ListParagraph"/>
        <w:numPr>
          <w:ilvl w:val="0"/>
          <w:numId w:val="2"/>
        </w:numPr>
        <w:spacing w:after="70" w:line="270"/>
      </w:pPr>
      <w:r>
        <w:rPr>
          <w:color w:val="16263B"/>
          <w:sz w:val="22"/>
          <w:szCs w:val="22"/>
        </w:rPr>
        <w:t xml:space="preserve">Courses offered, with seats and last-year cutoff per course.</w:t>
      </w:r>
    </w:p>
    <w:p>
      <w:pPr>
        <w:pStyle w:val="ListParagraph"/>
        <w:numPr>
          <w:ilvl w:val="0"/>
          <w:numId w:val="2"/>
        </w:numPr>
        <w:spacing w:after="70" w:line="270"/>
      </w:pPr>
      <w:r>
        <w:rPr>
          <w:color w:val="16263B"/>
          <w:sz w:val="22"/>
          <w:szCs w:val="22"/>
        </w:rPr>
        <w:t xml:space="preserve">Category-wise seat matrix (General, OBC-NCL, EWS, SC, ST, PwBD, plus supernumerary where applicable).</w:t>
      </w:r>
    </w:p>
    <w:p>
      <w:pPr>
        <w:pStyle w:val="ListParagraph"/>
        <w:numPr>
          <w:ilvl w:val="0"/>
          <w:numId w:val="2"/>
        </w:numPr>
        <w:spacing w:after="70" w:line="270"/>
      </w:pPr>
      <w:r>
        <w:rPr>
          <w:color w:val="16263B"/>
          <w:sz w:val="22"/>
          <w:szCs w:val="22"/>
        </w:rPr>
        <w:t xml:space="preserve">Eligibility / admission criteria for each course (CUET subject combinations and mapping).</w:t>
      </w:r>
    </w:p>
    <w:p>
      <w:pPr>
        <w:pStyle w:val="ListParagraph"/>
        <w:numPr>
          <w:ilvl w:val="0"/>
          <w:numId w:val="2"/>
        </w:numPr>
        <w:spacing w:after="70" w:line="270"/>
      </w:pPr>
      <w:r>
        <w:rPr>
          <w:color w:val="16263B"/>
          <w:sz w:val="22"/>
          <w:szCs w:val="22"/>
        </w:rPr>
        <w:t xml:space="preserve">Official college website link (see 5.9).</w:t>
      </w:r>
    </w:p>
    <w:p>
      <w:pPr>
        <w:pStyle w:val="ListParagraph"/>
        <w:numPr>
          <w:ilvl w:val="0"/>
          <w:numId w:val="2"/>
        </w:numPr>
        <w:spacing w:after="70" w:line="270"/>
      </w:pPr>
      <w:r>
        <w:rPr>
          <w:color w:val="16263B"/>
          <w:sz w:val="22"/>
          <w:szCs w:val="22"/>
        </w:rPr>
        <w:t xml:space="preserve">Notice board for that college (see 5.10).</w:t>
      </w:r>
    </w:p>
    <w:p>
      <w:pPr>
        <w:pStyle w:val="ListParagraph"/>
        <w:numPr>
          <w:ilvl w:val="0"/>
          <w:numId w:val="2"/>
        </w:numPr>
        <w:spacing w:after="70" w:line="270"/>
      </w:pPr>
      <w:r>
        <w:rPr>
          <w:color w:val="16263B"/>
          <w:sz w:val="22"/>
          <w:szCs w:val="22"/>
        </w:rPr>
        <w:t xml:space="preserve">Location pin that opens the interactive map (see 5.8).</w:t>
      </w:r>
    </w:p>
    <w:p>
      <w:pPr>
        <w:pStyle w:val="Heading2"/>
      </w:pPr>
      <w:r>
        <w:t xml:space="preserve">5.4  Cutoffs &amp; seats (reference tool)</w:t>
      </w:r>
    </w:p>
    <w:p>
      <w:pPr>
        <w:spacing w:after="120" w:before="0" w:line="276"/>
      </w:pPr>
      <w:r>
        <w:rPr>
          <w:color w:val="16263B"/>
          <w:sz w:val="22"/>
          <w:szCs w:val="22"/>
        </w:rPr>
        <w:t xml:space="preserve">The core data tool. Lets a student see seats and cutoffs across the whole university, either by program or by college. This is a reference tool only — it shows official numbers; it does not predict admission (see Section 4 and 5.6).</w:t>
      </w:r>
    </w:p>
    <w:p>
      <w:pPr>
        <w:pStyle w:val="ListParagraph"/>
        <w:numPr>
          <w:ilvl w:val="0"/>
          <w:numId w:val="2"/>
        </w:numPr>
        <w:spacing w:after="70" w:line="270"/>
      </w:pPr>
      <w:r>
        <w:rPr>
          <w:color w:val="16263B"/>
          <w:sz w:val="22"/>
          <w:szCs w:val="22"/>
        </w:rPr>
        <w:t xml:space="preserve">Two views: “By program” (pick a course, see every college offering it) and “By college” (pick a college, see every course it runs).</w:t>
      </w:r>
    </w:p>
    <w:p>
      <w:pPr>
        <w:pStyle w:val="ListParagraph"/>
        <w:numPr>
          <w:ilvl w:val="0"/>
          <w:numId w:val="2"/>
        </w:numPr>
        <w:spacing w:after="70" w:line="270"/>
      </w:pPr>
      <w:r>
        <w:rPr>
          <w:color w:val="16263B"/>
          <w:sz w:val="22"/>
          <w:szCs w:val="22"/>
        </w:rPr>
        <w:t xml:space="preserve">Reservation-category selector (General / OBC-NCL / EWS / SC / ST / PwBD) that changes which official seats and cutoffs are displayed.</w:t>
      </w:r>
    </w:p>
    <w:p>
      <w:pPr>
        <w:pStyle w:val="ListParagraph"/>
        <w:numPr>
          <w:ilvl w:val="0"/>
          <w:numId w:val="2"/>
        </w:numPr>
        <w:spacing w:after="70" w:line="270"/>
      </w:pPr>
      <w:r>
        <w:rPr>
          <w:color w:val="16263B"/>
          <w:sz w:val="22"/>
          <w:szCs w:val="22"/>
        </w:rPr>
        <w:t xml:space="preserve">CSAS round selector (Round 1, Round 2, Final, etc.), since closing scores differ by round.</w:t>
      </w:r>
    </w:p>
    <w:p>
      <w:pPr>
        <w:pStyle w:val="ListParagraph"/>
        <w:numPr>
          <w:ilvl w:val="0"/>
          <w:numId w:val="2"/>
        </w:numPr>
        <w:spacing w:after="70" w:line="270"/>
      </w:pPr>
      <w:r>
        <w:rPr>
          <w:color w:val="16263B"/>
          <w:sz w:val="22"/>
          <w:szCs w:val="22"/>
        </w:rPr>
        <w:t xml:space="preserve">Year selector for the data set.</w:t>
      </w:r>
    </w:p>
    <w:p>
      <w:pPr>
        <w:pStyle w:val="ListParagraph"/>
        <w:numPr>
          <w:ilvl w:val="0"/>
          <w:numId w:val="2"/>
        </w:numPr>
        <w:spacing w:after="70" w:line="270"/>
      </w:pPr>
      <w:r>
        <w:rPr>
          <w:color w:val="16263B"/>
          <w:sz w:val="22"/>
          <w:szCs w:val="22"/>
        </w:rPr>
        <w:t xml:space="preserve">Search, subject-group filter, and sort (by seats, by cutoff, A–Z).</w:t>
      </w:r>
    </w:p>
    <w:p>
      <w:pPr>
        <w:pStyle w:val="ListParagraph"/>
        <w:numPr>
          <w:ilvl w:val="0"/>
          <w:numId w:val="2"/>
        </w:numPr>
        <w:spacing w:after="70" w:line="270"/>
      </w:pPr>
      <w:r>
        <w:rPr>
          <w:color w:val="16263B"/>
          <w:sz w:val="22"/>
          <w:szCs w:val="22"/>
        </w:rPr>
        <w:t xml:space="preserve">A dense, scannable table; tapping a row expands the detail in place (colleges under a program, or courses under a college) with their seats and cutoffs.</w:t>
      </w:r>
    </w:p>
    <w:p>
      <w:pPr>
        <w:pStyle w:val="ListParagraph"/>
        <w:numPr>
          <w:ilvl w:val="0"/>
          <w:numId w:val="2"/>
        </w:numPr>
        <w:spacing w:after="70" w:line="270"/>
      </w:pPr>
      <w:r>
        <w:rPr>
          <w:color w:val="16263B"/>
          <w:sz w:val="22"/>
          <w:szCs w:val="22"/>
        </w:rPr>
        <w:t xml:space="preserve">Cutoff defined in plain language: the lowest CUET merit score (out of 1000) at which a seat was allotted in the selected round and category.</w:t>
      </w:r>
    </w:p>
    <w:p>
      <w:pPr>
        <w:pStyle w:val="ListParagraph"/>
        <w:numPr>
          <w:ilvl w:val="0"/>
          <w:numId w:val="2"/>
        </w:numPr>
        <w:spacing w:after="70" w:line="270"/>
      </w:pPr>
      <w:r>
        <w:rPr>
          <w:color w:val="16263B"/>
          <w:sz w:val="22"/>
          <w:szCs w:val="22"/>
        </w:rPr>
        <w:t xml:space="preserve">Visible “source + last updated” stamp. No score input and no probability anywhere in this module.</w:t>
      </w:r>
    </w:p>
    <w:p>
      <w:pPr>
        <w:pStyle w:val="Heading2"/>
      </w:pPr>
      <w:r>
        <w:t xml:space="preserve">5.5  Eligibility &amp; criteria</w:t>
      </w:r>
    </w:p>
    <w:p>
      <w:pPr>
        <w:spacing w:after="120" w:before="0" w:line="276"/>
      </w:pPr>
      <w:r>
        <w:rPr>
          <w:color w:val="16263B"/>
          <w:sz w:val="22"/>
          <w:szCs w:val="22"/>
        </w:rPr>
        <w:t xml:space="preserve">Helps a student understand what is required to be considered for a course.</w:t>
      </w:r>
    </w:p>
    <w:p>
      <w:pPr>
        <w:pStyle w:val="ListParagraph"/>
        <w:numPr>
          <w:ilvl w:val="0"/>
          <w:numId w:val="2"/>
        </w:numPr>
        <w:spacing w:after="70" w:line="270"/>
      </w:pPr>
      <w:r>
        <w:rPr>
          <w:color w:val="16263B"/>
          <w:sz w:val="22"/>
          <w:szCs w:val="22"/>
        </w:rPr>
        <w:t xml:space="preserve">Show the CUET subject combinations each course accepts and how DU maps CUET subjects to its eligibility lists.</w:t>
      </w:r>
    </w:p>
    <w:p>
      <w:pPr>
        <w:pStyle w:val="ListParagraph"/>
        <w:numPr>
          <w:ilvl w:val="0"/>
          <w:numId w:val="2"/>
        </w:numPr>
        <w:spacing w:after="70" w:line="270"/>
      </w:pPr>
      <w:r>
        <w:rPr>
          <w:color w:val="16263B"/>
          <w:sz w:val="22"/>
          <w:szCs w:val="22"/>
        </w:rPr>
        <w:t xml:space="preserve">Shared data with the cutoffs &amp; seats tool, so a course’s eligibility and its cutoff always agree.</w:t>
      </w:r>
    </w:p>
    <w:p>
      <w:pPr>
        <w:pStyle w:val="ListParagraph"/>
        <w:numPr>
          <w:ilvl w:val="0"/>
          <w:numId w:val="2"/>
        </w:numPr>
        <w:spacing w:after="70" w:line="270"/>
      </w:pPr>
      <w:r>
        <w:rPr>
          <w:color w:val="16263B"/>
          <w:sz w:val="22"/>
          <w:szCs w:val="22"/>
        </w:rPr>
        <w:t xml:space="preserve">An optional “check by my subjects” view that lists courses matching a student’s CUET subjects (informational eligibility filtering only — not a prediction of admission).</w:t>
      </w:r>
    </w:p>
    <w:p>
      <w:pPr>
        <w:pStyle w:val="Heading2"/>
      </w:pPr>
      <w:r>
        <w:t xml:space="preserve">5.6  College predictor</w:t>
      </w:r>
    </w:p>
    <w:p>
      <w:pPr>
        <w:spacing w:after="120" w:before="0" w:line="276"/>
      </w:pPr>
      <w:r>
        <w:rPr>
          <w:color w:val="16263B"/>
          <w:sz w:val="22"/>
          <w:szCs w:val="22"/>
        </w:rPr>
        <w:t xml:space="preserve">A separate, opt-in tool that gives a student an indicative sense of where their CUET score may place them. It is kept entirely apart from the reference data tool (5.4).</w:t>
      </w:r>
    </w:p>
    <w:p>
      <w:pPr>
        <w:pStyle w:val="ListParagraph"/>
        <w:numPr>
          <w:ilvl w:val="0"/>
          <w:numId w:val="2"/>
        </w:numPr>
        <w:spacing w:after="70" w:line="270"/>
      </w:pPr>
      <w:r>
        <w:rPr>
          <w:color w:val="16263B"/>
          <w:sz w:val="22"/>
          <w:szCs w:val="22"/>
        </w:rPr>
        <w:t xml:space="preserve">Student enters their CUET score, reservation category, and optionally a preferred course or campus.</w:t>
      </w:r>
    </w:p>
    <w:p>
      <w:pPr>
        <w:pStyle w:val="ListParagraph"/>
        <w:numPr>
          <w:ilvl w:val="0"/>
          <w:numId w:val="2"/>
        </w:numPr>
        <w:spacing w:after="70" w:line="270"/>
      </w:pPr>
      <w:r>
        <w:rPr>
          <w:color w:val="16263B"/>
          <w:sz w:val="22"/>
          <w:szCs w:val="22"/>
        </w:rPr>
        <w:t xml:space="preserve">Returns colleges / courses grouped honestly (e.g. likely · borderline · ambitious), based on last year’s closing scores.</w:t>
      </w:r>
    </w:p>
    <w:p>
      <w:pPr>
        <w:pStyle w:val="ListParagraph"/>
        <w:numPr>
          <w:ilvl w:val="0"/>
          <w:numId w:val="2"/>
        </w:numPr>
        <w:spacing w:after="70" w:line="270"/>
      </w:pPr>
      <w:r>
        <w:rPr>
          <w:color w:val="16263B"/>
          <w:sz w:val="22"/>
          <w:szCs w:val="22"/>
        </w:rPr>
        <w:t xml:space="preserve">Mandatory, prominent disclaimer: indicative only, based on past data, NOT a guarantee — actual allocation depends on this year’s applicant pool and CSAS rounds.</w:t>
      </w:r>
    </w:p>
    <w:p>
      <w:pPr>
        <w:pStyle w:val="ListParagraph"/>
        <w:numPr>
          <w:ilvl w:val="0"/>
          <w:numId w:val="2"/>
        </w:numPr>
        <w:spacing w:after="70" w:line="270"/>
      </w:pPr>
      <w:r>
        <w:rPr>
          <w:color w:val="16263B"/>
          <w:sz w:val="22"/>
          <w:szCs w:val="22"/>
        </w:rPr>
        <w:t xml:space="preserve">Lean conservative rather than over-promising.</w:t>
      </w:r>
    </w:p>
    <w:p>
      <w:pPr>
        <w:pStyle w:val="ListParagraph"/>
        <w:numPr>
          <w:ilvl w:val="0"/>
          <w:numId w:val="2"/>
        </w:numPr>
        <w:spacing w:after="70" w:line="270"/>
      </w:pPr>
      <w:r>
        <w:rPr>
          <w:color w:val="16263B"/>
          <w:sz w:val="22"/>
          <w:szCs w:val="22"/>
        </w:rPr>
        <w:t xml:space="preserve">Never shown inside the cutoffs &amp; seats tables — it lives as its own tool reachable from the home page.</w:t>
      </w:r>
    </w:p>
    <w:p>
      <w:pPr>
        <w:pStyle w:val="Heading2"/>
      </w:pPr>
      <w:r>
        <w:t xml:space="preserve">5.7  Preference sheet maker</w:t>
      </w:r>
    </w:p>
    <w:p>
      <w:pPr>
        <w:spacing w:after="120" w:before="0" w:line="276"/>
      </w:pPr>
      <w:r>
        <w:rPr>
          <w:color w:val="16263B"/>
          <w:sz w:val="22"/>
          <w:szCs w:val="22"/>
        </w:rPr>
        <w:t xml:space="preserve">Helps a student plan and order the preference list they will later submit on the official CSAS portal.</w:t>
      </w:r>
    </w:p>
    <w:p>
      <w:pPr>
        <w:pStyle w:val="ListParagraph"/>
        <w:numPr>
          <w:ilvl w:val="0"/>
          <w:numId w:val="2"/>
        </w:numPr>
        <w:spacing w:after="70" w:line="270"/>
      </w:pPr>
      <w:r>
        <w:rPr>
          <w:color w:val="16263B"/>
          <w:sz w:val="22"/>
          <w:szCs w:val="22"/>
        </w:rPr>
        <w:t xml:space="preserve">Add college + program combinations to a personal list and drag to reorder them by priority.</w:t>
      </w:r>
    </w:p>
    <w:p>
      <w:pPr>
        <w:pStyle w:val="ListParagraph"/>
        <w:numPr>
          <w:ilvl w:val="0"/>
          <w:numId w:val="2"/>
        </w:numPr>
        <w:spacing w:after="70" w:line="270"/>
      </w:pPr>
      <w:r>
        <w:rPr>
          <w:color w:val="16263B"/>
          <w:sz w:val="22"/>
          <w:szCs w:val="22"/>
        </w:rPr>
        <w:t xml:space="preserve">Show seats, last-year cutoff, and eligibility next to each choice to inform the ordering (reference data, not prediction).</w:t>
      </w:r>
    </w:p>
    <w:p>
      <w:pPr>
        <w:pStyle w:val="ListParagraph"/>
        <w:numPr>
          <w:ilvl w:val="0"/>
          <w:numId w:val="2"/>
        </w:numPr>
        <w:spacing w:after="70" w:line="270"/>
      </w:pPr>
      <w:r>
        <w:rPr>
          <w:color w:val="16263B"/>
          <w:sz w:val="22"/>
          <w:szCs w:val="22"/>
        </w:rPr>
        <w:t xml:space="preserve">Save and export the ordered list so the student can replicate it on the official CSAS portal.</w:t>
      </w:r>
    </w:p>
    <w:p>
      <w:pPr>
        <w:pStyle w:val="ListParagraph"/>
        <w:numPr>
          <w:ilvl w:val="0"/>
          <w:numId w:val="2"/>
        </w:numPr>
        <w:spacing w:after="70" w:line="270"/>
      </w:pPr>
      <w:r>
        <w:rPr>
          <w:color w:val="16263B"/>
          <w:sz w:val="22"/>
          <w:szCs w:val="22"/>
        </w:rPr>
        <w:t xml:space="preserve">Clear note that the actual preference filling happens on the official CSAS portal; this is a planning aid.</w:t>
      </w:r>
    </w:p>
    <w:p>
      <w:pPr>
        <w:pStyle w:val="Heading2"/>
      </w:pPr>
      <w:r>
        <w:t xml:space="preserve">5.8  Interactive DU map</w:t>
      </w:r>
    </w:p>
    <w:p>
      <w:pPr>
        <w:spacing w:after="120" w:before="0" w:line="276"/>
      </w:pPr>
      <w:r>
        <w:rPr>
          <w:color w:val="16263B"/>
          <w:sz w:val="22"/>
          <w:szCs w:val="22"/>
        </w:rPr>
        <w:t xml:space="preserve">A map showing all colleges and useful nearby hotspots, so students can understand geography, clusters, and commute.</w:t>
      </w:r>
    </w:p>
    <w:p>
      <w:pPr>
        <w:pStyle w:val="ListParagraph"/>
        <w:numPr>
          <w:ilvl w:val="0"/>
          <w:numId w:val="2"/>
        </w:numPr>
        <w:spacing w:after="70" w:line="270"/>
      </w:pPr>
      <w:r>
        <w:rPr>
          <w:color w:val="16263B"/>
          <w:sz w:val="22"/>
          <w:szCs w:val="22"/>
        </w:rPr>
        <w:t xml:space="preserve">Plot all ~70 colleges, clustered by campus.</w:t>
      </w:r>
    </w:p>
    <w:p>
      <w:pPr>
        <w:pStyle w:val="ListParagraph"/>
        <w:numPr>
          <w:ilvl w:val="0"/>
          <w:numId w:val="2"/>
        </w:numPr>
        <w:spacing w:after="70" w:line="270"/>
      </w:pPr>
      <w:r>
        <w:rPr>
          <w:color w:val="16263B"/>
          <w:sz w:val="22"/>
          <w:szCs w:val="22"/>
        </w:rPr>
        <w:t xml:space="preserve">Layer hotspots: metro stations, accommodation areas, and food spots near campuses.</w:t>
      </w:r>
    </w:p>
    <w:p>
      <w:pPr>
        <w:pStyle w:val="ListParagraph"/>
        <w:numPr>
          <w:ilvl w:val="0"/>
          <w:numId w:val="2"/>
        </w:numPr>
        <w:spacing w:after="70" w:line="270"/>
      </w:pPr>
      <w:r>
        <w:rPr>
          <w:color w:val="16263B"/>
          <w:sz w:val="22"/>
          <w:szCs w:val="22"/>
        </w:rPr>
        <w:t xml:space="preserve">Tapping a college pin opens key info and links to its College detail page.</w:t>
      </w:r>
    </w:p>
    <w:p>
      <w:pPr>
        <w:pStyle w:val="ListParagraph"/>
        <w:numPr>
          <w:ilvl w:val="0"/>
          <w:numId w:val="2"/>
        </w:numPr>
        <w:spacing w:after="70" w:line="270"/>
      </w:pPr>
      <w:r>
        <w:rPr>
          <w:color w:val="16263B"/>
          <w:sz w:val="22"/>
          <w:szCs w:val="22"/>
        </w:rPr>
        <w:t xml:space="preserve">Can be built on a standard maps provider; college coordinates and official websites can be sourced together from a places dataset.</w:t>
      </w:r>
    </w:p>
    <w:p>
      <w:pPr>
        <w:pStyle w:val="Heading2"/>
      </w:pPr>
      <w:r>
        <w:t xml:space="preserve">5.9  Official college website links</w:t>
      </w:r>
    </w:p>
    <w:p>
      <w:pPr>
        <w:spacing w:after="120" w:before="0" w:line="276"/>
      </w:pPr>
      <w:r>
        <w:rPr>
          <w:color w:val="16263B"/>
          <w:sz w:val="22"/>
          <w:szCs w:val="22"/>
        </w:rPr>
        <w:t xml:space="preserve">Every college links out to its official website.</w:t>
      </w:r>
    </w:p>
    <w:p>
      <w:pPr>
        <w:pStyle w:val="ListParagraph"/>
        <w:numPr>
          <w:ilvl w:val="0"/>
          <w:numId w:val="2"/>
        </w:numPr>
        <w:spacing w:after="70" w:line="270"/>
      </w:pPr>
      <w:r>
        <w:rPr>
          <w:color w:val="16263B"/>
          <w:sz w:val="22"/>
          <w:szCs w:val="22"/>
        </w:rPr>
        <w:t xml:space="preserve">Show the official website on each College detail page and map pin.</w:t>
      </w:r>
    </w:p>
    <w:p>
      <w:pPr>
        <w:pStyle w:val="ListParagraph"/>
        <w:numPr>
          <w:ilvl w:val="0"/>
          <w:numId w:val="2"/>
        </w:numPr>
        <w:spacing w:after="70" w:line="270"/>
      </w:pPr>
      <w:r>
        <w:rPr>
          <w:color w:val="16263B"/>
          <w:sz w:val="22"/>
          <w:szCs w:val="22"/>
        </w:rPr>
        <w:t xml:space="preserve">These links can be sourced and stored alongside the college / map data rather than maintained separately.</w:t>
      </w:r>
    </w:p>
    <w:p>
      <w:pPr>
        <w:pStyle w:val="Heading2"/>
      </w:pPr>
      <w:r>
        <w:t xml:space="preserve">5.10  College notice board</w:t>
      </w:r>
    </w:p>
    <w:p>
      <w:pPr>
        <w:spacing w:after="120" w:before="0" w:line="276"/>
      </w:pPr>
      <w:r>
        <w:rPr>
          <w:color w:val="16263B"/>
          <w:sz w:val="22"/>
          <w:szCs w:val="22"/>
        </w:rPr>
        <w:t xml:space="preserve">A notices feed on each college page so students can see important announcements.</w:t>
      </w:r>
    </w:p>
    <w:p>
      <w:pPr>
        <w:pStyle w:val="ListParagraph"/>
        <w:numPr>
          <w:ilvl w:val="0"/>
          <w:numId w:val="2"/>
        </w:numPr>
        <w:spacing w:after="70" w:line="270"/>
      </w:pPr>
      <w:r>
        <w:rPr>
          <w:color w:val="16263B"/>
          <w:sz w:val="22"/>
          <w:szCs w:val="22"/>
        </w:rPr>
        <w:t xml:space="preserve">Recommended approach: deep-link to each college’s official notices/announcements page (reliable, low-maintenance), plus a small set of manually curated key notices (admission dates, hostel forms).</w:t>
      </w:r>
    </w:p>
    <w:p>
      <w:pPr>
        <w:pStyle w:val="ListParagraph"/>
        <w:numPr>
          <w:ilvl w:val="0"/>
          <w:numId w:val="2"/>
        </w:numPr>
        <w:spacing w:after="70" w:line="270"/>
      </w:pPr>
      <w:r>
        <w:rPr>
          <w:color w:val="16263B"/>
          <w:sz w:val="22"/>
          <w:szCs w:val="22"/>
        </w:rPr>
        <w:t xml:space="preserve">Caution: automatically scraping live notices from ~70 different college websites is fragile (each site differs and changes) and may conflict with site terms. Avoid full auto-scraping for v1; prefer official deep-links + light curation.</w:t>
      </w:r>
    </w:p>
    <w:p>
      <w:pPr>
        <w:pStyle w:val="ListParagraph"/>
        <w:numPr>
          <w:ilvl w:val="0"/>
          <w:numId w:val="2"/>
        </w:numPr>
        <w:spacing w:after="70" w:line="270"/>
      </w:pPr>
      <w:r>
        <w:rPr>
          <w:color w:val="16263B"/>
          <w:sz w:val="22"/>
          <w:szCs w:val="22"/>
        </w:rPr>
        <w:t xml:space="preserve">Provide an admin way to post / curate the few high-importance notices.</w:t>
      </w:r>
    </w:p>
    <w:p>
      <w:pPr>
        <w:pStyle w:val="Heading2"/>
      </w:pPr>
      <w:r>
        <w:t xml:space="preserve">5.11  Community</w:t>
      </w:r>
    </w:p>
    <w:p>
      <w:pPr>
        <w:spacing w:after="120" w:before="0" w:line="276"/>
      </w:pPr>
      <w:r>
        <w:rPr>
          <w:color w:val="16263B"/>
          <w:sz w:val="22"/>
          <w:szCs w:val="22"/>
        </w:rPr>
        <w:t xml:space="preserve">The single space where students interact — ask questions, share experiences, and connect with future batchmates.</w:t>
      </w:r>
    </w:p>
    <w:p>
      <w:pPr>
        <w:pStyle w:val="ListParagraph"/>
        <w:numPr>
          <w:ilvl w:val="0"/>
          <w:numId w:val="2"/>
        </w:numPr>
        <w:spacing w:after="70" w:line="270"/>
      </w:pPr>
      <w:r>
        <w:rPr>
          <w:color w:val="16263B"/>
          <w:sz w:val="22"/>
          <w:szCs w:val="22"/>
        </w:rPr>
        <w:t xml:space="preserve">Discussion feed with posts, replies, and reactions; filterable by college / course.</w:t>
      </w:r>
    </w:p>
    <w:p>
      <w:pPr>
        <w:pStyle w:val="ListParagraph"/>
        <w:numPr>
          <w:ilvl w:val="0"/>
          <w:numId w:val="2"/>
        </w:numPr>
        <w:spacing w:after="70" w:line="270"/>
      </w:pPr>
      <w:r>
        <w:rPr>
          <w:color w:val="16263B"/>
          <w:sz w:val="22"/>
          <w:szCs w:val="22"/>
        </w:rPr>
        <w:t xml:space="preserve">Lets students find and connect with peers by college and course within the community itself (no separate finder tool).</w:t>
      </w:r>
    </w:p>
    <w:p>
      <w:pPr>
        <w:pStyle w:val="ListParagraph"/>
        <w:numPr>
          <w:ilvl w:val="0"/>
          <w:numId w:val="2"/>
        </w:numPr>
        <w:spacing w:after="70" w:line="270"/>
      </w:pPr>
      <w:r>
        <w:rPr>
          <w:color w:val="16263B"/>
          <w:sz w:val="22"/>
          <w:szCs w:val="22"/>
        </w:rPr>
        <w:t xml:space="preserve">Verified student profiles and active moderation are required, not optional.</w:t>
      </w:r>
    </w:p>
    <w:p>
      <w:pPr>
        <w:pStyle w:val="ListParagraph"/>
        <w:numPr>
          <w:ilvl w:val="0"/>
          <w:numId w:val="2"/>
        </w:numPr>
        <w:spacing w:after="70" w:line="270"/>
      </w:pPr>
      <w:r>
        <w:rPr>
          <w:color w:val="16263B"/>
          <w:sz w:val="22"/>
          <w:szCs w:val="22"/>
        </w:rPr>
        <w:t xml:space="preserve">Reporting, blocking, and clear community guidelines.</w:t>
      </w:r>
    </w:p>
    <w:p>
      <w:pPr>
        <w:pStyle w:val="ListParagraph"/>
        <w:numPr>
          <w:ilvl w:val="0"/>
          <w:numId w:val="2"/>
        </w:numPr>
        <w:spacing w:after="70" w:line="270"/>
      </w:pPr>
      <w:r>
        <w:rPr>
          <w:color w:val="16263B"/>
          <w:sz w:val="22"/>
          <w:szCs w:val="22"/>
        </w:rPr>
        <w:t xml:space="preserve">Because many users are minors, safety is designed in from day one: verification, moderation, and sensible privacy defaults.</w:t>
      </w:r>
    </w:p>
    <w:p>
      <w:pPr>
        <w:pStyle w:val="Heading2"/>
      </w:pPr>
      <w:r>
        <w:t xml:space="preserve">5.12  Ask-Me-Anything chatbot</w:t>
      </w:r>
    </w:p>
    <w:p>
      <w:pPr>
        <w:spacing w:after="120" w:before="0" w:line="276"/>
      </w:pPr>
      <w:r>
        <w:rPr>
          <w:color w:val="16263B"/>
          <w:sz w:val="22"/>
          <w:szCs w:val="22"/>
        </w:rPr>
        <w:t xml:space="preserve">An AI assistant where students can ask questions about colleges and admissions in natural language.</w:t>
      </w:r>
    </w:p>
    <w:p>
      <w:pPr>
        <w:pStyle w:val="ListParagraph"/>
        <w:numPr>
          <w:ilvl w:val="0"/>
          <w:numId w:val="2"/>
        </w:numPr>
        <w:spacing w:after="70" w:line="270"/>
      </w:pPr>
      <w:r>
        <w:rPr>
          <w:color w:val="16263B"/>
          <w:sz w:val="22"/>
          <w:szCs w:val="22"/>
        </w:rPr>
        <w:t xml:space="preserve">Answers must be grounded in the platform’s own verified seat/cutoff data and the official college sites — not free-form guessing — to protect credibility.</w:t>
      </w:r>
    </w:p>
    <w:p>
      <w:pPr>
        <w:pStyle w:val="ListParagraph"/>
        <w:numPr>
          <w:ilvl w:val="0"/>
          <w:numId w:val="2"/>
        </w:numPr>
        <w:spacing w:after="70" w:line="270"/>
      </w:pPr>
      <w:r>
        <w:rPr>
          <w:color w:val="16263B"/>
          <w:sz w:val="22"/>
          <w:szCs w:val="22"/>
        </w:rPr>
        <w:t xml:space="preserve">Each answer should show its source (e.g. the cutoff database or the official website).</w:t>
      </w:r>
    </w:p>
    <w:p>
      <w:pPr>
        <w:pStyle w:val="ListParagraph"/>
        <w:numPr>
          <w:ilvl w:val="0"/>
          <w:numId w:val="2"/>
        </w:numPr>
        <w:spacing w:after="70" w:line="270"/>
      </w:pPr>
      <w:r>
        <w:rPr>
          <w:color w:val="16263B"/>
          <w:sz w:val="22"/>
          <w:szCs w:val="22"/>
        </w:rPr>
        <w:t xml:space="preserve">Falls back gracefully (“I don’t have verified data on that yet”) rather than inventing figures.</w:t>
      </w:r>
    </w:p>
    <w:p>
      <w:pPr>
        <w:pStyle w:val="Heading1"/>
      </w:pPr>
      <w:r>
        <w:t xml:space="preserve">6. Data model (core entities)</w:t>
      </w:r>
    </w:p>
    <w:p>
      <w:pPr>
        <w:spacing w:after="120" w:before="0" w:line="276"/>
      </w:pPr>
      <w:r>
        <w:rPr>
          <w:color w:val="16263B"/>
          <w:sz w:val="22"/>
          <w:szCs w:val="22"/>
        </w:rPr>
        <w:t xml:space="preserve">A suggested structure the developer can refine. The key relationship is the “offering” — a specific course at a specific college — which carries the seats and cutoffs.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tcBorders>
              <w:top w:val="single" w:color="D9DEE5" w:sz="1"/>
              <w:left w:val="single" w:color="D9DEE5" w:sz="1"/>
              <w:bottom w:val="single" w:color="D9DEE5" w:sz="1"/>
              <w:right w:val="single" w:color="D9DEE5" w:sz="1"/>
            </w:tcBorders>
            <w:shd w:fill="1B4D8F" w:val="clear"/>
            <w:tcMar>
              <w:top w:type="dxa" w:w="80"/>
              <w:left w:type="dxa" w:w="120"/>
              <w:bottom w:type="dxa" w:w="80"/>
              <w:right w:type="dxa" w:w="120"/>
            </w:tcMar>
          </w:tcPr>
          <w:p>
            <w:pPr>
              <w:spacing w:after="0" w:line="264"/>
            </w:pPr>
            <w:r>
              <w:rPr>
                <w:b/>
                <w:bCs/>
                <w:color w:val="FFFFFF"/>
                <w:sz w:val="19"/>
                <w:szCs w:val="19"/>
              </w:rPr>
              <w:t xml:space="preserve">Entity</w:t>
            </w:r>
          </w:p>
        </w:tc>
        <w:tc>
          <w:tcPr>
            <w:tcW w:type="dxa" w:w="4560"/>
            <w:tcBorders>
              <w:top w:val="single" w:color="D9DEE5" w:sz="1"/>
              <w:left w:val="single" w:color="D9DEE5" w:sz="1"/>
              <w:bottom w:val="single" w:color="D9DEE5" w:sz="1"/>
              <w:right w:val="single" w:color="D9DEE5" w:sz="1"/>
            </w:tcBorders>
            <w:shd w:fill="1B4D8F" w:val="clear"/>
            <w:tcMar>
              <w:top w:type="dxa" w:w="80"/>
              <w:left w:type="dxa" w:w="120"/>
              <w:bottom w:type="dxa" w:w="80"/>
              <w:right w:type="dxa" w:w="120"/>
            </w:tcMar>
          </w:tcPr>
          <w:p>
            <w:pPr>
              <w:spacing w:after="0" w:line="264"/>
            </w:pPr>
            <w:r>
              <w:rPr>
                <w:b/>
                <w:bCs/>
                <w:color w:val="FFFFFF"/>
                <w:sz w:val="19"/>
                <w:szCs w:val="19"/>
              </w:rPr>
              <w:t xml:space="preserve">Key fields</w:t>
            </w:r>
          </w:p>
        </w:tc>
        <w:tc>
          <w:tcPr>
            <w:tcW w:type="dxa" w:w="2900"/>
            <w:tcBorders>
              <w:top w:val="single" w:color="D9DEE5" w:sz="1"/>
              <w:left w:val="single" w:color="D9DEE5" w:sz="1"/>
              <w:bottom w:val="single" w:color="D9DEE5" w:sz="1"/>
              <w:right w:val="single" w:color="D9DEE5" w:sz="1"/>
            </w:tcBorders>
            <w:shd w:fill="1B4D8F" w:val="clear"/>
            <w:tcMar>
              <w:top w:type="dxa" w:w="80"/>
              <w:left w:type="dxa" w:w="120"/>
              <w:bottom w:type="dxa" w:w="80"/>
              <w:right w:type="dxa" w:w="120"/>
            </w:tcMar>
          </w:tcPr>
          <w:p>
            <w:pPr>
              <w:spacing w:after="0" w:line="264"/>
            </w:pPr>
            <w:r>
              <w:rPr>
                <w:b/>
                <w:bCs/>
                <w:color w:val="FFFFFF"/>
                <w:sz w:val="19"/>
                <w:szCs w:val="19"/>
              </w:rPr>
              <w:t xml:space="preserve">Relationships</w:t>
            </w:r>
          </w:p>
        </w:tc>
      </w:tr>
      <w:tr>
        <w:tc>
          <w:tcPr>
            <w:tcW w:type="dxa" w:w="1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bCs/>
                <w:color w:val="16263B"/>
                <w:sz w:val="19"/>
                <w:szCs w:val="19"/>
              </w:rPr>
              <w:t xml:space="preserve">College</w:t>
            </w:r>
          </w:p>
        </w:tc>
        <w:tc>
          <w:tcPr>
            <w:tcW w:type="dxa" w:w="45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name, campus, type, facilities, official website URL, coordinates</w:t>
            </w:r>
          </w:p>
        </w:tc>
        <w:tc>
          <w:tcPr>
            <w:tcW w:type="dxa" w:w="2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has many Offerings; has many Notices</w:t>
            </w:r>
          </w:p>
        </w:tc>
      </w:tr>
      <w:tr>
        <w:tc>
          <w:tcPr>
            <w:tcW w:type="dxa" w:w="1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bCs/>
                <w:color w:val="16263B"/>
                <w:sz w:val="19"/>
                <w:szCs w:val="19"/>
              </w:rPr>
              <w:t xml:space="preserve">Program / course</w:t>
            </w:r>
          </w:p>
        </w:tc>
        <w:tc>
          <w:tcPr>
            <w:tcW w:type="dxa" w:w="45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name, subject group, eligibility (CUET subject combinations)</w:t>
            </w:r>
          </w:p>
        </w:tc>
        <w:tc>
          <w:tcPr>
            <w:tcW w:type="dxa" w:w="2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has many Offerings</w:t>
            </w:r>
          </w:p>
        </w:tc>
      </w:tr>
      <w:tr>
        <w:tc>
          <w:tcPr>
            <w:tcW w:type="dxa" w:w="1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bCs/>
                <w:color w:val="16263B"/>
                <w:sz w:val="19"/>
                <w:szCs w:val="19"/>
              </w:rPr>
              <w:t xml:space="preserve">Offering</w:t>
            </w:r>
          </w:p>
        </w:tc>
        <w:tc>
          <w:tcPr>
            <w:tcW w:type="dxa" w:w="45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college, program, total seats, seats by category, cutoffs by category &amp; round, year</w:t>
            </w:r>
          </w:p>
        </w:tc>
        <w:tc>
          <w:tcPr>
            <w:tcW w:type="dxa" w:w="2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links one College to one Program</w:t>
            </w:r>
          </w:p>
        </w:tc>
      </w:tr>
      <w:tr>
        <w:tc>
          <w:tcPr>
            <w:tcW w:type="dxa" w:w="1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bCs/>
                <w:color w:val="16263B"/>
                <w:sz w:val="19"/>
                <w:szCs w:val="19"/>
              </w:rPr>
              <w:t xml:space="preserve">Notice</w:t>
            </w:r>
          </w:p>
        </w:tc>
        <w:tc>
          <w:tcPr>
            <w:tcW w:type="dxa" w:w="45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title, date, link, importance, college</w:t>
            </w:r>
          </w:p>
        </w:tc>
        <w:tc>
          <w:tcPr>
            <w:tcW w:type="dxa" w:w="2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belongs to a College</w:t>
            </w:r>
          </w:p>
        </w:tc>
      </w:tr>
      <w:tr>
        <w:tc>
          <w:tcPr>
            <w:tcW w:type="dxa" w:w="1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bCs/>
                <w:color w:val="16263B"/>
                <w:sz w:val="19"/>
                <w:szCs w:val="19"/>
              </w:rPr>
              <w:t xml:space="preserve">Preference list</w:t>
            </w:r>
          </w:p>
        </w:tc>
        <w:tc>
          <w:tcPr>
            <w:tcW w:type="dxa" w:w="45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user, ordered list of college + program choices</w:t>
            </w:r>
          </w:p>
        </w:tc>
        <w:tc>
          <w:tcPr>
            <w:tcW w:type="dxa" w:w="2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belongs to a User; references Offerings</w:t>
            </w:r>
          </w:p>
        </w:tc>
      </w:tr>
      <w:tr>
        <w:tc>
          <w:tcPr>
            <w:tcW w:type="dxa" w:w="1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bCs/>
                <w:color w:val="16263B"/>
                <w:sz w:val="19"/>
                <w:szCs w:val="19"/>
              </w:rPr>
              <w:t xml:space="preserve">User</w:t>
            </w:r>
          </w:p>
        </w:tc>
        <w:tc>
          <w:tcPr>
            <w:tcW w:type="dxa" w:w="45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verified profile, college/course interest, role</w:t>
            </w:r>
          </w:p>
        </w:tc>
        <w:tc>
          <w:tcPr>
            <w:tcW w:type="dxa" w:w="2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posts in Community; owns a Preference list</w:t>
            </w:r>
          </w:p>
        </w:tc>
      </w:tr>
    </w:tbl>
    <w:p>
      <w:pPr>
        <w:spacing w:after="120" w:before="0" w:line="276"/>
      </w:pPr>
      <w:r>
        <w:rPr>
          <w:i/>
          <w:iCs/>
          <w:color w:val="5B6B7B"/>
          <w:sz w:val="19"/>
          <w:szCs w:val="19"/>
        </w:rPr>
        <w:t xml:space="preserve">The College predictor (5.6) reads from Offering cutoffs plus the student’s entered score at run time; it does not need to store any prediction.</w:t>
      </w:r>
    </w:p>
    <w:p>
      <w:pPr>
        <w:pStyle w:val="Heading1"/>
      </w:pPr>
      <w:r>
        <w:t xml:space="preserve">7. Cross-cutting requirements</w:t>
      </w:r>
    </w:p>
    <w:p>
      <w:pPr>
        <w:pStyle w:val="ListParagraph"/>
        <w:numPr>
          <w:ilvl w:val="0"/>
          <w:numId w:val="2"/>
        </w:numPr>
        <w:spacing w:after="70" w:line="270"/>
      </w:pPr>
      <w:r>
        <w:rPr>
          <w:b/>
          <w:bCs/>
          <w:color w:val="16263B"/>
          <w:sz w:val="22"/>
          <w:szCs w:val="22"/>
        </w:rPr>
        <w:t xml:space="preserve">Data sourcing &amp; updates — </w:t>
      </w:r>
      <w:r>
        <w:rPr>
          <w:color w:val="16263B"/>
          <w:sz w:val="22"/>
          <w:szCs w:val="22"/>
        </w:rPr>
        <w:t xml:space="preserve">define a repeatable process to ingest official DU/CSAS seat and cutoff data each cycle, with a clear “last updated” date stored per data set.</w:t>
      </w:r>
    </w:p>
    <w:p>
      <w:pPr>
        <w:pStyle w:val="ListParagraph"/>
        <w:numPr>
          <w:ilvl w:val="0"/>
          <w:numId w:val="2"/>
        </w:numPr>
        <w:spacing w:after="70" w:line="270"/>
      </w:pPr>
      <w:r>
        <w:rPr>
          <w:b/>
          <w:bCs/>
          <w:color w:val="16263B"/>
          <w:sz w:val="22"/>
          <w:szCs w:val="22"/>
        </w:rPr>
        <w:t xml:space="preserve">Credibility / citations — </w:t>
      </w:r>
      <w:r>
        <w:rPr>
          <w:color w:val="16263B"/>
          <w:sz w:val="22"/>
          <w:szCs w:val="22"/>
        </w:rPr>
        <w:t xml:space="preserve">surface the source and date wherever official figures appear.</w:t>
      </w:r>
    </w:p>
    <w:p>
      <w:pPr>
        <w:pStyle w:val="ListParagraph"/>
        <w:numPr>
          <w:ilvl w:val="0"/>
          <w:numId w:val="2"/>
        </w:numPr>
        <w:spacing w:after="70" w:line="270"/>
      </w:pPr>
      <w:r>
        <w:rPr>
          <w:b/>
          <w:bCs/>
          <w:color w:val="16263B"/>
          <w:sz w:val="22"/>
          <w:szCs w:val="22"/>
        </w:rPr>
        <w:t xml:space="preserve">Search &amp; filters — </w:t>
      </w:r>
      <w:r>
        <w:rPr>
          <w:color w:val="16263B"/>
          <w:sz w:val="22"/>
          <w:szCs w:val="22"/>
        </w:rPr>
        <w:t xml:space="preserve">fast, forgiving search across colleges and courses; consistent filter behaviour across modules.</w:t>
      </w:r>
    </w:p>
    <w:p>
      <w:pPr>
        <w:pStyle w:val="ListParagraph"/>
        <w:numPr>
          <w:ilvl w:val="0"/>
          <w:numId w:val="2"/>
        </w:numPr>
        <w:spacing w:after="70" w:line="270"/>
      </w:pPr>
      <w:r>
        <w:rPr>
          <w:b/>
          <w:bCs/>
          <w:color w:val="16263B"/>
          <w:sz w:val="22"/>
          <w:szCs w:val="22"/>
        </w:rPr>
        <w:t xml:space="preserve">Mobile &amp; responsive — </w:t>
      </w:r>
      <w:r>
        <w:rPr>
          <w:color w:val="16263B"/>
          <w:sz w:val="22"/>
          <w:szCs w:val="22"/>
        </w:rPr>
        <w:t xml:space="preserve">every screen must work on a phone first.</w:t>
      </w:r>
    </w:p>
    <w:p>
      <w:pPr>
        <w:pStyle w:val="ListParagraph"/>
        <w:numPr>
          <w:ilvl w:val="0"/>
          <w:numId w:val="2"/>
        </w:numPr>
        <w:spacing w:after="70" w:line="270"/>
      </w:pPr>
      <w:r>
        <w:rPr>
          <w:b/>
          <w:bCs/>
          <w:color w:val="16263B"/>
          <w:sz w:val="22"/>
          <w:szCs w:val="22"/>
        </w:rPr>
        <w:t xml:space="preserve">Accessibility — </w:t>
      </w:r>
      <w:r>
        <w:rPr>
          <w:color w:val="16263B"/>
          <w:sz w:val="22"/>
          <w:szCs w:val="22"/>
        </w:rPr>
        <w:t xml:space="preserve">readable contrast, keyboard navigation, sensible tap targets.</w:t>
      </w:r>
    </w:p>
    <w:p>
      <w:pPr>
        <w:pStyle w:val="ListParagraph"/>
        <w:numPr>
          <w:ilvl w:val="0"/>
          <w:numId w:val="2"/>
        </w:numPr>
        <w:spacing w:after="70" w:line="270"/>
      </w:pPr>
      <w:r>
        <w:rPr>
          <w:b/>
          <w:bCs/>
          <w:color w:val="16263B"/>
          <w:sz w:val="22"/>
          <w:szCs w:val="22"/>
        </w:rPr>
        <w:t xml:space="preserve">Admin / CMS — </w:t>
      </w:r>
      <w:r>
        <w:rPr>
          <w:color w:val="16263B"/>
          <w:sz w:val="22"/>
          <w:szCs w:val="22"/>
        </w:rPr>
        <w:t xml:space="preserve">a back-office way to update data, curate notices, and moderate community content.</w:t>
      </w:r>
    </w:p>
    <w:p>
      <w:pPr>
        <w:pStyle w:val="ListParagraph"/>
        <w:numPr>
          <w:ilvl w:val="0"/>
          <w:numId w:val="2"/>
        </w:numPr>
        <w:spacing w:after="70" w:line="270"/>
      </w:pPr>
      <w:r>
        <w:rPr>
          <w:b/>
          <w:bCs/>
          <w:color w:val="16263B"/>
          <w:sz w:val="22"/>
          <w:szCs w:val="22"/>
        </w:rPr>
        <w:t xml:space="preserve">Safety &amp; moderation — </w:t>
      </w:r>
      <w:r>
        <w:rPr>
          <w:color w:val="16263B"/>
          <w:sz w:val="22"/>
          <w:szCs w:val="22"/>
        </w:rPr>
        <w:t xml:space="preserve">verification, reporting, blocking, and minor-appropriate defaults for the community.</w:t>
      </w:r>
    </w:p>
    <w:p>
      <w:pPr>
        <w:pStyle w:val="ListParagraph"/>
        <w:numPr>
          <w:ilvl w:val="0"/>
          <w:numId w:val="2"/>
        </w:numPr>
        <w:spacing w:after="70" w:line="270"/>
      </w:pPr>
      <w:r>
        <w:rPr>
          <w:b/>
          <w:bCs/>
          <w:color w:val="16263B"/>
          <w:sz w:val="22"/>
          <w:szCs w:val="22"/>
        </w:rPr>
        <w:t xml:space="preserve">Performance &amp; analytics — </w:t>
      </w:r>
      <w:r>
        <w:rPr>
          <w:color w:val="16263B"/>
          <w:sz w:val="22"/>
          <w:szCs w:val="22"/>
        </w:rPr>
        <w:t xml:space="preserve">fast loads on patchy mobile networks; basic usage analytics.</w:t>
      </w:r>
    </w:p>
    <w:p>
      <w:pPr>
        <w:pStyle w:val="Heading1"/>
      </w:pPr>
      <w:r>
        <w:t xml:space="preserve">8. Suggested build order</w:t>
      </w:r>
    </w:p>
    <w:p>
      <w:pPr>
        <w:spacing w:after="120" w:before="0" w:line="276"/>
      </w:pPr>
      <w:r>
        <w:rPr>
          <w:color w:val="16263B"/>
          <w:sz w:val="22"/>
          <w:szCs w:val="22"/>
        </w:rPr>
        <w:t xml:space="preserve">Ship the high-value decision and orientation tools first; add the heavier community and chatbot features once the data foundation is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D9DEE5" w:sz="1"/>
              <w:left w:val="single" w:color="D9DEE5" w:sz="1"/>
              <w:bottom w:val="single" w:color="D9DEE5" w:sz="1"/>
              <w:right w:val="single" w:color="D9DEE5" w:sz="1"/>
            </w:tcBorders>
            <w:shd w:fill="1B4D8F" w:val="clear"/>
            <w:tcMar>
              <w:top w:type="dxa" w:w="80"/>
              <w:left w:type="dxa" w:w="120"/>
              <w:bottom w:type="dxa" w:w="80"/>
              <w:right w:type="dxa" w:w="120"/>
            </w:tcMar>
          </w:tcPr>
          <w:p>
            <w:pPr>
              <w:spacing w:after="0" w:line="264"/>
            </w:pPr>
            <w:r>
              <w:rPr>
                <w:b/>
                <w:bCs/>
                <w:color w:val="FFFFFF"/>
                <w:sz w:val="19"/>
                <w:szCs w:val="19"/>
              </w:rPr>
              <w:t xml:space="preserve">Phase</w:t>
            </w:r>
          </w:p>
        </w:tc>
        <w:tc>
          <w:tcPr>
            <w:tcW w:type="dxa" w:w="4760"/>
            <w:tcBorders>
              <w:top w:val="single" w:color="D9DEE5" w:sz="1"/>
              <w:left w:val="single" w:color="D9DEE5" w:sz="1"/>
              <w:bottom w:val="single" w:color="D9DEE5" w:sz="1"/>
              <w:right w:val="single" w:color="D9DEE5" w:sz="1"/>
            </w:tcBorders>
            <w:shd w:fill="1B4D8F" w:val="clear"/>
            <w:tcMar>
              <w:top w:type="dxa" w:w="80"/>
              <w:left w:type="dxa" w:w="120"/>
              <w:bottom w:type="dxa" w:w="80"/>
              <w:right w:type="dxa" w:w="120"/>
            </w:tcMar>
          </w:tcPr>
          <w:p>
            <w:pPr>
              <w:spacing w:after="0" w:line="264"/>
            </w:pPr>
            <w:r>
              <w:rPr>
                <w:b/>
                <w:bCs/>
                <w:color w:val="FFFFFF"/>
                <w:sz w:val="19"/>
                <w:szCs w:val="19"/>
              </w:rPr>
              <w:t xml:space="preserve">Modules</w:t>
            </w:r>
          </w:p>
        </w:tc>
        <w:tc>
          <w:tcPr>
            <w:tcW w:type="dxa" w:w="2900"/>
            <w:tcBorders>
              <w:top w:val="single" w:color="D9DEE5" w:sz="1"/>
              <w:left w:val="single" w:color="D9DEE5" w:sz="1"/>
              <w:bottom w:val="single" w:color="D9DEE5" w:sz="1"/>
              <w:right w:val="single" w:color="D9DEE5" w:sz="1"/>
            </w:tcBorders>
            <w:shd w:fill="1B4D8F" w:val="clear"/>
            <w:tcMar>
              <w:top w:type="dxa" w:w="80"/>
              <w:left w:type="dxa" w:w="120"/>
              <w:bottom w:type="dxa" w:w="80"/>
              <w:right w:type="dxa" w:w="120"/>
            </w:tcMar>
          </w:tcPr>
          <w:p>
            <w:pPr>
              <w:spacing w:after="0" w:line="264"/>
            </w:pPr>
            <w:r>
              <w:rPr>
                <w:b/>
                <w:bCs/>
                <w:color w:val="FFFFFF"/>
                <w:sz w:val="19"/>
                <w:szCs w:val="19"/>
              </w:rPr>
              <w:t xml:space="preserve">Why this order</w:t>
            </w:r>
          </w:p>
        </w:tc>
      </w:tr>
      <w:tr>
        <w:tc>
          <w:tcPr>
            <w:tcW w:type="dxa" w:w="17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bCs/>
                <w:color w:val="16263B"/>
                <w:sz w:val="19"/>
                <w:szCs w:val="19"/>
              </w:rPr>
              <w:t xml:space="preserve">Phase 1 (MVP)</w:t>
            </w:r>
          </w:p>
        </w:tc>
        <w:tc>
          <w:tcPr>
            <w:tcW w:type="dxa" w:w="47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Home &amp; search, College explorer, College detail, Cutoffs &amp; seats, Eligibility, College predictor, Preference sheet maker, Map, Official website links</w:t>
            </w:r>
          </w:p>
        </w:tc>
        <w:tc>
          <w:tcPr>
            <w:tcW w:type="dxa" w:w="2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The core post-CUET decision toolkit — reliable seats, cutoffs, criteria, planning, and orientation. Highest value, lowest risk.</w:t>
            </w:r>
          </w:p>
        </w:tc>
      </w:tr>
      <w:tr>
        <w:tc>
          <w:tcPr>
            <w:tcW w:type="dxa" w:w="17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bCs/>
                <w:color w:val="16263B"/>
                <w:sz w:val="19"/>
                <w:szCs w:val="19"/>
              </w:rPr>
              <w:t xml:space="preserve">Phase 2</w:t>
            </w:r>
          </w:p>
        </w:tc>
        <w:tc>
          <w:tcPr>
            <w:tcW w:type="dxa" w:w="476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Notice board, Community, AMA chatbot</w:t>
            </w:r>
          </w:p>
        </w:tc>
        <w:tc>
          <w:tcPr>
            <w:tcW w:type="dxa" w:w="290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tcPr>
          <w:p>
            <w:pPr>
              <w:spacing w:after="0" w:line="264"/>
            </w:pPr>
            <w:r>
              <w:rPr>
                <w:b w:val="false"/>
                <w:bCs w:val="false"/>
                <w:color w:val="16263B"/>
                <w:sz w:val="19"/>
                <w:szCs w:val="19"/>
              </w:rPr>
              <w:t xml:space="preserve">Adds stickiness once the data foundation is solid. Enable the community’s peer-connection features only after verification and moderation are in place.</w:t>
            </w:r>
          </w:p>
        </w:tc>
      </w:tr>
    </w:tbl>
    <w:p>
      <w:pPr>
        <w:pStyle w:val="Heading1"/>
      </w:pPr>
      <w:r>
        <w:t xml:space="preserve">9. Open questions for the developer</w:t>
      </w:r>
    </w:p>
    <w:p>
      <w:pPr>
        <w:pStyle w:val="ListParagraph"/>
        <w:numPr>
          <w:ilvl w:val="0"/>
          <w:numId w:val="2"/>
        </w:numPr>
        <w:spacing w:after="70" w:line="270"/>
      </w:pPr>
      <w:r>
        <w:rPr>
          <w:color w:val="16263B"/>
          <w:sz w:val="22"/>
          <w:szCs w:val="22"/>
        </w:rPr>
        <w:t xml:space="preserve">What is the most reliable available source/format for official CSAS seat and cutoff data, and how often can it be refreshed?</w:t>
      </w:r>
    </w:p>
    <w:p>
      <w:pPr>
        <w:pStyle w:val="ListParagraph"/>
        <w:numPr>
          <w:ilvl w:val="0"/>
          <w:numId w:val="2"/>
        </w:numPr>
        <w:spacing w:after="70" w:line="270"/>
      </w:pPr>
      <w:r>
        <w:rPr>
          <w:color w:val="16263B"/>
          <w:sz w:val="22"/>
          <w:szCs w:val="22"/>
        </w:rPr>
        <w:t xml:space="preserve">Maps provider and any usage/cost limits for plotting all colleges and hotspots.</w:t>
      </w:r>
    </w:p>
    <w:p>
      <w:pPr>
        <w:pStyle w:val="ListParagraph"/>
        <w:numPr>
          <w:ilvl w:val="0"/>
          <w:numId w:val="2"/>
        </w:numPr>
        <w:spacing w:after="70" w:line="270"/>
      </w:pPr>
      <w:r>
        <w:rPr>
          <w:color w:val="16263B"/>
          <w:sz w:val="22"/>
          <w:szCs w:val="22"/>
        </w:rPr>
        <w:t xml:space="preserve">Preferred stack (the data tools have been prototyped in React) and hosting.</w:t>
      </w:r>
    </w:p>
    <w:p>
      <w:pPr>
        <w:pStyle w:val="ListParagraph"/>
        <w:numPr>
          <w:ilvl w:val="0"/>
          <w:numId w:val="2"/>
        </w:numPr>
        <w:spacing w:after="70" w:line="270"/>
      </w:pPr>
      <w:r>
        <w:rPr>
          <w:color w:val="16263B"/>
          <w:sz w:val="22"/>
          <w:szCs w:val="22"/>
        </w:rPr>
        <w:t xml:space="preserve">Approach to user verification and moderation for the community.</w:t>
      </w:r>
    </w:p>
    <w:p>
      <w:pPr>
        <w:pStyle w:val="ListParagraph"/>
        <w:numPr>
          <w:ilvl w:val="0"/>
          <w:numId w:val="2"/>
        </w:numPr>
        <w:spacing w:after="70" w:line="270"/>
      </w:pPr>
      <w:r>
        <w:rPr>
          <w:color w:val="16263B"/>
          <w:sz w:val="22"/>
          <w:szCs w:val="22"/>
        </w:rPr>
        <w:t xml:space="preserve">Export format for the preference sheet (PDF, shareable link, or simple printable list).</w:t>
      </w:r>
    </w:p>
    <w:p>
      <w:pPr>
        <w:spacing w:before="240"/>
      </w:pPr>
      <w:r>
        <w:rPr>
          <w:i/>
          <w:iCs/>
          <w:color w:val="5B6B7B"/>
          <w:sz w:val="18"/>
          <w:szCs w:val="18"/>
        </w:rPr>
        <w:t xml:space="preserve">Note on visuals: the accompanying wireframe file uses a neutral placeholder palette and font. Final colours and typography are to follow the CUET Pro brand and will be supplied separately. Any specific numbers used in prototypes so far are illustrative placeholders — all live seat, cutoff, and eligibility data must be sourced from official DU / CSAS publications before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6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4D8F"/>
      <w:sz w:val="30"/>
      <w:szCs w:val="30"/>
    </w:rPr>
  </w:style>
  <w:style w:type="paragraph" w:styleId="Heading2">
    <w:name w:val="Heading 2"/>
    <w:basedOn w:val="Normal"/>
    <w:next w:val="Normal"/>
    <w:qFormat/>
    <w:pPr>
      <w:spacing w:after="90" w:before="200"/>
      <w:outlineLvl w:val="1"/>
    </w:pPr>
    <w:rPr>
      <w:rFonts w:ascii="Arial" w:cs="Arial" w:eastAsia="Arial" w:hAnsi="Arial"/>
      <w:b/>
      <w:bCs/>
      <w:color w:val="1626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2026-06-14T19:46:54.350Z</dcterms:created>
  <dcterms:modified xsi:type="dcterms:W3CDTF">2026-06-14T19:46:54.364Z</dcterms:modified>
</cp:coreProperties>
</file>

<file path=docProps/custom.xml><?xml version="1.0" encoding="utf-8"?>
<Properties xmlns="http://schemas.openxmlformats.org/officeDocument/2006/custom-properties" xmlns:vt="http://schemas.openxmlformats.org/officeDocument/2006/docPropsVTypes"/>
</file>