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(пояснительная записка)</w:t>
      </w:r>
    </w:p>
    <w:p>
      <w:pPr>
        <w:jc w:val="center"/>
      </w:pPr>
      <w:r>
        <w:t>по проекту «CRM/SRM сервисного центра ремонта техники»</w:t>
      </w:r>
    </w:p>
    <w:p/>
    <w:p>
      <w:r>
        <w:t>Студент: ________________________________</w:t>
      </w:r>
    </w:p>
    <w:p>
      <w:r>
        <w:t>Группа: _________________________________</w:t>
      </w:r>
    </w:p>
    <w:p>
      <w:r>
        <w:t>Руководитель: ___________________________</w:t>
      </w:r>
    </w:p>
    <w:p>
      <w:r>
        <w:t>Город: _________________________________</w:t>
      </w:r>
    </w:p>
    <w:p>
      <w:r>
        <w:t>Год: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ind w:firstLine="0"/>
        <w:sectPr>
          <w:footerReference w:type="default" r:id="rId10"/>
          <w:pgSz w:w="12240" w:h="15840"/>
          <w:pgMar w:top="1134" w:right="850" w:bottom="1134" w:left="1701" w:header="850" w:footer="709" w:gutter="0"/>
          <w:cols w:space="720"/>
          <w:docGrid w:linePitch="360"/>
        </w:sectPr>
      </w:pPr>
      <w:r>
        <w:t>Примечание: в рамках демонстрационного отчёта оглавление приводится в текстовом виде. При необходимости в Microsoft Word можно вставить автоматическое оглавление по стилям заголовков.</w:t>
      </w:r>
    </w:p>
    <w:p>
      <w:pPr>
        <w:pStyle w:val="Heading1"/>
        <w:ind w:firstLine="0"/>
      </w:pPr>
      <w:r>
        <w:t>Введение</w:t>
      </w:r>
    </w:p>
    <w:p>
      <w:pPr>
        <w:pStyle w:val="ListBullet"/>
      </w:pPr>
      <w:r>
        <w:t>Глава 1. Теоретические основы интеллектуального анализа нарушений в CRM/SRM</w:t>
      </w:r>
    </w:p>
    <w:p>
      <w:pPr>
        <w:pStyle w:val="Heading2"/>
        <w:ind w:firstLine="0"/>
      </w:pPr>
      <w:r>
        <w:t>1.1. CRM и SRM: цели, процессы и показатели эффективности</w:t>
      </w:r>
    </w:p>
    <w:p>
      <w:pPr>
        <w:pStyle w:val="Heading2"/>
        <w:ind w:firstLine="0"/>
      </w:pPr>
      <w:r>
        <w:t>1.2. Онтологические модели правил и подходы к управлению знаниями</w:t>
      </w:r>
    </w:p>
    <w:p>
      <w:pPr>
        <w:pStyle w:val="Heading2"/>
        <w:ind w:firstLine="0"/>
      </w:pPr>
      <w:r>
        <w:t>1.3. Интеллектуальные агенты и мультиагентные системы в задачах контроля и риска</w:t>
      </w:r>
    </w:p>
    <w:p>
      <w:pPr>
        <w:pStyle w:val="ListBullet"/>
      </w:pPr>
      <w:r>
        <w:t>Глава 2. Предметная область: сервисный центр ремонта техники</w:t>
      </w:r>
    </w:p>
    <w:p>
      <w:pPr>
        <w:pStyle w:val="Heading2"/>
        <w:ind w:firstLine="0"/>
      </w:pPr>
      <w:r>
        <w:t>2.1. Бизнес‑процессы сервисного центра и точки контроля</w:t>
      </w:r>
    </w:p>
    <w:p>
      <w:pPr>
        <w:pStyle w:val="Heading2"/>
        <w:ind w:firstLine="0"/>
      </w:pPr>
      <w:r>
        <w:t>2.2. Требования к системе и ограничения локального внедрения</w:t>
      </w:r>
    </w:p>
    <w:p>
      <w:pPr>
        <w:pStyle w:val="Heading2"/>
        <w:ind w:firstLine="0"/>
      </w:pPr>
      <w:r>
        <w:t>2.3. Модель данных и набор нормативных правил/нарушений</w:t>
      </w:r>
    </w:p>
    <w:p>
      <w:pPr>
        <w:pStyle w:val="ListBullet"/>
      </w:pPr>
      <w:r>
        <w:t>Глава 3. Разработка CRM/SRM‑прототипа</w:t>
      </w:r>
    </w:p>
    <w:p>
      <w:pPr>
        <w:pStyle w:val="Heading2"/>
        <w:ind w:firstLine="0"/>
      </w:pPr>
      <w:r>
        <w:t>3.1. Архитектура и технологии реализации (Python, FastAPI, SQLite)</w:t>
      </w:r>
    </w:p>
    <w:p>
      <w:pPr>
        <w:pStyle w:val="Heading2"/>
        <w:ind w:firstLine="0"/>
      </w:pPr>
      <w:r>
        <w:t>3.2. Реализация модулей (авторизация, заказы, склад, поставщики, отчёты)</w:t>
      </w:r>
    </w:p>
    <w:p>
      <w:pPr>
        <w:pStyle w:val="Heading2"/>
        <w:ind w:firstLine="0"/>
      </w:pPr>
      <w:r>
        <w:t>3.3. Агентный анализ, отчётность, верификация и вычислительный эксперимент</w:t>
      </w:r>
    </w:p>
    <w:p>
      <w:pPr>
        <w:pStyle w:val="Heading1"/>
        <w:ind w:firstLine="0"/>
      </w:pPr>
      <w:r>
        <w:t>Заключение</w:t>
      </w:r>
    </w:p>
    <w:p>
      <w:pPr>
        <w:pStyle w:val="Heading1"/>
        <w:ind w:firstLine="0"/>
      </w:pPr>
      <w:r>
        <w:t>Список источников</w:t>
      </w:r>
    </w:p>
    <w:p>
      <w:pPr>
        <w:pStyle w:val="ListBullet"/>
      </w:pPr>
      <w:r>
        <w:t>Приложения</w:t>
      </w:r>
    </w:p>
    <w:p>
      <w:r>
        <w:br w:type="page"/>
      </w:r>
    </w:p>
    <w:p>
      <w:pPr>
        <w:pStyle w:val="Heading1"/>
        <w:ind w:firstLine="0"/>
      </w:pPr>
      <w:r>
        <w:t>Введение</w:t>
      </w:r>
    </w:p>
    <w:p>
      <w:pPr>
        <w:ind w:firstLine="709"/>
      </w:pPr>
      <w:r>
        <w:t>Современный сервисный центр по ремонту техники одновременно решает задачи операционного управления (приёмка устройств, диагностика, ремонт, выдача, коммуникации с клиентами) и задачи снабжения (закупка и учёт запчастей, работа с поставщиками, контроль сроков и гарантий). При этом часть проблем носит нормативный характер: превышение бюджета закупки, работа с не одобренным поставщиком, просрочки поставки, отсутствие гарантии, а также повторяющиеся нарушения у одного поставщика. Для повышения управляемости и снижения рисков целесообразно объединять CRM‑контур (работа с клиентами и заказами) и SRM‑контур (управление поставщиками и закупками) в единой системе.</w:t>
      </w:r>
    </w:p>
    <w:p>
      <w:pPr>
        <w:ind w:firstLine="709"/>
      </w:pPr>
      <w:r>
        <w:t>Целью данной работы является разработка и описание локально разворачиваемого прототипа CRM/SRM‑системы для сервисного центра ремонта техники, включающей онтологическую модель правил, мультиагентный анализ нарушений, формирование отчётов и визуализаций, а также веб‑интерфейс с разграничением ролей.</w:t>
      </w:r>
    </w:p>
    <w:p>
      <w:pPr>
        <w:ind w:firstLine="709"/>
      </w:pPr>
      <w:r>
        <w:t>Объект исследования: процессы сервисного центра и цепочка снабжения запчастями.</w:t>
      </w:r>
    </w:p>
    <w:p>
      <w:pPr>
        <w:ind w:firstLine="709"/>
      </w:pPr>
      <w:r>
        <w:t>Предмет исследования: методы формализации нормативных правил, агентные методы анализа нарушений, а также архитектура и реализация программной системы для поддержки принятия решений.</w:t>
      </w:r>
    </w:p>
    <w:p>
      <w:pPr>
        <w:ind w:firstLine="709"/>
      </w:pPr>
      <w:r>
        <w:t>Задачи работы: (1) обосновать теоретические основы CRM/SRM и агентного анализа; (2) описать предметную область ремонта техники и сформировать требования; (3) реализовать прототип с хранением данных в SQLite, веб‑интерфейсом и CI; (4) обеспечить отчётность, верификацию на тестовых данных и демонстрационный вычислительный эксперимент.</w:t>
      </w:r>
    </w:p>
    <w:p>
      <w:pPr>
        <w:ind w:firstLine="709"/>
      </w:pPr>
      <w:r>
        <w:t>Методы исследования: анализ литературы и стандартов качества/рисков, формализация правил в виде онтологии, проектирование модульной архитектуры, разработка и тестирование прототипа.</w:t>
      </w:r>
    </w:p>
    <w:p>
      <w:pPr>
        <w:pStyle w:val="Heading1"/>
      </w:pPr>
      <w:r>
        <w:t>Глава 1. Теоретические основы интеллектуального анализа нарушений в CRM/SRM</w:t>
      </w:r>
    </w:p>
    <w:p>
      <w:pPr>
        <w:pStyle w:val="Heading2"/>
        <w:ind w:firstLine="0"/>
      </w:pPr>
      <w:r>
        <w:t>1.1. CRM и SRM: цели, процессы и показатели эффективности</w:t>
      </w:r>
    </w:p>
    <w:p>
      <w:pPr>
        <w:ind w:firstLine="709"/>
      </w:pPr>
      <w:r>
        <w:t>CRM (Customer Relationship Management) рассматривается как управленческий и технологический подход к сбору, хранению и использованию данных о клиентах и взаимодействиях с ними для повышения качества сервиса и удержания клиентов. В контексте сервисного центра CRM опирается на карточки клиентов и устройств, историю ремонтов, статусы заказов, расчёты с клиентами и внутренние задачи персонала.</w:t>
      </w:r>
    </w:p>
    <w:p>
      <w:pPr>
        <w:ind w:firstLine="709"/>
      </w:pPr>
      <w:r>
        <w:t>SRM (Supplier Relationship Management) — системный подход к оценке и развитию отношений с поставщиками, ориентированный на качество, стоимость, сроки поставки и снижение рисков снабжения. SRM включает сегментацию поставщиков, управление одобрением/риском, контроль закупок и анализ инцидентов по цепочке поставок. Определение SRM и её цели широко описаны в отраслевых источниках. [14]</w:t>
      </w:r>
    </w:p>
    <w:p>
      <w:pPr>
        <w:ind w:firstLine="709"/>
      </w:pPr>
      <w:r>
        <w:t>Интеграция CRM и SRM даёт эффект «сквозного контроля»: нарушения в закупках и поставках прямо влияют на сроки ремонта и удовлетворённость клиента. Например, закупка дисплея у не одобренного поставщика повышает риск рекламаций, а просрочка поставки формирует задержку выполнения заказа, что ведёт к потерям в репутации и дополнительным затратам.</w:t>
      </w:r>
    </w:p>
    <w:p>
      <w:pPr>
        <w:ind w:firstLine="709"/>
      </w:pPr>
      <w:r>
        <w:t>Для оценки эффективности CRM/SRM применяются количественные показатели: время выполнения заказа, доля просроченных ремонтов, уровень повторных обращений, средний чек, оборачиваемость складских запасов, доля закупок с превышением бюджета, доля поставок с просрочкой, частота нарушений у поставщиков и т.п. Набор KPI должен быть согласован с целями бизнеса и доступностью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Группа показателей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Примеры метрик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Операции ремонта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время цикла заказа; доля просрочек; конверсия диагностика→ремонт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характеризует управление процессом ремонта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Финансы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выручка; расходы на закупки; прибыль; задолженность клиентов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определяет экономический результат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Склад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оборачиваемость; доля позиций ниже min_stock; списания в заказы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связано с доступностью запчастей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SRM/Риски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превышение бюджета; просрочки поставок; низкий рейтинг; повторяемость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показывает качество снабжения и контроля</w:t>
            </w:r>
          </w:p>
        </w:tc>
      </w:tr>
    </w:tbl>
    <w:p>
      <w:pPr>
        <w:ind w:firstLine="709"/>
      </w:pPr>
      <w:r>
        <w:t>CRM/SRM как единая система управления.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CRM/SRM как единая система управления.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CRM/SRM как единая система управления.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CRM/SRM как единая система управления.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CRM/SRM как единая система управления.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CRM/SRM как единая система управления.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CRM/SRM как единая система управления.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CRM/SRM как единая система управления.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CRM/SRM как единая система управления.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CRM/SRM как единая система управления.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CRM/SRM как единая система управления.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CRM/SRM как единая система управления.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CRM/SRM как единая система управления.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CRM/SRM как единая система управления.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CRM/SRM как единая система управления.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pStyle w:val="Heading2"/>
        <w:ind w:firstLine="0"/>
      </w:pPr>
      <w:r>
        <w:t>1.2. Онтологические модели правил и подходы к управлению знаниями</w:t>
      </w:r>
    </w:p>
    <w:p>
      <w:pPr>
        <w:ind w:firstLine="709"/>
      </w:pPr>
      <w:r>
        <w:t>При построении системы контроля нарушений ключевой задачей является формализация правил. В простейшем случае правила задаются в виде «жёстко прошитых» проверок в коде, однако это усложняет поддержку и снижает прозрачность. Альтернативой является выделение слоя правил, отделённого от бизнес‑логики: например, хранение правил в JSON или в таблицах базы данных и их интерпретация аналитическим модулем.</w:t>
      </w:r>
    </w:p>
    <w:p>
      <w:pPr>
        <w:ind w:firstLine="709"/>
      </w:pPr>
      <w:r>
        <w:t>Онтология, в инженерном смысле, понимается как спецификация разделяемой концептуализации предметной области (классы, отношения, ограничения), что позволяет унифицировать терминологию и обеспечить повторное использование правил. Данный подход восходит к работам Т. Грубера. [3]</w:t>
      </w:r>
    </w:p>
    <w:p>
      <w:pPr>
        <w:ind w:firstLine="709"/>
      </w:pPr>
      <w:r>
        <w:t>Методология разработки онтологии включает постановку целей, определение терминов, построение иерархий, описание свойств и ограничений, а также итеративную проверку на данных. Практическое руководство по созданию онтологии изложено в «Ontology Development 101». [4]</w:t>
      </w:r>
    </w:p>
    <w:p>
      <w:pPr>
        <w:ind w:firstLine="709"/>
      </w:pPr>
      <w:r>
        <w:t>В рамках семантических технологий широко применяется стандарт OWL 2 (W3C), определяющий язык описания онтологий. [5] Для валидации и контроля целостности данных существуют подходы, близкие по смыслу к нормативным проверкам, например SHACL. [6] В данной работе используются упрощённые онтологические структуры (JSON), позволяющие хранить доменные сущности и пороги/ограничения без необходимости разворачивать RDF‑стек.</w:t>
      </w:r>
    </w:p>
    <w:p>
      <w:pPr>
        <w:ind w:firstLine="709"/>
      </w:pPr>
      <w:r>
        <w:t>Разделение слоя правил и кода реализует принцип расширяемости: добавление нового правила означает изменение конфигурации/онтологии и подключение соответствующего «детектора» (агента), а не рефакторинг монолитного обработчика. Такой подход повышает трассируемость: каждое нарушение может содержать ссылку на правило и параметр (например, max_budget_overrun_pct), которое было нарушено.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Пример правила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Формализация (параметр)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Превышение бюджета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max_budget_overrun_pct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допустимый процент превышения бюджета закупки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Одобренные поставщики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approved_suppliers / blacklist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контроль доверенных поставщиков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Срок поставки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max_delivery_days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порог просрочки относительно плановой даты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Минимальный рейтинг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min_supplier_rating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рисковый поставщик при низком рейтинге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Гарантия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require_warranty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обязательность гарантии для запчасти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Повторяемость нарушений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repeat_violation_threshold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порог для повышения риска</w:t>
            </w:r>
          </w:p>
        </w:tc>
      </w:tr>
    </w:tbl>
    <w:p>
      <w:pPr>
        <w:ind w:firstLine="709"/>
      </w:pPr>
      <w:r>
        <w:t>Онтологический слой правил.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Онтологический слой правил.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Онтологический слой правил.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Онтологический слой правил.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Онтологический слой правил.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Онтологический слой правил.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Онтологический слой правил.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Онтологический слой правил.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Онтологический слой правил.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Онтологический слой правил.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Онтологический слой правил.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Онтологический слой правил.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Онтологический слой правил.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Онтологический слой правил.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Онтологический слой правил.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Онтологический слой правил.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2"/>
        <w:ind w:firstLine="0"/>
      </w:pPr>
      <w:r>
        <w:t>1.3. Интеллектуальные агенты и мультиагентные системы в задачах контроля и риска</w:t>
      </w:r>
    </w:p>
    <w:p>
      <w:pPr>
        <w:ind w:firstLine="709"/>
      </w:pPr>
      <w:r>
        <w:t>Интеллектуальный агент в прикладных задачах можно рассматривать как автономный компонент, который получает входные данные и контекст (правила/ограничения), выполняет анализ и возвращает выводы в виде обнаруженных событий или нарушений. Мультиагентный подход разделяет функциональность по специализированным агентам, что упрощает расширение и снижает связанность модулей.</w:t>
      </w:r>
    </w:p>
    <w:p>
      <w:pPr>
        <w:ind w:firstLine="709"/>
      </w:pPr>
      <w:r>
        <w:t>Для систем с несколькими агентами важны вопросы координации, агрегирования результатов и предотвращения конфликтов. В учебной и научной литературе мультиагентные системы рассматриваются как набор взаимодействующих агентов, способных решать задачи совместно или конкурентно. Обзор подходов и понятий приведён у М. Вулдриджа. [7]</w:t>
      </w:r>
    </w:p>
    <w:p>
      <w:pPr>
        <w:ind w:firstLine="709"/>
      </w:pPr>
      <w:r>
        <w:t>В данном проекте реализуется композиционный агент (CompositeAgent), который запускает набор специализированных агентов: бюджетный, поставщиков, сроков поставки, гарантии, склада и повторяемости нарушений. Каждый агент реализует единый интерфейс анализа и возвращает список нарушений стандартного формата. Затем результаты объединяются и сохраняются в отчёты.</w:t>
      </w:r>
    </w:p>
    <w:p>
      <w:pPr>
        <w:ind w:firstLine="709"/>
      </w:pPr>
      <w:r>
        <w:t>Для SRM‑аналитики удобна модель риска с уровнями (низкий/средний/высокий). Например, повторяющиеся нарушения, не одобренный поставщик и отсутствие гарантии можно оценивать как высокий риск, тогда как небольшое превышение бюджета — как средний риск. Подобная шкала согласуется с подходами риск‑менеджмента, описанными в ISO 31000. [2]</w:t>
      </w:r>
    </w:p>
    <w:p>
      <w:pPr>
        <w:ind w:firstLine="709"/>
      </w:pPr>
      <w:r>
        <w:t>Пример простой формулы для вычисления интегрального риска поставщика (используется как эвристика): RiskScore = 0.5·V + 0.3·(max(0, 3.0 − Rating)) + 0.2·DelayRate, где V — число нарушений за период, Rating — рейтинг поставщика, DelayRate — доля просроченных поставок. Параметры (веса) могут быть адаптированы аналитиком, а расчёт — встроен в отдельного агента риска.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Агент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Зона ответственности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Примеры нарушений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BudgetAgent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бюджет закупки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BUDGET_EXCEEDED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SupplierAgent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одобрение/рейтинг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DISALLOWED_SUPPLIER, LOW_RATING_SUPPLIER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DeliveryAgent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сроки поставки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DELIVERY_DELAY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WarrantyAgent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гарантия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MISSING_WARRANTY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StockAgent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остатки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LOW_STOCK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RepeatViolationAgent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повторяемость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RECURRING_SUPPLIER_VIOLATIONS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CompositeAgent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оркестрация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агрегация результатов и единый отчёт</w:t>
            </w:r>
          </w:p>
        </w:tc>
      </w:tr>
    </w:tbl>
    <w:p>
      <w:pPr>
        <w:ind w:firstLine="709"/>
      </w:pPr>
      <w:r>
        <w:t>Мультиагентный анализ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Мультиагентный анализ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Мультиагентный анализ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Мультиагентный анализ нарушений.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Мультиагентный анализ нарушений.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Мультиагентный анализ нарушений.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Мультиагентный анализ нарушений.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Мультиагентный анализ нарушений.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Мультиагентный анализ нарушений.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Мультиагентный анализ нарушений.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Мультиагентный анализ нарушений.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Мультиагентный анализ нарушений.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Мультиагентный анализ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Мультиагентный анализ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Мультиагентный анализ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pStyle w:val="Heading1"/>
      </w:pPr>
      <w:r>
        <w:t>Глава 2. Предметная область: сервисный центр ремонта техники</w:t>
      </w:r>
    </w:p>
    <w:p>
      <w:pPr>
        <w:pStyle w:val="Heading2"/>
        <w:ind w:firstLine="0"/>
      </w:pPr>
      <w:r>
        <w:t>2.1. Бизнес‑процессы сервисного центра и точки контроля</w:t>
      </w:r>
    </w:p>
    <w:p>
      <w:pPr>
        <w:ind w:firstLine="709"/>
      </w:pPr>
      <w:r>
        <w:t>Сервисный центр ремонта техники обслуживает клиентов по циклу: первичное обращение → приёмка устройства → диагностика → согласование стоимости и сроков → ремонт → контроль качества → выдача и гарантия. Параллельно ведётся снабжение запчастями: формирование потребности → выбор поставщика → закупка → приёмка на склад → списание в заказ.</w:t>
      </w:r>
    </w:p>
    <w:p>
      <w:pPr>
        <w:ind w:firstLine="709"/>
      </w:pPr>
      <w:r>
        <w:t>Точки контроля возникают на стыках процессов: (а) при закупке — бюджет, сроки поставки, статус/рейтинг поставщика, условия гарантии; (б) на складе — минимальные остатки, корректность списаний; (в) в ремонте — соблюдение сроков выполнения заказа, согласование с клиентом, прозрачность расчётов. Именно в этих точках система должна фиксировать события и нарушения, формируя основу для управленческих решений.</w:t>
      </w:r>
    </w:p>
    <w:p>
      <w:pPr>
        <w:pStyle w:val="ListNumber"/>
        <w:spacing w:line="240" w:lineRule="auto"/>
        <w:ind w:firstLine="0"/>
        <w:jc w:val="center"/>
      </w:pPr>
      <w:r>
        <w:t>Рисунок — Схема бизнес‑процессов сервисного центра</w:t>
      </w:r>
    </w:p>
    <w:p>
      <w:r>
        <w:t>[МЕСТО ДЛЯ СКРИНШОТА/РИСУНКА]</w:t>
      </w:r>
    </w:p>
    <w:p>
      <w:r>
        <w:t>Описание: Блок‑схема этапов: приёмка → диагностика → согласование → ремонт → выдача; параллельно: закупка → склад → списание.</w:t>
      </w:r>
    </w:p>
    <w:p>
      <w:pPr>
        <w:ind w:firstLine="709"/>
      </w:pPr>
      <w:r>
        <w:t>Описание процессов ремонта и снабжения.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Описание процессов ремонта и снабжения.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Описание процессов ремонта и снабжения.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Описание процессов ремонта и снабжения.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Описание процессов ремонта и снабжения.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Описание процессов ремонта и снабжения.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Описание процессов ремонта и снабжения.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Описание процессов ремонта и снабжения.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Описание процессов ремонта и снабжения.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Описание процессов ремонта и снабжения.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Описание процессов ремонта и снабжения.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Описание процессов ремонта и снабжения.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Описание процессов ремонта и снабжения.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Описание процессов ремонта и снабжения.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Описание процессов ремонта и снабжения.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Описание процессов ремонта и снабжения.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2"/>
        <w:ind w:firstLine="0"/>
      </w:pPr>
      <w:r>
        <w:t>2.2. Требования к системе и ограничения локального внедрения</w:t>
      </w:r>
    </w:p>
    <w:p>
      <w:pPr>
        <w:ind w:firstLine="709"/>
      </w:pPr>
      <w:r>
        <w:t>Система должна поддерживать несколько ролей пользователей: администратор (настройка и управление), менеджер (приёмка/оформление заказов, работа с клиентами), мастер (выполнение ремонта и обновление статусов своих заказов), аналитик (запуск SRM‑анализа, просмотр нарушений и отчётов). Разграничение прав реализуется на уровне маршрутов веб‑приложения и элементов интерфейса.</w:t>
      </w:r>
    </w:p>
    <w:p>
      <w:pPr>
        <w:ind w:firstLine="709"/>
      </w:pPr>
      <w:r>
        <w:t>Требования к безопасности включают: хранение паролей в виде криптографических хэш‑значений с солью и параметром сложности (PBKDF2), защиту cookie сессии флагом HttpOnly и политикой SameSite=Lax, а также проверку прав доступа при изменении заказов/фото. Подходы к хранению паролей обобщены в рекомендациях OWASP, а PBKDF2 стандартизован в RFC 8018. [10, 11]</w:t>
      </w:r>
    </w:p>
    <w:p>
      <w:pPr>
        <w:ind w:firstLine="709"/>
      </w:pPr>
      <w:r>
        <w:t>Ключевое ограничение локальной версии: отсутствие внешних платных сервисов и зависимостей от интернета после установки. Это влияет на выбор технологий: используется SQLite как встроенная СУБД, а веб‑интерфейс реализован на FastAPI и шаблонах Jinja2, без сложных фронтенд‑сборок. [8, 9]</w:t>
      </w:r>
    </w:p>
    <w:p>
      <w:pPr>
        <w:ind w:firstLine="709"/>
      </w:pPr>
      <w:r>
        <w:t>К требованиям качества программного продукта можно отнести надёжность, удобство использования, поддерживаемость и переносимость. Эти характеристики согласуются с моделью качества ISO/IEC 25010.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Роль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Основные права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полный доступ; управление пользователями; настройка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manager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заказы/клиенты; склад; назначение мастеров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не создаёт admin/manager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master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видит только свои заказы; меняет статус/фото для своих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нет доступа к клиентам/настройкам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analyst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запуск анализа; нарушения; отчёты SRM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нет доступа к операциям ремонта/складу</w:t>
            </w:r>
          </w:p>
        </w:tc>
      </w:tr>
    </w:tbl>
    <w:p>
      <w:pPr>
        <w:pStyle w:val="ListNumber"/>
        <w:spacing w:line="240" w:lineRule="auto"/>
        <w:ind w:firstLine="0"/>
        <w:jc w:val="center"/>
      </w:pPr>
      <w:r>
        <w:t>Рисунок — Экран авторизации и роли</w:t>
      </w:r>
    </w:p>
    <w:p>
      <w:r>
        <w:t>[МЕСТО ДЛЯ СКРИНШОТА/РИСУНКА]</w:t>
      </w:r>
    </w:p>
    <w:p>
      <w:r>
        <w:t>Описание: Скриншот страницы входа и блока пользователя (логин/роль) в верхней панели.</w:t>
      </w:r>
    </w:p>
    <w:p>
      <w:pPr>
        <w:ind w:firstLine="709"/>
      </w:pPr>
      <w:r>
        <w:t>Требования к локальной CRM/SRM системе.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Требования к локальной CRM/SRM системе.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Требования к локальной CRM/SRM системе.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Требования к локальной CRM/SRM системе.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Требования к локальной CRM/SRM системе.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Требования к локальной CRM/SRM системе.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Требования к локальной CRM/SRM системе.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Требования к локальной CRM/SRM системе.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Требования к локальной CRM/SRM системе.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Требования к локальной CRM/SRM системе.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Требования к локальной CRM/SRM системе.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Требования к локальной CRM/SRM системе.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Требования к локальной CRM/SRM системе.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Требования к локальной CRM/SRM системе.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Требования к локальной CRM/SRM системе.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pStyle w:val="Heading2"/>
        <w:ind w:firstLine="0"/>
      </w:pPr>
      <w:r>
        <w:t>2.3. Модель данных и набор нормативных правил/нарушений</w:t>
      </w:r>
    </w:p>
    <w:p>
      <w:pPr>
        <w:ind w:firstLine="709"/>
      </w:pPr>
      <w:r>
        <w:t>Для поддержки процессов вводятся сущности: Клиент, Устройство, Заказ на ремонт, Складская позиция, Поставщик, Закупка, Нарушение, Отчёт/Запуск анализа, Уведомление. Каждая сущность имеет уникальный читаемый идентификатор (например, ORD‑0001) и системный первичный ключ в SQLite.</w:t>
      </w:r>
    </w:p>
    <w:p>
      <w:pPr>
        <w:ind w:firstLine="709"/>
      </w:pPr>
      <w:r>
        <w:t>Связи данных: клиент может иметь несколько устройств; устройство может иметь несколько заказов; заказ может включать списания запчастей (order_parts); закупки связываются с поставщиками и категориями; нарушения и результаты анализа фиксируются в таблицах analysis_runs и run_violations/violations.</w:t>
      </w:r>
    </w:p>
    <w:p>
      <w:pPr>
        <w:ind w:firstLine="709"/>
      </w:pPr>
      <w:r>
        <w:t>SQLite поддерживает внешние ключи при включённом режиме PRAGMA foreign_keys=ON. Это важно для целостности данных (например, удаление заказа должно каскадно удалять его фото). Практические особенности и ограничения внешних ключей описаны в официальной документации SQLite. [9]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Сущность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Ключевые поля (пример)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clients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client_id, name, phone, balance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контрагенты (клиенты)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devices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device_id, client_id, brand, model, photo_path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устройства и состояние при приёмке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repair_orders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order_id, status, due_date, assigned_master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жизненный цикл ремонта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inventory_items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sku, stock_qty, min_stock_qty, photo_path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склад запчастей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suppliers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supplier_id, rating, approved, status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контроль поставщиков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purchases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purchase_id, supplier_id, total_amount, planned_budget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закупки и их параметры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violations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type, risk_level, status, message</w:t>
            </w:r>
          </w:p>
        </w:tc>
        <w:tc>
          <w:tcPr>
            <w:tcW w:type="dxa" w:w="33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журнал нарушений и обработка</w:t>
            </w:r>
          </w:p>
        </w:tc>
      </w:tr>
    </w:tbl>
    <w:p>
      <w:pPr>
        <w:ind w:firstLine="709"/>
      </w:pPr>
      <w:r>
        <w:t>Нормативные правила в предметной области ремонта техники включают: максимальное превышение бюджета закупки; список одобренных поставщиков; максимальный срок поставки; минимальный рейтинг поставщика; обязательная гарантия; порог низкого остатка на складе; порог повторяемости нарушений. Правила задаются в файле онтологии (JSON) и доступны для просмотра через веб‑страницу «Правила».</w:t>
      </w:r>
    </w:p>
    <w:p>
      <w:pPr>
        <w:pStyle w:val="ListNumber"/>
        <w:spacing w:line="240" w:lineRule="auto"/>
        <w:ind w:firstLine="0"/>
        <w:jc w:val="center"/>
      </w:pPr>
      <w:r>
        <w:t>Рисунок — Страница «Правила»</w:t>
      </w:r>
    </w:p>
    <w:p>
      <w:r>
        <w:t>[МЕСТО ДЛЯ СКРИНШОТА/РИСУНКА]</w:t>
      </w:r>
    </w:p>
    <w:p>
      <w:r>
        <w:t>Описание: Скриншот страницы, где отображается JSON‑онтология правил и их активные значения.</w:t>
      </w:r>
    </w:p>
    <w:p>
      <w:pPr>
        <w:ind w:firstLine="709"/>
      </w:pPr>
      <w:r>
        <w:t>Модель данных и правила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Модель данных и правила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Модель данных и правила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Модель данных и правила нарушений.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Модель данных и правила нарушений.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Модель данных и правила нарушений.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Модель данных и правила нарушений.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Модель данных и правила нарушений.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Модель данных и правила нарушений.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Модель данных и правила нарушений.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Модель данных и правила нарушений.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Модель данных и правила нарушений.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Модель данных и правила нарушений.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Модель данных и правила нарушений.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Модель данных и правила нарушений.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Модель данных и правила нарушений.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1"/>
      </w:pPr>
      <w:r>
        <w:t>Глава 3. Разработка CRM/SRM‑прототипа</w:t>
      </w:r>
    </w:p>
    <w:p>
      <w:pPr>
        <w:pStyle w:val="Heading2"/>
        <w:ind w:firstLine="0"/>
      </w:pPr>
      <w:r>
        <w:t>3.1. Архитектура и технологии реализации (Python, FastAPI, SQLite)</w:t>
      </w:r>
    </w:p>
    <w:p>
      <w:pPr>
        <w:ind w:firstLine="709"/>
      </w:pPr>
      <w:r>
        <w:t>Архитектура прототипа построена по модульному принципу: слой данных (загрузка, модели), слой онтологии правил, слой бизнес‑логики/агентов, веб‑слой (UI и авторизация), а также CLI‑интерфейс для анализа и запуска веб‑приложения. Такой подход позволяет не ломать существующий CLI и развивать веб‑часть независимо.</w:t>
      </w:r>
    </w:p>
    <w:p>
      <w:pPr>
        <w:ind w:firstLine="709"/>
      </w:pPr>
      <w:r>
        <w:t>В качестве веб‑фреймворка используется FastAPI, обеспечивающий маршрутизацию, валидацию и удобное тестирование через TestClient. [8] HTML‑интерфейс реализован на Jinja2‑шаблонах; статические файлы (CSS) подключаются локально, без CDN. Данные сохраняются в SQLite; запуск и миграции выполняются автоматически при старте.</w:t>
      </w:r>
    </w:p>
    <w:p>
      <w:pPr>
        <w:ind w:firstLine="709"/>
      </w:pPr>
      <w:r>
        <w:t>Критичным элементом является подсистема сессий: после успешной аутентификации создаётся токен, сохраняемый в таблице sessions и передаваемый через HttpOnly cookie. Срок действия сессии задаётся параметром конфигурации. Пароли хэшируются через PBKDF2‑HMAC (stdlib), что соответствует рекомендациям безопасного хранения. [10, 11]</w:t>
      </w:r>
    </w:p>
    <w:p>
      <w:pPr>
        <w:pStyle w:val="ListNumber"/>
        <w:spacing w:line="240" w:lineRule="auto"/>
        <w:ind w:firstLine="0"/>
        <w:jc w:val="center"/>
      </w:pPr>
      <w:r>
        <w:t>Рисунок — Архитектурная схема модулей</w:t>
      </w:r>
    </w:p>
    <w:p>
      <w:r>
        <w:t>[МЕСТО ДЛЯ СКРИНШОТА/РИСУНКА]</w:t>
      </w:r>
    </w:p>
    <w:p>
      <w:r>
        <w:t>Описание: Схема: UI (FastAPI+Jinja2) ↔ SQLite ↔ модули CRM; SRM‑анализ (CompositeAgent) ↔ онтология правил ↔ отчёты/графики.</w:t>
      </w:r>
    </w:p>
    <w:p>
      <w:pPr>
        <w:ind w:firstLine="709"/>
      </w:pPr>
      <w:r>
        <w:t>Архитектура и выбор технологий.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Архитектура и выбор технологий.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Архитектура и выбор технологий.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Архитектура и выбор технологий.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Архитектура и выбор технологий.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Архитектура и выбор технологий.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Архитектура и выбор технологий.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Архитектура и выбор технологий.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Архитектура и выбор технологий.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Архитектура и выбор технологий.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Архитектура и выбор технологий.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Архитектура и выбор технологий.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Архитектура и выбор технологий.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Архитектура и выбор технологий.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Архитектура и выбор технологий.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Архитектура и выбор технологий.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2"/>
        <w:ind w:firstLine="0"/>
      </w:pPr>
      <w:r>
        <w:t>3.2. Реализация модулей (авторизация, заказы, склад, поставщики, отчёты)</w:t>
      </w:r>
    </w:p>
    <w:p>
      <w:pPr>
        <w:ind w:firstLine="709"/>
      </w:pPr>
      <w:r>
        <w:t>Веб‑интерфейс организован в виде набора страниц: Dashboard, Заказы, Контрагенты, Устройства, Склад, Поставщики, Закупки, Нарушения, Отчёты, Правила, Задачи, Настройки. Навигация выполнена в стиле Bento UI: карточки‑показатели, сетка, минималистичный дизайн. Все пользовательские тексты и элементы интерфейса приведены на русском языке.</w:t>
      </w:r>
    </w:p>
    <w:p>
      <w:pPr>
        <w:ind w:firstLine="709"/>
      </w:pPr>
      <w:r>
        <w:t>Модуль «Заказы» поддерживает создание заказа, назначение мастера, установку срока, статусный workflow и хранение истории изменений. Для удобства добавлены фильтры по статусу, номеру заказа и диапазону дат, а также быстрая смена статуса прямо из списка заказов. Карточка заказа содержит секции диагностики, согласования и финансовых параметров (стоимость работ, оплачено).</w:t>
      </w:r>
    </w:p>
    <w:p>
      <w:pPr>
        <w:ind w:firstLine="709"/>
      </w:pPr>
      <w:r>
        <w:t>Модуль «Склад» включает каталог запчастей, минимальные остатки, историю движений и списание запчастей в заказ. Реализовано предупреждение о низком остатке (уведомления на Dashboard). Также добавлена возможность прикрепления фото запчасти для наглядности в карточке позиции.</w:t>
      </w:r>
    </w:p>
    <w:p>
      <w:pPr>
        <w:ind w:firstLine="709"/>
      </w:pPr>
      <w:r>
        <w:t>Модуль «Настройки» реализует регистрацию новых сотрудников и их параметров (ФИО, процент/фиксированная ставка), а также загрузку фото сотрудника. Роли разграничиваются как на уровне обработчиков, так и на уровне UI (скрытие пунктов меню и кнопок).</w:t>
      </w:r>
    </w:p>
    <w:p>
      <w:pPr>
        <w:pStyle w:val="ListNumber"/>
        <w:spacing w:line="240" w:lineRule="auto"/>
        <w:ind w:firstLine="0"/>
        <w:jc w:val="center"/>
      </w:pPr>
      <w:r>
        <w:t>Рисунок — Страница «Заказы» с фильтрами</w:t>
      </w:r>
    </w:p>
    <w:p>
      <w:r>
        <w:t>[МЕСТО ДЛЯ СКРИНШОТА/РИСУНКА]</w:t>
      </w:r>
    </w:p>
    <w:p>
      <w:r>
        <w:t>Описание: Скриншот: фильтры (статус, номер, дата с/по, сортировка) и список заказов, быстрая смена статуса.</w:t>
      </w:r>
    </w:p>
    <w:p>
      <w:pPr>
        <w:pStyle w:val="ListNumber"/>
        <w:spacing w:line="240" w:lineRule="auto"/>
        <w:ind w:firstLine="0"/>
        <w:jc w:val="center"/>
      </w:pPr>
      <w:r>
        <w:t>Рисунок — Карточка заказа (Order detail)</w:t>
      </w:r>
    </w:p>
    <w:p>
      <w:r>
        <w:t>[МЕСТО ДЛЯ СКРИНШОТА/РИСУНКА]</w:t>
      </w:r>
    </w:p>
    <w:p>
      <w:r>
        <w:t>Описание: Скриншот: KPI карточки, форма обновления статуса, списания со склада, фото устройства и фото по заказу.</w:t>
      </w:r>
    </w:p>
    <w:p>
      <w:pPr>
        <w:pStyle w:val="ListNumber"/>
        <w:spacing w:line="240" w:lineRule="auto"/>
        <w:ind w:firstLine="0"/>
        <w:jc w:val="center"/>
      </w:pPr>
      <w:r>
        <w:t>Рисунок — Карточка склада и фото запчасти</w:t>
      </w:r>
    </w:p>
    <w:p>
      <w:r>
        <w:t>[МЕСТО ДЛЯ СКРИНШОТА/РИСУНКА]</w:t>
      </w:r>
    </w:p>
    <w:p>
      <w:r>
        <w:t>Описание: Скриншот: остаток, min_stock, движения, форма загрузки фото и корректировка остатка.</w:t>
      </w:r>
    </w:p>
    <w:p>
      <w:pPr>
        <w:ind w:firstLine="709"/>
      </w:pPr>
      <w:r>
        <w:t>Реализация CRM‑контуров и UI.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Реализация CRM‑контуров и UI.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Реализация CRM‑контуров и UI.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Реализация CRM‑контуров и UI.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Реализация CRM‑контуров и UI.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Реализация CRM‑контуров и UI.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Реализация CRM‑контуров и UI.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Реализация CRM‑контуров и UI.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Реализация CRM‑контуров и UI.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Реализация CRM‑контуров и UI.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Реализация CRM‑контуров и UI.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Реализация CRM‑контуров и UI.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Реализация CRM‑контуров и UI.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Реализация CRM‑контуров и UI.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Реализация CRM‑контуров и UI.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Реализация CRM‑контуров и UI.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Реализация CRM‑контуров и UI.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pStyle w:val="Heading2"/>
        <w:ind w:firstLine="0"/>
      </w:pPr>
      <w:r>
        <w:t>3.3. Агентный анализ, отчётность, верификация и вычислительный эксперимент</w:t>
      </w:r>
    </w:p>
    <w:p>
      <w:pPr>
        <w:ind w:firstLine="709"/>
      </w:pPr>
      <w:r>
        <w:t>SRM‑контур реализует периодический анализ закупок и поставщиков. Анализ запускается пользователем с ролью admin/analyst и создаёт запись запуска (analysis_runs) с датой анализа, сводкой, отчётом и набором графиков. Графики сохраняются локально в виде PNG, а JSON‑отчёт доступен в артефактах проекта.</w:t>
      </w:r>
    </w:p>
    <w:p>
      <w:pPr>
        <w:ind w:firstLine="709"/>
      </w:pPr>
      <w:r>
        <w:t>Нарушения фиксируются с типом, уровнем риска, связью с сущностью (закупка/поставщик/заказ), сообщением и статусом обработки (новое/проверяется/исправлено/отклонено). Страница «Нарушения» поддерживает фильтры, что позволяет аналитику оперативно выделять критические события и отслеживать динамику.</w:t>
      </w:r>
    </w:p>
    <w:p>
      <w:pPr>
        <w:ind w:firstLine="709"/>
      </w:pPr>
      <w:r>
        <w:t>Для верификации корректности системы используется набор тестов (pytest) и демонстрационные данные, сформированные для проверки сценариев работы. Тесты покрывают авторизацию, запуск анализа, работу агентов и наличие всех ожидаемых типов нарушений. Дополнительно настроен CI (GitHub Actions): установка зависимостей, проверка форматирования/линтера и запуск тестов, включая smoke‑тесты CLI и HTTP `/health`.</w:t>
      </w:r>
    </w:p>
    <w:p>
      <w:pPr>
        <w:ind w:firstLine="709"/>
      </w:pPr>
      <w:r>
        <w:t>В рамках задания по вычислительному эксперименту формируется сравнение предложенного метода (онтология + мультиагентный анализ) с бейзлайном/конкурентом на синтетических наборах данных: строятся таблицы, графики, а также автоматически генерируется отчёт. Это обеспечивает воспроизводимость и демонстрацию научной части проекта на измеримых метриках.</w:t>
      </w:r>
    </w:p>
    <w:p>
      <w:pPr>
        <w:pStyle w:val="ListNumber"/>
        <w:spacing w:line="240" w:lineRule="auto"/>
        <w:ind w:firstLine="0"/>
        <w:jc w:val="center"/>
      </w:pPr>
      <w:r>
        <w:t>Рисунок — Dashboard: KPI и графики нарушений</w:t>
      </w:r>
    </w:p>
    <w:p>
      <w:r>
        <w:t>[МЕСТО ДЛЯ СКРИНШОТА/РИСУНКА]</w:t>
      </w:r>
    </w:p>
    <w:p>
      <w:r>
        <w:t>Описание: Скриншот: количество заказов, нарушения, рисковые поставщики, графики по типам нарушений, последние проверки.</w:t>
      </w:r>
    </w:p>
    <w:p>
      <w:pPr>
        <w:pStyle w:val="ListNumber"/>
        <w:spacing w:line="240" w:lineRule="auto"/>
        <w:ind w:firstLine="0"/>
        <w:jc w:val="center"/>
      </w:pPr>
      <w:r>
        <w:t>Рисунок — Страница «Нарушения»</w:t>
      </w:r>
    </w:p>
    <w:p>
      <w:r>
        <w:t>[МЕСТО ДЛЯ СКРИНШОТА/РИСУНКА]</w:t>
      </w:r>
    </w:p>
    <w:p>
      <w:r>
        <w:t>Описание: Скриншот: фильтры по типу/поставщику/риску/статусу и смена статуса нарушения.</w:t>
      </w:r>
    </w:p>
    <w:p>
      <w:pPr>
        <w:ind w:firstLine="709"/>
      </w:pPr>
      <w:r>
        <w:t>Отчётность, тестирование и эксперимент.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Отчётность, тестирование и эксперимент.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Отчётность, тестирование и эксперимент.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Отчётность, тестирование и эксперимент.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ind w:firstLine="709"/>
      </w:pPr>
      <w:r>
        <w:t>Отчётность, тестирование и эксперимент. Логирование и история изменений повышают управляемость процессов. Система фиксирует кто и когда изменил статус заказа, какие поля были обновлены (срок, мастер, стоимость), а также технические события: ошибки загрузки файлов, предупреждения о низком остатке, создание пользователя. Для сервиса ремонта это критично, так как многие конфликты и спорные ситуации решаются по журналу событий. Отдельно полезны уведомления на Dashboard, которые превращают «сырые» события в управляемые задачи.</w:t>
      </w:r>
    </w:p>
    <w:p>
      <w:pPr>
        <w:ind w:firstLine="709"/>
      </w:pPr>
      <w:r>
        <w:t>Отчётность, тестирование и эксперимент. Расширяемость достигается за счёт контрактов. Агент реализует единый интерфейс анализа и возвращает нарушения стандартного формата (тип, сообщение, сущность, риск), а правила хранятся вне кода. Добавление нового агента не требует изменения существующих страниц, кроме подключения в композиционный агент, так как UI работает с унифицированной таблицей нарушений. Это особенно важно для дипломного проекта: можно поэтапно усиливать научную часть, добавляя новые проверки, не переписывая уже готовые модули CRM.</w:t>
      </w:r>
    </w:p>
    <w:p>
      <w:pPr>
        <w:ind w:firstLine="709"/>
      </w:pPr>
      <w:r>
        <w:t>Отчётность, тестирование и эксперимент. Данные проектируются так, чтобы поддерживать целостность и трассируемость. Используются внешние ключи SQLite, ограничения уникальности для человеко‑читаемых идентификаторов (ORD‑0001 и т.п.), а также каскадное удаление зависимых сущностей (например, фото заказа). С практической точки зрения это предотвращает накопление «битых ссылок» в интерфейсе и упрощает поддержку: если заказ удалён, связанные записи истории и фото не остаются в базе и не создают мусор в каталоге загрузок.</w:t>
      </w:r>
    </w:p>
    <w:p>
      <w:pPr>
        <w:ind w:firstLine="709"/>
      </w:pPr>
      <w:r>
        <w:t>Отчётность, тестирование и эксперимент. С точки зрения UX важно минимизировать «трение». Короткие формы, понятные статусы и предзаполненные значения снижают ошибки ввода. Фильтры по номеру и датам позволяют быстро находить заказы, а быстрые действия (например, смена статуса из списка) сокращают количество кликов. В результате менеджер быстрее оформляет приёмку, мастер меньше времени тратит на администрирование, а руководитель получает актуальную картину по KPI на Dashboard.</w:t>
      </w:r>
    </w:p>
    <w:p>
      <w:pPr>
        <w:ind w:firstLine="709"/>
      </w:pPr>
      <w:r>
        <w:t>Отчётность, тестирование и эксперимент. Безопасность в локальной версии строится на базовых практиках. Пароли хэшируются с использованием PBKDF2‑HMAC и соли, что усложняет оффлайн‑подбор. Сессия хранится в HttpOnly cookie с политикой SameSite=Lax, чтобы уменьшить риск отправки cookie в кросс‑сайтовых сценариях. Все операции изменения данных и загрузки файлов дополнительно проверяются на сервере с учётом роли пользователя и принадлежности заказа мастеру, что предотвращает несанкционированное изменение данных.</w:t>
      </w:r>
    </w:p>
    <w:p>
      <w:pPr>
        <w:ind w:firstLine="709"/>
      </w:pPr>
      <w:r>
        <w:t>Отчётность, тестирование и эксперимент. Качество программного продукта подтверждается тестами и CI. Автоматический запуск pytest и линтера снижает риск регрессий при добавлении новых функций. Smoke‑тесты подтверждают работоспособность ключевых сценариев: запуск анализа через CLI, импорт веб‑приложения и проверка HTTP‑эндпоинта здоровья. Для дипломного проекта это важно: комиссия может воспроизвести запуск в чистом окружении и убедиться, что система собирается и выполняет базовые операции без ручных «магических» шагов.</w:t>
      </w:r>
    </w:p>
    <w:p>
      <w:pPr>
        <w:ind w:firstLine="709"/>
      </w:pPr>
      <w:r>
        <w:t>Отчётность, тестирование и эксперимент. В дальнейшем возможно усложнение аналитики и управления. Например, можно добавить прогноз остатка и автоматическую рекомендацию закупок по сезонности и истории заказов, модели риска на основе накопленных нарушений и параметров поставщика, а также сценарии «план‑факт» по срокам. На уровне документов перспективно формирование PDF (квитанции, акты, гарантийные талоны) с подписью и версированием. Важно, что предложенная архитектура допускает такие расширения без смены стека технологий.</w:t>
      </w:r>
    </w:p>
    <w:p>
      <w:pPr>
        <w:ind w:firstLine="709"/>
      </w:pPr>
      <w:r>
        <w:t>Отчётность, тестирование и эксперимент. Для учебного проекта важно обеспечить воспроизводимость экспериментов и численных расчётов. Фиксированные seed‑значения, сохранение таблиц и графиков, а также автоматическая генерация отчёта позволяют повторить результаты и защитить выводы перед комиссией. Кроме того, воспроизводимость облегчает отладку: если метрики резко изменились после правки агента или правила, можно повторить эксперимент на тех же данных и найти причину расхождения.</w:t>
      </w:r>
    </w:p>
    <w:p>
      <w:pPr>
        <w:ind w:firstLine="709"/>
      </w:pPr>
      <w:r>
        <w:t>Отчётность, тестирование и эксперимент. В теоретическом плане важно разделять управленческие процессы и их информационную поддержку. Процесс задаёт роли, входы/выходы и критерии успешности (SLA по ремонту, нормативы закупки), а информационная система обеспечивает фиксацию фактов: кто принял устройство, какие дефекты отмечены, когда заказ перешёл в диагностику и какой поставщик обеспечил запчасть. Такое разделение помогает проектировать систему устойчиво: изменения регламента (например, ввод этапа «согласование с клиентом») отражаются в статусах и правилах, не разрушая модель данных и интерфейс.</w:t>
      </w:r>
    </w:p>
    <w:p>
      <w:pPr>
        <w:ind w:firstLine="709"/>
      </w:pPr>
      <w:r>
        <w:t>Отчётность, тестирование и эксперимент. При проектировании локального решения ключевой принцип — «offline‑first». После установки зависимостей система должна функционировать без сетевых сервисов: данные хранятся в SQLite, графики строятся локально (matplotlib) и сохраняются как PNG, отчёты формируются в JSON и доступны через UI. Это снижает риски демонстрации (нет зависимости от интернета) и упрощает перенос на сервер вуза, где можно обеспечить регулярное резервное копирование базы и каталога артефактов.</w:t>
      </w:r>
    </w:p>
    <w:p>
      <w:pPr>
        <w:ind w:firstLine="709"/>
      </w:pPr>
      <w:r>
        <w:t>Отчётность, тестирование и эксперимент. В прототипе применяется модульность: слой данных (загрузка/модели), слой правил (онтология), слой анализа (агенты и отчёт), слой представления (веб‑UI). Модульность снижает связанность: правила можно обновлять независимо от UI, а агенты — расширять без изменения форм заказов и справочников. Практически это выражается в том, что добавление нового типа нарушения требует (1) параметра/правила в онтологии и (2) отдельного агента‑детектора, подключаемого в CompositeAgent.</w:t>
      </w:r>
    </w:p>
    <w:p>
      <w:pPr>
        <w:ind w:firstLine="709"/>
      </w:pPr>
      <w:r>
        <w:t>Отчётность, тестирование и эксперимент. Для демонстрации научной части важно обеспечить объяснимость результатов. Каждое нарушение сопровождается сообщением, типом и уровнем риска, а также контекстом (поставщик, закупка, заказ или складская позиция). Дополнительно фиксируются параметры правила, например «допустимое превышение бюджета» или «минимальный рейтинг поставщика». Это позволяет проверяющему воспроизвести вывод: взять исходные данные, значение порога из онтологии и убедиться, что условие действительно нарушено.</w:t>
      </w:r>
    </w:p>
    <w:p>
      <w:pPr>
        <w:pStyle w:val="Heading1"/>
        <w:ind w:firstLine="0"/>
      </w:pPr>
      <w:r>
        <w:t>Заключение</w:t>
      </w:r>
    </w:p>
    <w:p>
      <w:pPr>
        <w:ind w:firstLine="709"/>
      </w:pPr>
      <w:r>
        <w:t>В ходе работы разработан и описан локально разворачиваемый прототип CRM/SRM‑системы сервисного центра ремонта техники. Реализованы ключевые сущности предметной области (клиенты, устройства, заказы, склад, поставщики, закупки), веб‑интерфейс с ролями, хранение данных в SQLite, механизм онтологических правил и мультиагентный анализ нарушений.</w:t>
      </w:r>
    </w:p>
    <w:p>
      <w:pPr>
        <w:ind w:firstLine="709"/>
      </w:pPr>
      <w:r>
        <w:t>Практический результат включает: журнал нарушений и рисков, отчёты в JSON, генерацию графиков, обработку ошибок и логирование. Проведена верификация на тестовых данных и настроен CI для контроля качества. Прототип может служить демонстрационной версией для дальнейшего внедрения и масштабирования в инфраструктуре вуза.</w:t>
      </w:r>
    </w:p>
    <w:p>
      <w:pPr>
        <w:ind w:firstLine="709"/>
      </w:pPr>
      <w:r>
        <w:t>Направления развития: расширение финансового контура (зарплата мастеров, касса), печать документов в PDF, расширение онтологии правил, более сложные модели риска, интеграция с оборудованием/сканерами и внешними источниками данных (при переходе к серверному развёртыванию).</w:t>
      </w:r>
    </w:p>
    <w:p>
      <w:pPr>
        <w:pStyle w:val="Heading1"/>
        <w:ind w:firstLine="0"/>
      </w:pPr>
      <w:r>
        <w:t>Список источников</w:t>
      </w:r>
    </w:p>
    <w:p>
      <w:r>
        <w:t>[1] ISO/IEC 25010:2011. Systems and software engineering — Systems and software Quality Requirements and Evaluation (SQuaRE) — System and software quality models. ISO. URL: https://www.iso.org/standard/35733.html (дата обращения: 2026-04-26).</w:t>
      </w:r>
    </w:p>
    <w:p>
      <w:r>
        <w:t>[2] ISO 31000:2018. Risk management — Guidelines. ISO. URL: https://www.iso.org/standard/65694.html (дата обращения: 2026-04-26).</w:t>
      </w:r>
    </w:p>
    <w:p>
      <w:r>
        <w:t>[3] Gruber T.R. A Translation Approach to Portable Ontology Specifications // Knowledge Acquisition. 1993. Vol. 5. URL: https://www.sciencedirect.com/science/article/pii/S1042814383710083 (дата обращения: 2026-04-26).</w:t>
      </w:r>
    </w:p>
    <w:p>
      <w:r>
        <w:t>[4] Noy N.F., McGuinness D.L. Ontology Development 101: A Guide to Creating Your First Ontology. Stanford University (Tech. Rep.). 2001. URL: https://protege.stanford.edu/publications/ontology_development/ontology101.pdf (дата обращения: 2026-04-26).</w:t>
      </w:r>
    </w:p>
    <w:p>
      <w:r>
        <w:t>[5] OWL 2 Web Ontology Language Document Overview (Second Edition). W3C Recommendation. URL: https://www.w3.org/TR/owl-overview/ (дата обращения: 2026-04-26).</w:t>
      </w:r>
    </w:p>
    <w:p>
      <w:r>
        <w:t>[6] Shapes Constraint Language (SHACL). W3C Recommendation. URL: https://www.w3.org/TR/shacl/ (дата обращения: 2026-04-26).</w:t>
      </w:r>
    </w:p>
    <w:p>
      <w:r>
        <w:t>[7] Wooldridge M. An Introduction to MultiAgent Systems. 2nd ed. John Wiley &amp; Sons, 2009.</w:t>
      </w:r>
    </w:p>
    <w:p>
      <w:r>
        <w:t>[8] FastAPI Documentation. URL: https://fastapi.tiangolo.com/ (дата обращения: 2026-04-26).</w:t>
      </w:r>
    </w:p>
    <w:p>
      <w:r>
        <w:t>[9] SQLite Foreign Key Support. SQLite Documentation. URL: https://www.sqlite.org/foreignkeys.html (дата обращения: 2026-04-26).</w:t>
      </w:r>
    </w:p>
    <w:p>
      <w:r>
        <w:t>[10] Password Storage Cheat Sheet. OWASP Cheat Sheet Series. URL: https://cheatsheetseries.owasp.org/cheatsheets/Password_Storage_Cheat_Sheet.html (дата обращения: 2026-04-26).</w:t>
      </w:r>
    </w:p>
    <w:p>
      <w:r>
        <w:t>[11] RFC 8018. PKCS #5: Password-Based Cryptography Specification Version 2.1. RFC Editor, 2017. URL: https://www.rfc-editor.org/rfc/rfc8018 (дата обращения: 2026-04-26).</w:t>
      </w:r>
    </w:p>
    <w:p>
      <w:r>
        <w:t>[12] ГОСТ Р 7.0.5-2008. СИБИД. Библиографическая ссылка. Общие требования и правила составления. URL: https://files.stroyinf.ru/Data2/1/4293834/4293834270.htm (дата обращения: 2026-04-26).</w:t>
      </w:r>
    </w:p>
    <w:p>
      <w:r>
        <w:t>[13] ГОСТ 34.602-89. Техническое задание на создание автоматизированной системы. URL: https://metall.world/FILES/gosts/gost_34.602-89.pdf (дата обращения: 2026-04-26).</w:t>
      </w:r>
    </w:p>
    <w:p>
      <w:r>
        <w:t>[14] Supplier relationship management (SRM) definition. TechTarget. URL: https://www.techtarget.com/searcherp/definition/supplier-relationship-management-SRM (дата обращения: 2026-04-26).</w:t>
      </w:r>
    </w:p>
    <w:p>
      <w:r>
        <w:t>[15] Customer relationship management: concepts and tools / F. Buttle. (Book, 2004; общая концепция CRM). URL: https://www.researchgate.net/publication/200121196_Customer_relationship_management_concepts_and_tools (дата обращения: 2026-04-26).</w:t>
      </w:r>
    </w:p>
    <w:p>
      <w:pPr>
        <w:pStyle w:val="Heading1"/>
      </w:pPr>
      <w:r>
        <w:t>Приложения</w:t>
      </w:r>
    </w:p>
    <w:p>
      <w:pPr>
        <w:ind w:firstLine="709"/>
      </w:pPr>
      <w:r>
        <w:t>Приложение А. Места для скриншотов интерфейса (вставляются при защите/в отчёте).</w:t>
      </w:r>
    </w:p>
    <w:p>
      <w:pPr>
        <w:pStyle w:val="ListBullet"/>
      </w:pPr>
      <w:r>
        <w:t>Dashboard: KPI, графики нарушений, последние проверки, уведомления.</w:t>
      </w:r>
    </w:p>
    <w:p>
      <w:pPr>
        <w:pStyle w:val="ListBullet"/>
      </w:pPr>
      <w:r>
        <w:t>Orders: список заказов + фильтры + быстрая смена статуса.</w:t>
      </w:r>
    </w:p>
    <w:p>
      <w:pPr>
        <w:pStyle w:val="ListBullet"/>
      </w:pPr>
      <w:r>
        <w:t>Order detail: диагностика/согласование, списание со склада, фото устройства и фото по заказу.</w:t>
      </w:r>
    </w:p>
    <w:p>
      <w:pPr>
        <w:pStyle w:val="ListBullet"/>
      </w:pPr>
      <w:r>
        <w:t>Inventory detail: остатки, движения, фото позиции.</w:t>
      </w:r>
    </w:p>
    <w:p>
      <w:pPr>
        <w:pStyle w:val="ListBullet"/>
      </w:pPr>
      <w:r>
        <w:t>Settings: сотрудники, роли, фото сотрудников.</w:t>
      </w:r>
    </w:p>
    <w:p>
      <w:pPr>
        <w:pStyle w:val="ListBullet"/>
      </w:pPr>
      <w:r>
        <w:t>Violations: фильтры и смена статуса обработки.</w:t>
      </w:r>
    </w:p>
    <w:p>
      <w:pPr>
        <w:ind w:firstLine="709"/>
      </w:pPr>
      <w:r>
        <w:t>Приложение Б. Инструкция запуска (кратко).</w:t>
      </w:r>
    </w:p>
    <w:p>
      <w:pPr>
        <w:pStyle w:val="ListBullet"/>
      </w:pPr>
      <w:r>
        <w:t>Установка: python -m venv .venv; активировать; pip install -e ".[dev,api,report]"</w:t>
      </w:r>
    </w:p>
    <w:p>
      <w:pPr>
        <w:pStyle w:val="ListBullet"/>
      </w:pPr>
      <w:r>
        <w:t>Запуск: python -m srm.cli serve --host 127.0.0.1 --port 8000</w:t>
      </w:r>
    </w:p>
    <w:p>
      <w:pPr>
        <w:pStyle w:val="ListBullet"/>
      </w:pPr>
      <w:r>
        <w:t>Вход: admin/admin123 (demo), далее Настройки → создать пользователей.</w:t>
      </w:r>
    </w:p>
    <w:p>
      <w:pPr>
        <w:pStyle w:val="ListBullet"/>
      </w:pPr>
      <w:r>
        <w:t>Запуск SRM‑анализа: кнопка/действие запуска анализа на Dashboard (роль admin/analyst).</w:t>
      </w:r>
    </w:p>
    <w:p/>
    <w:p>
      <w:pPr>
        <w:ind w:firstLine="709"/>
      </w:pPr>
      <w:r>
        <w:t>Приложение В. Ключевые сценарии использования (use‑cases).</w:t>
      </w:r>
    </w:p>
    <w:p>
      <w:pPr>
        <w:ind w:firstLine="709"/>
      </w:pPr>
      <w:r>
        <w:t>Сценарий: Создание заказа на ремонт: менеджер оформляет клиента/устройство, задаёт неисправность, срок и тип заказа; система создаёт запись и фиксирует событие.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Диагностика и согласование: мастер добавляет результат диагностики и предварительную стоимость; менеджер фиксирует решение клиента (согласовано/отказ).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Списание запчастей: мастер выбирает запчасть со склада и количество; система уменьшает остаток, добавляет движение и отражает стоимость в заказе.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Контроль низких остатков: при списании или корректировке остатка ниже min_stock система создаёт уведомление для менеджера на Dashboard.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Закупка запчастей: менеджер создаёт закупку с бюджетом и плановой датой; после поступления фиксирует фактическую дату и условия гарантии.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>
      <w:pPr>
        <w:ind w:firstLine="709"/>
      </w:pPr>
      <w:r>
        <w:t>Сценарий: SRM‑анализ: аналитик запускает анализ; агенты формируют нарушения; система сохраняет отчёт и визуализации, обновляет дашборд и журнал нарушений.</w:t>
      </w:r>
    </w:p>
    <w:p>
      <w:pPr>
        <w:ind w:firstLine="709"/>
      </w:pPr>
      <w:r>
        <w:t>Результат: обеспечивается трассируемость (история/уведомления), единый формат нарушений и возможность оперативной реакции сотрудников в рамках ролей.</w:t>
      </w:r>
    </w:p>
    <w:p/>
    <w:p>
      <w:pPr>
        <w:ind w:firstLine="709"/>
      </w:pPr>
      <w:r>
        <w:t>Приложение Г. Пример структуры конфигурации и артефактов.</w:t>
      </w:r>
    </w:p>
    <w:p>
      <w:pPr>
        <w:pStyle w:val="ListBullet"/>
      </w:pPr>
      <w:r>
        <w:t>.env: путь к базе SQLite, каталог артефактов (отчёты и графики), путь к онтологии правил.</w:t>
      </w:r>
    </w:p>
    <w:p>
      <w:pPr>
        <w:pStyle w:val="ListBullet"/>
      </w:pPr>
      <w:r>
        <w:t>Каталог artifacts: отчёты SRM, графики нарушений, лог‑файлы анализа.</w:t>
      </w:r>
    </w:p>
    <w:p>
      <w:pPr>
        <w:pStyle w:val="ListBullet"/>
      </w:pPr>
      <w:r>
        <w:t>Каталог uploads: изображения устройств, заказов, сотрудников и складских позиций.</w:t>
      </w:r>
    </w:p>
    <w:p>
      <w:pPr>
        <w:ind w:firstLine="709"/>
      </w:pPr>
      <w:r>
        <w:t>Практическое назначение: раздельное хранение базы данных, артефактов и загрузок упрощает резервное копирование и перенос на сервер (достаточно перенести три каталога и переменные окружения).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850" w:footer="709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