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rPr>
          <w:lang w:val="pt-BR"/>
        </w:rPr>
      </w:pPr>
      <w:bookmarkStart w:id="0" w:name="_bcf132ayxqf"/>
      <w:bookmarkEnd w:id="0"/>
      <w:r>
        <w:rPr>
          <w:b/>
          <w:bCs/>
          <w:lang w:val="pt-BR"/>
        </w:rPr>
        <w:t xml:space="preserve">Código de Requisitos: Sistema NEO </w:t>
      </w:r>
    </w:p>
    <w:p>
      <w:pPr>
        <w:pStyle w:val="normal1"/>
        <w:rPr>
          <w:lang w:val="pt-BR"/>
        </w:rPr>
      </w:pPr>
      <w:r>
        <w:rPr>
          <w:lang w:val="pt-BR"/>
        </w:rPr>
      </w:r>
    </w:p>
    <w:p>
      <w:pPr>
        <w:pStyle w:val="normal1"/>
        <w:rPr>
          <w:lang w:val="pt-BR"/>
        </w:rPr>
      </w:pPr>
      <w:r>
        <w:rPr>
          <w:lang w:val="pt-BR"/>
        </w:rPr>
        <w:t xml:space="preserve">Este Código de Requisitos Canônico tem por finalidade  </w:t>
      </w:r>
      <w:r>
        <w:rPr>
          <w:b/>
          <w:bCs/>
          <w:lang w:val="pt-BR"/>
        </w:rPr>
        <w:t>instituir</w:t>
      </w:r>
      <w:r>
        <w:rPr>
          <w:lang w:val="pt-BR"/>
        </w:rPr>
        <w:t xml:space="preserve">  a governança normativa,  </w:t>
      </w:r>
      <w:r>
        <w:rPr>
          <w:b/>
          <w:bCs/>
          <w:lang w:val="pt-BR"/>
        </w:rPr>
        <w:t>normatizar</w:t>
      </w:r>
      <w:r>
        <w:rPr>
          <w:lang w:val="pt-BR"/>
        </w:rPr>
        <w:t xml:space="preserve">  os fluxos procedimentais e  </w:t>
      </w:r>
      <w:r>
        <w:rPr>
          <w:b/>
          <w:bCs/>
          <w:lang w:val="pt-BR"/>
        </w:rPr>
        <w:t>consolidar</w:t>
      </w:r>
      <w:r>
        <w:rPr>
          <w:lang w:val="pt-BR"/>
        </w:rPr>
        <w:t xml:space="preserve">  a imutabilidade das regras de negócio atinentes ao sistema "Tirador de Pedidos do NEO". A transição de uma especificação técnica para um corpo normativo visa assegurar que a integridade do projeto original e sua arquitetura de requisitos sejam preservadas contra ambiguidades, servindo como o instrumento de validade absoluta para o desenvolvimento da solução.</w:t>
      </w:r>
    </w:p>
    <w:p>
      <w:pPr>
        <w:pStyle w:val="Heading1"/>
        <w:rPr>
          <w:lang w:val="pt-BR"/>
        </w:rPr>
      </w:pPr>
      <w:bookmarkStart w:id="1" w:name="_yq1xpe8qdpay"/>
      <w:bookmarkEnd w:id="1"/>
      <w:r>
        <w:rPr>
          <w:b/>
          <w:bCs/>
          <w:lang w:val="pt-BR"/>
        </w:rPr>
        <w:t>TÍTULO I – DAS DISPOSIÇÕES PRELIMINARES E DO OBJETO</w:t>
      </w:r>
    </w:p>
    <w:p>
      <w:pPr>
        <w:pStyle w:val="Heading2"/>
        <w:rPr>
          <w:lang w:val="pt-BR"/>
        </w:rPr>
      </w:pPr>
      <w:bookmarkStart w:id="2" w:name="_984yumi6jy78"/>
      <w:bookmarkEnd w:id="2"/>
      <w:r>
        <w:rPr>
          <w:b/>
          <w:bCs/>
          <w:lang w:val="pt-BR"/>
        </w:rPr>
        <w:t>Capítulo I – Do Objetivo e Âmbito de Aplicação</w:t>
      </w:r>
    </w:p>
    <w:p>
      <w:pPr>
        <w:pStyle w:val="Heading3"/>
        <w:rPr>
          <w:lang w:val="pt-BR"/>
        </w:rPr>
      </w:pPr>
      <w:bookmarkStart w:id="3" w:name="_q34jwlhz8nu7"/>
      <w:bookmarkEnd w:id="3"/>
      <w:r>
        <w:rPr>
          <w:b/>
          <w:bCs/>
          <w:lang w:val="pt-BR"/>
        </w:rPr>
        <w:t>Seção 1 – Do Escopo Geral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1º</w:t>
      </w:r>
      <w:r>
        <w:rPr>
          <w:lang w:val="pt-BR"/>
        </w:rPr>
        <w:t xml:space="preserve">  Fica instituída a solução "Tirador de Pedidos do NEO" como o ponto de entrada para todas as solicitações destinadas ao Núcleo de Eficiência Operacional (NEO).</w:t>
      </w:r>
    </w:p>
    <w:p>
      <w:pPr>
        <w:pStyle w:val="Heading3"/>
        <w:rPr>
          <w:lang w:val="pt-BR"/>
        </w:rPr>
      </w:pPr>
      <w:bookmarkStart w:id="4" w:name="_yvpe4tgva7wg"/>
      <w:bookmarkEnd w:id="4"/>
      <w:r>
        <w:rPr>
          <w:b/>
          <w:bCs/>
          <w:lang w:val="pt-BR"/>
        </w:rPr>
        <w:t>Seção 2 – Dos Objetivos Específicos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2º</w:t>
      </w:r>
      <w:r>
        <w:rPr>
          <w:lang w:val="pt-BR"/>
        </w:rPr>
        <w:t xml:space="preserve">  Constituem objetivos fundamentais da solução: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  – registrar uma nova solicitação;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    – gerar um protocolo único;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  – armazenar os dados da demanda;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IV   – inserir automaticamente a solicitação na fila do NEO;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    – classificar e priorizar a demanda;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   – atribuir manualmente um responsável;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  – registrar a previsão e os dados do mapeamento;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VIII – acompanhar status, pendências e próximos passos;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IX   – manter histórico das movimentações;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X    – fornecer visão consolidada do backlog;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XI   – exportar dados para análise e construção de indicadores.</w:t>
      </w:r>
    </w:p>
    <w:p>
      <w:pPr>
        <w:pStyle w:val="Heading2"/>
        <w:rPr>
          <w:lang w:val="pt-BR"/>
        </w:rPr>
      </w:pPr>
      <w:bookmarkStart w:id="5" w:name="_rvg4yx2pc71z"/>
      <w:bookmarkEnd w:id="5"/>
      <w:r>
        <w:rPr>
          <w:b/>
          <w:bCs/>
          <w:lang w:val="pt-BR"/>
        </w:rPr>
        <w:t>Capítulo II – Das Premissas e Diretrizes Operacionais</w:t>
      </w:r>
    </w:p>
    <w:p>
      <w:pPr>
        <w:pStyle w:val="Heading3"/>
        <w:rPr>
          <w:lang w:val="pt-BR"/>
        </w:rPr>
      </w:pPr>
      <w:bookmarkStart w:id="6" w:name="_oheocvk8euc8"/>
      <w:bookmarkEnd w:id="6"/>
      <w:r>
        <w:rPr>
          <w:b/>
          <w:bCs/>
          <w:lang w:val="pt-BR"/>
        </w:rPr>
        <w:t>Seção 1 – Das Normas de Desenvolvimento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3º</w:t>
      </w:r>
      <w:r>
        <w:rPr>
          <w:lang w:val="pt-BR"/>
        </w:rPr>
        <w:t xml:space="preserve">  A solução deverá observar a diretriz da Simplicidade Operacional.</w:t>
      </w:r>
    </w:p>
    <w:p>
      <w:pPr>
        <w:pStyle w:val="normal1"/>
        <w:rPr>
          <w:lang w:val="pt-BR"/>
        </w:rPr>
      </w:pPr>
      <w:r>
        <w:rPr>
          <w:lang w:val="pt-BR"/>
        </w:rPr>
        <w:t>Parágrafo único. A aplicação na entrega dar-se-á por meio de fluxos diretos, telas objetivas e baixo número de dependências externas.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4º</w:t>
      </w:r>
      <w:r>
        <w:rPr>
          <w:lang w:val="pt-BR"/>
        </w:rPr>
        <w:t xml:space="preserve">  É instituído o princípio da Centralização como norma mandatória.</w:t>
      </w:r>
    </w:p>
    <w:p>
      <w:pPr>
        <w:pStyle w:val="normal1"/>
        <w:rPr>
          <w:lang w:val="pt-BR"/>
        </w:rPr>
      </w:pPr>
      <w:r>
        <w:rPr>
          <w:lang w:val="pt-BR"/>
        </w:rPr>
        <w:t>Parágrafo único. Todas as solicitações e movimentações deverão permanecer no mesmo repositório de dados.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5º</w:t>
      </w:r>
      <w:r>
        <w:rPr>
          <w:lang w:val="pt-BR"/>
        </w:rPr>
        <w:t xml:space="preserve">  A Rastreabilidade deverá ser assegurada em todos os níveis do sistema.</w:t>
      </w:r>
    </w:p>
    <w:p>
      <w:pPr>
        <w:pStyle w:val="normal1"/>
        <w:rPr>
          <w:lang w:val="pt-BR"/>
        </w:rPr>
      </w:pPr>
      <w:r>
        <w:rPr>
          <w:lang w:val="pt-BR"/>
        </w:rPr>
        <w:t>Parágrafo único. Mudanças relevantes deverão registrar autor, data, valor anterior e novo valor.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6º</w:t>
      </w:r>
      <w:r>
        <w:rPr>
          <w:lang w:val="pt-BR"/>
        </w:rPr>
        <w:t xml:space="preserve">  O sistema deverá prover Parametrização para as regras de negócio.</w:t>
      </w:r>
    </w:p>
    <w:p>
      <w:pPr>
        <w:pStyle w:val="normal1"/>
        <w:rPr>
          <w:lang w:val="pt-BR"/>
        </w:rPr>
      </w:pPr>
      <w:r>
        <w:rPr>
          <w:lang w:val="pt-BR"/>
        </w:rPr>
        <w:t>Parágrafo único. Categorias, responsáveis, status, prioridades e parâmetros deverão ser administráveis.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7º</w:t>
      </w:r>
      <w:r>
        <w:rPr>
          <w:lang w:val="pt-BR"/>
        </w:rPr>
        <w:t xml:space="preserve">  A arquitetura deverá seguir a diretriz do Baixo Acoplamento.</w:t>
      </w:r>
    </w:p>
    <w:p>
      <w:pPr>
        <w:pStyle w:val="normal1"/>
        <w:rPr>
          <w:lang w:val="pt-BR"/>
        </w:rPr>
      </w:pPr>
      <w:r>
        <w:rPr>
          <w:lang w:val="pt-BR"/>
        </w:rPr>
        <w:t>Parágrafo único. Módulos de usuários, agenda e comunicação deverão permanecer tecnicamente separados das regras centrais do sistema.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8º</w:t>
      </w:r>
      <w:r>
        <w:rPr>
          <w:lang w:val="pt-BR"/>
        </w:rPr>
        <w:t xml:space="preserve">  A implementação observará o rito da Evolução Controlada.</w:t>
      </w:r>
    </w:p>
    <w:p>
      <w:pPr>
        <w:pStyle w:val="normal1"/>
        <w:rPr>
          <w:lang w:val="pt-BR"/>
        </w:rPr>
      </w:pPr>
      <w:r>
        <w:rPr>
          <w:lang w:val="pt-BR"/>
        </w:rPr>
        <w:t>Parágrafo único. Recursos automáticos serão tratados em etapas posteriores, sendo vedada a interrupção do uso da versão inicial por ausência de integração.</w:t>
      </w:r>
    </w:p>
    <w:p>
      <w:pPr>
        <w:pStyle w:val="Heading2"/>
        <w:rPr>
          <w:lang w:val="pt-BR"/>
        </w:rPr>
      </w:pPr>
      <w:bookmarkStart w:id="7" w:name="_w7ww5tlfvqu5"/>
      <w:bookmarkEnd w:id="7"/>
      <w:r>
        <w:rPr>
          <w:b/>
          <w:bCs/>
          <w:lang w:val="pt-BR"/>
        </w:rPr>
        <w:t>Capítulo III – Do Controle</w:t>
      </w:r>
    </w:p>
    <w:p>
      <w:pPr>
        <w:pStyle w:val="Heading3"/>
        <w:rPr>
          <w:lang w:val="pt-BR"/>
        </w:rPr>
      </w:pPr>
      <w:bookmarkStart w:id="8" w:name="_f8mczwd2b74d"/>
      <w:bookmarkEnd w:id="8"/>
      <w:r>
        <w:rPr>
          <w:b/>
          <w:bCs/>
          <w:lang w:val="pt-BR"/>
        </w:rPr>
        <w:t>Seção 1 – Da Vigência e Responsabilidade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9º</w:t>
      </w:r>
      <w:r>
        <w:rPr>
          <w:lang w:val="pt-BR"/>
        </w:rPr>
        <w:t xml:space="preserve">  Este Código de Requisitos baseia-se na Especificação Técnica versão 0.1, datada de 17/07/2026.</w:t>
      </w:r>
    </w:p>
    <w:p>
      <w:pPr>
        <w:pStyle w:val="normal1"/>
        <w:rPr>
          <w:lang w:val="pt-BR"/>
        </w:rPr>
      </w:pPr>
      <w:r>
        <w:rPr>
          <w:lang w:val="pt-BR"/>
        </w:rPr>
        <w:t>§ 1º A responsabilidade pela elaboração e consolidação técnica é de Julio Cesar Faria Fernandes.</w:t>
      </w:r>
    </w:p>
    <w:p>
      <w:pPr>
        <w:pStyle w:val="Heading1"/>
        <w:rPr>
          <w:lang w:val="pt-BR"/>
        </w:rPr>
      </w:pPr>
      <w:bookmarkStart w:id="9" w:name="_5n96y6kdi5tu"/>
      <w:bookmarkEnd w:id="9"/>
      <w:r>
        <w:rPr>
          <w:b/>
          <w:bCs/>
          <w:lang w:val="pt-BR"/>
        </w:rPr>
        <w:t>TÍTULO II – DO PROCEDIMENTO DE SOLICITAÇÃO</w:t>
      </w:r>
    </w:p>
    <w:p>
      <w:pPr>
        <w:pStyle w:val="normal1"/>
        <w:rPr>
          <w:lang w:val="pt-BR"/>
        </w:rPr>
      </w:pPr>
      <w:r>
        <w:rPr>
          <w:lang w:val="pt-BR"/>
        </w:rPr>
        <w:t>A padronização dos dados de entrada é o pilar fundamental para a eficiência da triagem subsequente. A captura exaustiva de dados no ato da solicitação constitui medida de governança para mitigar riscos operacionais e assegurar a celeridade do atendimento, eliminando as lacunas informacionais no nascedouro da demanda.</w:t>
      </w:r>
    </w:p>
    <w:p>
      <w:pPr>
        <w:pStyle w:val="Heading2"/>
        <w:rPr>
          <w:lang w:val="pt-BR"/>
        </w:rPr>
      </w:pPr>
      <w:bookmarkStart w:id="10" w:name="_xr4cb1ioqw6u"/>
      <w:bookmarkEnd w:id="10"/>
      <w:r>
        <w:rPr>
          <w:b/>
          <w:bCs/>
          <w:lang w:val="pt-BR"/>
        </w:rPr>
        <w:t>Capítulo I – Do Acesso e Identificação</w:t>
      </w:r>
    </w:p>
    <w:p>
      <w:pPr>
        <w:pStyle w:val="Heading3"/>
        <w:rPr>
          <w:lang w:val="pt-BR"/>
        </w:rPr>
      </w:pPr>
      <w:bookmarkStart w:id="11" w:name="_ilriyq6o3ml"/>
      <w:bookmarkEnd w:id="11"/>
      <w:r>
        <w:rPr>
          <w:b/>
          <w:bCs/>
          <w:lang w:val="pt-BR"/>
        </w:rPr>
        <w:t>Seção 1 – Do Acesso ao Sistema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10.</w:t>
      </w:r>
      <w:r>
        <w:rPr>
          <w:lang w:val="pt-BR"/>
        </w:rPr>
        <w:t xml:space="preserve">  O acesso à aplicação deverá ser realizado exclusivamente via URL interna dedicada.</w:t>
      </w:r>
    </w:p>
    <w:p>
      <w:pPr>
        <w:pStyle w:val="normal1"/>
        <w:rPr>
          <w:lang w:val="pt-BR"/>
        </w:rPr>
      </w:pPr>
      <w:r>
        <w:rPr>
          <w:lang w:val="pt-BR"/>
        </w:rPr>
        <w:t>Parágrafo único. A interface inicial deverá conter obrigatoriamente a apresentação do NEO, orientações sobre quais demandas podem ser cadastradas, botão de nova solicitação, consulta de solicitação existente e acesso administrativo para equipe do NEO.</w:t>
      </w:r>
    </w:p>
    <w:p>
      <w:pPr>
        <w:pStyle w:val="Heading3"/>
        <w:rPr>
          <w:lang w:val="pt-BR"/>
        </w:rPr>
      </w:pPr>
      <w:bookmarkStart w:id="12" w:name="_4a6rrlyynrr8"/>
      <w:bookmarkEnd w:id="12"/>
      <w:r>
        <w:rPr>
          <w:b/>
          <w:bCs/>
          <w:lang w:val="pt-BR"/>
        </w:rPr>
        <w:t>Seção 2 – Da Identificação do Solicitante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11.</w:t>
      </w:r>
      <w:r>
        <w:rPr>
          <w:lang w:val="pt-BR"/>
        </w:rPr>
        <w:t xml:space="preserve">  Na ausência de reconhecimento automático de usuário nesta versão, o solicitante deverá prover, obrigatoriamente, os seguintes dados: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– Nome completo;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  – E-mail corporativo (com validação de formato ou domínio);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– Área solicitante;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IV – Departamento (conforme parametrização);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V  – Nome do gestor responsável.</w:t>
      </w:r>
    </w:p>
    <w:p>
      <w:pPr>
        <w:pStyle w:val="normal1"/>
        <w:rPr>
          <w:lang w:val="pt-BR"/>
        </w:rPr>
      </w:pPr>
      <w:r>
        <w:rPr>
          <w:lang w:val="pt-BR"/>
        </w:rPr>
        <w:t>Parágrafo único. Opcionalmente, poderá ser informado contato adicional para suporte à demanda, quando aplicável à natureza do processo.</w:t>
      </w:r>
    </w:p>
    <w:p>
      <w:pPr>
        <w:pStyle w:val="Heading2"/>
        <w:rPr>
          <w:lang w:val="pt-BR"/>
        </w:rPr>
      </w:pPr>
      <w:bookmarkStart w:id="13" w:name="_o2l902mul4e"/>
      <w:bookmarkEnd w:id="13"/>
      <w:r>
        <w:rPr>
          <w:b/>
          <w:bCs/>
          <w:lang w:val="pt-BR"/>
        </w:rPr>
        <w:t>Capítulo II – Da Estrutura do Formulário de Demanda</w:t>
      </w:r>
    </w:p>
    <w:p>
      <w:pPr>
        <w:pStyle w:val="Heading3"/>
        <w:rPr>
          <w:lang w:val="pt-BR"/>
        </w:rPr>
      </w:pPr>
      <w:bookmarkStart w:id="14" w:name="_1l4zqpe4dr04"/>
      <w:bookmarkEnd w:id="14"/>
      <w:r>
        <w:rPr>
          <w:b/>
          <w:bCs/>
          <w:lang w:val="pt-BR"/>
        </w:rPr>
        <w:t>Seção 1 – Dos Campos de Identificação da Demanda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12.</w:t>
      </w:r>
      <w:r>
        <w:rPr>
          <w:lang w:val="pt-BR"/>
        </w:rPr>
        <w:t xml:space="preserve">  A identificação da demanda deverá ser composta pelos seguintes elementos obrigatórios: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  – Nome do processo;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    – Título resumido da solicitação;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  – Tipo de solicitação;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IV   – Categoria da demanda;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    – Descrição da necessidade;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   – Problema ou oportunidade identificada;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  – Resultado esperado;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VIII – Justificativa da solicitação.</w:t>
      </w:r>
    </w:p>
    <w:p>
      <w:pPr>
        <w:pStyle w:val="Heading3"/>
        <w:rPr>
          <w:lang w:val="pt-BR"/>
        </w:rPr>
      </w:pPr>
      <w:bookmarkStart w:id="15" w:name="_9ddzluklt9eh"/>
      <w:bookmarkEnd w:id="15"/>
      <w:r>
        <w:rPr>
          <w:b/>
          <w:bCs/>
          <w:lang w:val="pt-BR"/>
        </w:rPr>
        <w:t>Seção 2 – Das Informações Operacionais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13.</w:t>
      </w:r>
      <w:r>
        <w:rPr>
          <w:lang w:val="pt-BR"/>
        </w:rPr>
        <w:t xml:space="preserve">  O formulário deverá colher os seguintes dados operacionais: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  – Descrição resumida do processo atual;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    – Principais etapas do processo;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  – Sistemas utilizados;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IV   – Frequência de execução;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    – Volumetria aproximada;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   – Quantidade de pessoas envolvidas;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  – Tempo médio de execução;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VIII – Esforço mensal estimado;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IX   – Existência de controles manuais;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X    – Principais riscos;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XI   – Impacto no cliente;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XII  – Impacto operacional;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XIII – Prazo desejado;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XIV – Criticidade percebida pelo solicitante.</w:t>
      </w:r>
    </w:p>
    <w:p>
      <w:pPr>
        <w:pStyle w:val="Heading3"/>
        <w:rPr>
          <w:lang w:val="pt-BR"/>
        </w:rPr>
      </w:pPr>
      <w:bookmarkStart w:id="16" w:name="_xl2zdtgn1ql"/>
      <w:bookmarkEnd w:id="16"/>
      <w:r>
        <w:rPr>
          <w:b/>
          <w:bCs/>
          <w:lang w:val="pt-BR"/>
        </w:rPr>
        <w:t>Seção 3 – Das Informações Complementares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14.</w:t>
      </w:r>
      <w:r>
        <w:rPr>
          <w:lang w:val="pt-BR"/>
        </w:rPr>
        <w:t xml:space="preserve">  Compete ao solicitante informar, quando aplicável: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– Existência de documentação do processo;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  – Existência de solução semelhante;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– Dependência de outras áreas;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IV – Tratamento de informações restritas;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  – Observações adicionais;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VI – Anexos, mediante viabilidade técnica do ambiente.</w:t>
      </w:r>
    </w:p>
    <w:p>
      <w:pPr>
        <w:pStyle w:val="normal1"/>
        <w:ind w:hanging="0" w:start="0"/>
        <w:rPr>
          <w:rFonts w:ascii="Roboto" w:hAnsi="Roboto" w:eastAsia="Roboto" w:cs="Roboto"/>
          <w:lang w:val="pt-BR"/>
        </w:rPr>
      </w:pPr>
      <w:r>
        <w:rPr>
          <w:rFonts w:eastAsia="Roboto" w:cs="Roboto" w:ascii="Roboto" w:hAnsi="Roboto"/>
          <w:lang w:val="pt-BR"/>
        </w:rPr>
      </w:r>
    </w:p>
    <w:p>
      <w:pPr>
        <w:pStyle w:val="Heading3"/>
        <w:rPr>
          <w:lang w:val="pt-BR"/>
        </w:rPr>
      </w:pPr>
      <w:bookmarkStart w:id="17" w:name="_mi52wgiu1agg"/>
      <w:bookmarkEnd w:id="17"/>
      <w:r>
        <w:rPr>
          <w:b/>
          <w:bCs/>
          <w:lang w:val="pt-BR"/>
        </w:rPr>
        <w:t>Seção 4 – Da Consulta do Solicitante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15.</w:t>
      </w:r>
      <w:r>
        <w:rPr>
          <w:lang w:val="pt-BR"/>
        </w:rPr>
        <w:t xml:space="preserve">  A interface de consulta para o solicitante deverá exibir obrigatoriamente: protocolo, nome da demanda, data de abertura, status público, responsável, pendências, última atualização, mapeamento, próximo passo e conclusão da análise.</w:t>
      </w:r>
    </w:p>
    <w:p>
      <w:pPr>
        <w:pStyle w:val="normal1"/>
        <w:ind w:hanging="0" w:start="0"/>
        <w:rPr>
          <w:rFonts w:ascii="Roboto" w:hAnsi="Roboto" w:eastAsia="Roboto" w:cs="Roboto"/>
          <w:lang w:val="pt-BR"/>
        </w:rPr>
      </w:pPr>
      <w:r>
        <w:rPr>
          <w:rFonts w:eastAsia="Roboto" w:cs="Roboto" w:ascii="Roboto" w:hAnsi="Roboto"/>
          <w:lang w:val="pt-BR"/>
        </w:rPr>
      </w:r>
    </w:p>
    <w:p>
      <w:pPr>
        <w:pStyle w:val="Heading2"/>
        <w:rPr>
          <w:lang w:val="pt-BR"/>
        </w:rPr>
      </w:pPr>
      <w:bookmarkStart w:id="18" w:name="_e7hla2hfjl3w"/>
      <w:bookmarkEnd w:id="18"/>
      <w:r>
        <w:rPr>
          <w:b/>
          <w:bCs/>
          <w:lang w:val="pt-BR"/>
        </w:rPr>
        <w:t>Capítulo III – Das Categorias de Solicitação</w:t>
      </w:r>
    </w:p>
    <w:p>
      <w:pPr>
        <w:pStyle w:val="Heading3"/>
        <w:rPr>
          <w:lang w:val="pt-BR"/>
        </w:rPr>
      </w:pPr>
      <w:bookmarkStart w:id="19" w:name="_1kpn0lfrq2n0"/>
      <w:bookmarkEnd w:id="19"/>
      <w:r>
        <w:rPr>
          <w:b/>
          <w:bCs/>
          <w:lang w:val="pt-BR"/>
        </w:rPr>
        <w:t>Seção 1 – Da Classificação Oficial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16.</w:t>
      </w:r>
      <w:r>
        <w:rPr>
          <w:lang w:val="pt-BR"/>
        </w:rPr>
        <w:t xml:space="preserve">  São instituídas as seguintes categorias oficiais para classificação de demandas: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  – Automação: solicitações de automação de atividades operacionais;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II    – Melhoria de processo: revisão, simplificação ou padronização de fluxo;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  – Indicador: criação ou evolução de métrica operacional;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IV   – </w:t>
      </w:r>
      <w:bookmarkStart w:id="20" w:name="__DdeLink__490_4239617756"/>
      <w:r>
        <w:rPr>
          <w:rFonts w:eastAsia="Roboto" w:cs="Roboto" w:ascii="Roboto" w:hAnsi="Roboto"/>
          <w:lang w:val="pt-BR"/>
        </w:rPr>
        <w:t>Dashboard</w:t>
      </w:r>
      <w:bookmarkEnd w:id="20"/>
      <w:r>
        <w:rPr>
          <w:rFonts w:eastAsia="Roboto" w:cs="Roboto" w:ascii="Roboto" w:hAnsi="Roboto"/>
          <w:lang w:val="pt-BR"/>
        </w:rPr>
        <w:t xml:space="preserve"> ou relatório: construção de visualização ou relatório gerencial;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    – Análise de dados: tratamento, cruzamento ou exploração de dados;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   – Padronização: definição de modelos, controles ou procedimentos;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  – Revisão de processo: diagnóstico de processo existente;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VIII – Apoio técnico: avaliação ou suporte dentro do escopo do NEO;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IX   – Estudo de viabilidade: análise preliminar de aderência, esforço e benefício;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X    – Outros: solicitações não cobertas pelas categorias precedentes.</w:t>
      </w:r>
    </w:p>
    <w:p>
      <w:pPr>
        <w:pStyle w:val="normal1"/>
        <w:rPr>
          <w:lang w:val="pt-BR"/>
        </w:rPr>
      </w:pPr>
      <w:r>
        <w:rPr>
          <w:lang w:val="pt-BR"/>
        </w:rPr>
        <w:t>Parágrafo único. O preenchimento do formulário nos termos deste Capítulo é ato vinculado para a geração do protocolo oficial.</w:t>
      </w:r>
    </w:p>
    <w:p>
      <w:pPr>
        <w:pStyle w:val="Heading1"/>
        <w:rPr>
          <w:lang w:val="pt-BR"/>
        </w:rPr>
      </w:pPr>
      <w:bookmarkStart w:id="21" w:name="_h07fxf1sbwem"/>
      <w:bookmarkEnd w:id="21"/>
      <w:r>
        <w:rPr>
          <w:b/>
          <w:bCs/>
          <w:lang w:val="pt-BR"/>
        </w:rPr>
        <w:t>TÍTULO III – DO FLUXO OPERACIONAL E DA FILA CENTRALIZADA</w:t>
      </w:r>
    </w:p>
    <w:p>
      <w:pPr>
        <w:pStyle w:val="normal1"/>
        <w:rPr>
          <w:lang w:val="pt-BR"/>
        </w:rPr>
      </w:pPr>
      <w:r>
        <w:rPr>
          <w:lang w:val="pt-BR"/>
        </w:rPr>
        <w:t>A arquitetura do fluxo macro do sistema NEO é desenhada para garantir a transparência e o controle estrito sobre o backlog. A ordenação lógica dos estados do pedido assegura a governança sobre o ciclo de vida da demanda, permitindo o acompanhamento em tempo real por todas as partes interessadas.</w:t>
      </w:r>
    </w:p>
    <w:p>
      <w:pPr>
        <w:pStyle w:val="Heading2"/>
        <w:rPr>
          <w:lang w:val="pt-BR"/>
        </w:rPr>
      </w:pPr>
      <w:bookmarkStart w:id="22" w:name="_6somj59aj5u5"/>
      <w:bookmarkEnd w:id="22"/>
      <w:r>
        <w:rPr>
          <w:b/>
          <w:bCs/>
          <w:lang w:val="pt-BR"/>
        </w:rPr>
        <w:t>Capítulo I – Do Protocolo e Confirmação</w:t>
      </w:r>
    </w:p>
    <w:p>
      <w:pPr>
        <w:pStyle w:val="Heading3"/>
        <w:rPr>
          <w:lang w:val="pt-BR"/>
        </w:rPr>
      </w:pPr>
      <w:bookmarkStart w:id="23" w:name="_24nel3qrae2k"/>
      <w:bookmarkEnd w:id="23"/>
      <w:r>
        <w:rPr>
          <w:b/>
          <w:bCs/>
          <w:lang w:val="pt-BR"/>
        </w:rPr>
        <w:t>Seção 1 – Do Registro de Protocolo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17.</w:t>
      </w:r>
      <w:r>
        <w:rPr>
          <w:lang w:val="pt-BR"/>
        </w:rPr>
        <w:t xml:space="preserve">  Após a validação e salvamento dos dados, o sistema gerará protocolo único sob o padrão NEO-ANO-NÚMERO SEQUENCIAL.</w:t>
      </w:r>
    </w:p>
    <w:p>
      <w:pPr>
        <w:pStyle w:val="Heading2"/>
        <w:rPr/>
      </w:pPr>
      <w:r>
        <w:rPr/>
        <w:t>Parágrafo único. A tela de confirmação deverá apresentar o número do protocolo, nome do processo, data da solicitação, status inicial, orientação para acompanhamento e opção de imprimir ou salvar o comprovante. Como não haverá envio automático de e-mail, o protocolo deverá permanecer visível para cópia.</w:t>
      </w:r>
    </w:p>
    <w:p>
      <w:pPr>
        <w:pStyle w:val="Heading2"/>
        <w:rPr>
          <w:lang w:val="pt-BR"/>
        </w:rPr>
      </w:pPr>
      <w:bookmarkStart w:id="24" w:name="_mvtnntj8bhwg"/>
      <w:bookmarkEnd w:id="24"/>
      <w:r>
        <w:rPr>
          <w:b/>
          <w:bCs/>
          <w:lang w:val="pt-BR"/>
        </w:rPr>
        <w:t>Capítulo II – Da Fila e dos Status do Pedido</w:t>
      </w:r>
    </w:p>
    <w:p>
      <w:pPr>
        <w:pStyle w:val="Heading3"/>
        <w:rPr>
          <w:lang w:val="pt-BR"/>
        </w:rPr>
      </w:pPr>
      <w:bookmarkStart w:id="25" w:name="_grag6yoz2bkr"/>
      <w:bookmarkEnd w:id="25"/>
      <w:r>
        <w:rPr>
          <w:b/>
          <w:bCs/>
          <w:lang w:val="pt-BR"/>
        </w:rPr>
        <w:t>Seção 1 – Da Fila Centralizada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18.</w:t>
      </w:r>
      <w:r>
        <w:rPr>
          <w:lang w:val="pt-BR"/>
        </w:rPr>
        <w:t xml:space="preserve">  A Fila Centralizada deverá exibir, de forma exaustiva, as seguintes informações: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 – Protocolo;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    – Data de entrada;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  – Nome do processo;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IV   – Área solicitante;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    – Categoria;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   – Prioridade;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  – Criticidade;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VIII – Status;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IX   – Responsável;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X    – Previsão de mapeamento;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XI   – Última atualização;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XII  – Indicadores visuais (atraso, pendência ou ausência de responsável).</w:t>
      </w:r>
    </w:p>
    <w:p>
      <w:pPr>
        <w:pStyle w:val="normal1"/>
        <w:rPr>
          <w:lang w:val="pt-BR"/>
        </w:rPr>
      </w:pPr>
      <w:r>
        <w:rPr>
          <w:lang w:val="pt-BR"/>
        </w:rPr>
        <w:t>Parágrafo único. A fila deve permitir a ordenação e filtragem por protocolo, período, área, categoria, prioridade, status, responsável, criticidade, pendência e prazo.</w:t>
      </w:r>
    </w:p>
    <w:p>
      <w:pPr>
        <w:pStyle w:val="Heading3"/>
        <w:rPr>
          <w:lang w:val="pt-BR"/>
        </w:rPr>
      </w:pPr>
      <w:bookmarkStart w:id="26" w:name="_73sron60o6au"/>
      <w:bookmarkEnd w:id="26"/>
      <w:r>
        <w:rPr>
          <w:b/>
          <w:bCs/>
          <w:lang w:val="pt-BR"/>
        </w:rPr>
        <w:t>Seção 2 – Do Fluxo de Status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19.</w:t>
      </w:r>
      <w:r>
        <w:rPr>
          <w:lang w:val="pt-BR"/>
        </w:rPr>
        <w:t xml:space="preserve">  São instituídos os seguintes estados oficiais para o trâmite da demanda, a serem registrados sequencialmente por incisos: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   – Solicitação enviada;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     – Aguardando triagem;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   – Em triagem;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IV    – Pendente de informações;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     – Aguardando mapeamento;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    – Mapeamento agendado;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   – Em mapeamento;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VIII  – Em análise de viabilidade;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IX    – Elegível;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X     – Não elegível;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XI    – Priorizado;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XII   – Backlog;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XIII  – Direcionado para outra área;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XIV  – Em desenvolvimento;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XV   – Em homologação;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XVI  – Concluído;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XVII – Cancelado.</w:t>
      </w:r>
    </w:p>
    <w:p>
      <w:pPr>
        <w:pStyle w:val="normal1"/>
        <w:rPr>
          <w:lang w:val="pt-BR"/>
        </w:rPr>
      </w:pPr>
      <w:r>
        <w:rPr>
          <w:lang w:val="pt-BR"/>
        </w:rPr>
        <w:t>Parágrafo único. Cada alteração de status deve registrar, obrigatoriamente, o status anterior, novo status, data, horário, usuário responsável e justificativa.</w:t>
      </w:r>
    </w:p>
    <w:p>
      <w:pPr>
        <w:pStyle w:val="Heading2"/>
        <w:rPr>
          <w:lang w:val="pt-BR"/>
        </w:rPr>
      </w:pPr>
      <w:bookmarkStart w:id="27" w:name="_j2uto5o37gnm"/>
      <w:bookmarkEnd w:id="27"/>
      <w:r>
        <w:rPr>
          <w:b/>
          <w:bCs/>
          <w:lang w:val="pt-BR"/>
        </w:rPr>
        <w:t>Capítulo III – Da Triagem e Resultados</w:t>
      </w:r>
    </w:p>
    <w:p>
      <w:pPr>
        <w:pStyle w:val="Heading3"/>
        <w:rPr>
          <w:lang w:val="pt-BR"/>
        </w:rPr>
      </w:pPr>
      <w:bookmarkStart w:id="28" w:name="_gq8o3g2eo9j9"/>
      <w:bookmarkEnd w:id="28"/>
      <w:r>
        <w:rPr>
          <w:b/>
          <w:bCs/>
          <w:lang w:val="pt-BR"/>
        </w:rPr>
        <w:t>Seção 1 – Do Procedimento de Triagem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 xml:space="preserve">Art. 20. </w:t>
      </w:r>
      <w:r>
        <w:rPr>
          <w:lang w:val="pt-BR"/>
        </w:rPr>
        <w:t>Durante a triagem, o responsável deverá conseguir: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I    – Revisar as informações recebidas.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II   – Ajustar a categoria.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III  – Registrar a complexidade preliminar.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IV  – Avaliar aderência ao escopo do NEO.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V   – Registrar riscos.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VI  – Solicitar informações complementares.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VII – Atribuir um responsável.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VIII </w:t>
      </w:r>
      <w:r>
        <w:rPr>
          <w:rFonts w:eastAsia="Roboto" w:cs="Roboto" w:ascii="Roboto" w:hAnsi="Roboto"/>
          <w:lang w:val="pt-BR"/>
        </w:rPr>
        <w:t>–</w:t>
      </w:r>
      <w:r>
        <w:rPr>
          <w:lang w:val="pt-BR"/>
        </w:rPr>
        <w:t xml:space="preserve"> Definir a prioridade.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XI   </w:t>
      </w:r>
      <w:r>
        <w:rPr>
          <w:rFonts w:eastAsia="Roboto" w:cs="Roboto" w:ascii="Roboto" w:hAnsi="Roboto"/>
          <w:lang w:val="pt-BR"/>
        </w:rPr>
        <w:t>–</w:t>
      </w:r>
      <w:r>
        <w:rPr>
          <w:lang w:val="pt-BR"/>
        </w:rPr>
        <w:t xml:space="preserve"> Registrar observações internas.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X    </w:t>
      </w:r>
      <w:r>
        <w:rPr>
          <w:rFonts w:eastAsia="Roboto" w:cs="Roboto" w:ascii="Roboto" w:hAnsi="Roboto"/>
          <w:lang w:val="pt-BR"/>
        </w:rPr>
        <w:t>–</w:t>
      </w:r>
      <w:r>
        <w:rPr>
          <w:lang w:val="pt-BR"/>
        </w:rPr>
        <w:t xml:space="preserve"> Indicar o próximo passo.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XI   </w:t>
      </w:r>
      <w:r>
        <w:rPr>
          <w:rFonts w:eastAsia="Roboto" w:cs="Roboto" w:ascii="Roboto" w:hAnsi="Roboto"/>
          <w:lang w:val="pt-BR"/>
        </w:rPr>
        <w:t>–</w:t>
      </w:r>
      <w:r>
        <w:rPr>
          <w:lang w:val="pt-BR"/>
        </w:rPr>
        <w:t xml:space="preserve"> Alterar o status.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21.</w:t>
      </w:r>
      <w:r>
        <w:rPr>
          <w:lang w:val="pt-BR"/>
        </w:rPr>
        <w:t xml:space="preserve">  A triagem é o ato administrativo de revision e classificação da demanda, devendo resultar em um dos seguintes estados normatizados: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 – Elegível para avaliação;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   – Pendente de informações;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 – Fora do escopo;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IV  – Direcionada para outra área;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   – Duplicada;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  – Cancelada;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VII – Backlog.</w:t>
      </w:r>
    </w:p>
    <w:p>
      <w:pPr>
        <w:pStyle w:val="normal1"/>
        <w:rPr>
          <w:lang w:val="pt-BR"/>
        </w:rPr>
      </w:pPr>
      <w:r>
        <w:rPr>
          <w:lang w:val="pt-BR"/>
        </w:rPr>
        <w:t>Parágrafo único. É obrigatória a inclusão de justificativa técnica sempre que a demanda for classificada como não elegível, fora de escopo ou cancelada.</w:t>
      </w:r>
    </w:p>
    <w:p>
      <w:pPr>
        <w:pStyle w:val="Heading2"/>
        <w:rPr>
          <w:lang w:val="pt-BR"/>
        </w:rPr>
      </w:pPr>
      <w:bookmarkStart w:id="29" w:name="_oq2uyzd5xfxk"/>
      <w:bookmarkEnd w:id="29"/>
      <w:r>
        <w:rPr>
          <w:b/>
          <w:bCs/>
          <w:lang w:val="pt-BR"/>
        </w:rPr>
        <w:t>Capítulo IV – Da Comunicação Manual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22.</w:t>
      </w:r>
      <w:r>
        <w:rPr>
          <w:lang w:val="pt-BR"/>
        </w:rPr>
        <w:t xml:space="preserve">  O sistema deverá disponibilizar modelos de texto (templates) para cópia manual, abrangendo: confirmação de recebimento, solicitação de pendências, confirmação de agendamento, atualização de status e encerramento da demanda.</w:t>
      </w:r>
    </w:p>
    <w:p>
      <w:pPr>
        <w:pStyle w:val="Heading1"/>
        <w:rPr>
          <w:lang w:val="pt-BR"/>
        </w:rPr>
      </w:pPr>
      <w:bookmarkStart w:id="30" w:name="_obup45319jpm"/>
      <w:bookmarkEnd w:id="30"/>
      <w:r>
        <w:rPr>
          <w:b/>
          <w:bCs/>
          <w:lang w:val="pt-BR"/>
        </w:rPr>
        <w:t>TÍTULO IV – DA PRIORIZAÇÃO E ATRIBUIÇÃO</w:t>
      </w:r>
    </w:p>
    <w:p>
      <w:pPr>
        <w:pStyle w:val="normal1"/>
        <w:rPr>
          <w:lang w:val="pt-BR"/>
        </w:rPr>
      </w:pPr>
      <w:r>
        <w:rPr>
          <w:lang w:val="pt-BR"/>
        </w:rPr>
        <w:t>A gestão de demandas complexas exige a aplicação de critérios objetivos para a eliminação da subjetividade. A priorização mediante escala quantitativa assegura que os esforços do Núcleo sejam direcionados às iniciativas de maior valor estratégico e operacional.</w:t>
      </w:r>
    </w:p>
    <w:p>
      <w:pPr>
        <w:pStyle w:val="Heading2"/>
        <w:rPr>
          <w:lang w:val="pt-BR"/>
        </w:rPr>
      </w:pPr>
      <w:bookmarkStart w:id="31" w:name="_tf7kqb2tckfm"/>
      <w:bookmarkEnd w:id="31"/>
      <w:r>
        <w:rPr>
          <w:b/>
          <w:bCs/>
          <w:lang w:val="pt-BR"/>
        </w:rPr>
        <w:t>Capítulo I – Dos Critérios de Priorização</w:t>
      </w:r>
    </w:p>
    <w:p>
      <w:pPr>
        <w:pStyle w:val="Heading3"/>
        <w:rPr>
          <w:lang w:val="pt-BR"/>
        </w:rPr>
      </w:pPr>
      <w:bookmarkStart w:id="32" w:name="_iehn2qticpea"/>
      <w:bookmarkEnd w:id="32"/>
      <w:r>
        <w:rPr>
          <w:b/>
          <w:bCs/>
          <w:lang w:val="pt-BR"/>
        </w:rPr>
        <w:t>Seção 1 – Da Avaliação Quantitativa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23.</w:t>
      </w:r>
      <w:r>
        <w:rPr>
          <w:lang w:val="pt-BR"/>
        </w:rPr>
        <w:t xml:space="preserve">  A priorização deverá ser calculada com base na escala de 1 a 5 para cada um dos seguintes critérios obrigatórios: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  – Impacto operacional;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    – Risco operacional;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  – Urgência;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IV   – Volumetria;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    – Esforço manual;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   – Impacto no cliente;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  – Prazo regulatório;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VIII – Áreas impactadas;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IX   – Alinhamento estratégico;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X    – Complexidade estimada.</w:t>
      </w:r>
    </w:p>
    <w:p>
      <w:pPr>
        <w:pStyle w:val="normal1"/>
        <w:rPr>
          <w:lang w:val="pt-BR"/>
        </w:rPr>
      </w:pPr>
      <w:r>
        <w:rPr>
          <w:lang w:val="pt-BR"/>
        </w:rPr>
        <w:t>§ 1º A avaliação deverá ser realizada em escala de 1 a 5, definindo as faixas de prioridade: Baixa, Média, Alta e Crítica.</w:t>
      </w:r>
    </w:p>
    <w:p>
      <w:pPr>
        <w:pStyle w:val="normal1"/>
        <w:rPr>
          <w:lang w:val="pt-BR"/>
        </w:rPr>
      </w:pPr>
      <w:r>
        <w:rPr>
          <w:lang w:val="pt-BR"/>
        </w:rPr>
        <w:t>§ 2º É obrigatório o registro de justificativa técnica para quaisquer ajustes manuais na prioridade calculada.</w:t>
      </w:r>
    </w:p>
    <w:p>
      <w:pPr>
        <w:pStyle w:val="Heading2"/>
        <w:rPr>
          <w:lang w:val="pt-BR"/>
        </w:rPr>
      </w:pPr>
      <w:bookmarkStart w:id="33" w:name="_82hc9r9gjdv6"/>
      <w:bookmarkEnd w:id="33"/>
      <w:r>
        <w:rPr>
          <w:b/>
          <w:bCs/>
          <w:lang w:val="pt-BR"/>
        </w:rPr>
        <w:t>Capítulo II – Da Atribuição de Responsabilidade e Mapeamento</w:t>
      </w:r>
    </w:p>
    <w:p>
      <w:pPr>
        <w:pStyle w:val="Heading3"/>
        <w:rPr>
          <w:lang w:val="pt-BR"/>
        </w:rPr>
      </w:pPr>
      <w:bookmarkStart w:id="34" w:name="_rowjngan5irm"/>
      <w:bookmarkEnd w:id="34"/>
      <w:r>
        <w:rPr>
          <w:b/>
          <w:bCs/>
          <w:lang w:val="pt-BR"/>
        </w:rPr>
        <w:t>Seção 1 – Do Cadastro e Atribuição de Responsáveis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24.</w:t>
      </w:r>
      <w:r>
        <w:rPr>
          <w:lang w:val="pt-BR"/>
        </w:rPr>
        <w:t xml:space="preserve">  A atribuição do responsável é ato manual do administrador, devendo o sistema registrar: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– Nome e e-mail de contato;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II  – Função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– Especialidades;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VI – Categorias atendidas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  – Status (ativo/inativo);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VI – Capacidade de atendimento (referência visual para o administrador no momento da atribuição de novas demandas);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VI – Observações.</w:t>
      </w:r>
    </w:p>
    <w:p>
      <w:pPr>
        <w:pStyle w:val="Heading3"/>
        <w:rPr>
          <w:lang w:val="pt-BR"/>
        </w:rPr>
      </w:pPr>
      <w:bookmarkStart w:id="35" w:name="_n2qdyb3poffx"/>
      <w:bookmarkEnd w:id="35"/>
      <w:r>
        <w:rPr>
          <w:b/>
          <w:bCs/>
          <w:lang w:val="pt-BR"/>
        </w:rPr>
        <w:t>Seção 2 – Do Registro do Mapeamento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25.</w:t>
      </w:r>
      <w:r>
        <w:rPr>
          <w:lang w:val="pt-BR"/>
        </w:rPr>
        <w:t xml:space="preserve">  O registro do mapeamento deverá ser realizado manualmente pela equipe, contendo: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 – Responsável designado;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   – Data e horário;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 – Duração prevista;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IV  – Modalidade e local (quando presencial) ou link da reunião;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   – Participantes previstos;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VI  – Observações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VII – Status da confirmação.</w:t>
      </w:r>
    </w:p>
    <w:p>
      <w:pPr>
        <w:pStyle w:val="normal1"/>
        <w:rPr>
          <w:lang w:val="pt-BR"/>
        </w:rPr>
      </w:pPr>
      <w:r>
        <w:rPr>
          <w:lang w:val="pt-BR"/>
        </w:rPr>
        <w:t>Parágrafo único. O formulário de solicitação poderá colher até três opções de preferência de horários do solicitante, servindo estas apenas como referência para o agendamento manual.</w:t>
      </w:r>
    </w:p>
    <w:p>
      <w:pPr>
        <w:pStyle w:val="Heading1"/>
        <w:rPr>
          <w:lang w:val="pt-BR"/>
        </w:rPr>
      </w:pPr>
      <w:bookmarkStart w:id="36" w:name="_6r8yvuadnsmn"/>
      <w:bookmarkEnd w:id="36"/>
      <w:r>
        <w:rPr>
          <w:b/>
          <w:bCs/>
          <w:lang w:val="pt-BR"/>
        </w:rPr>
        <w:t>TÍTULO V – DA GOVERNANÇA, AUDITORIA E INDICADORES</w:t>
      </w:r>
    </w:p>
    <w:p>
      <w:pPr>
        <w:pStyle w:val="normal1"/>
        <w:rPr>
          <w:lang w:val="pt-BR"/>
        </w:rPr>
      </w:pPr>
      <w:r>
        <w:rPr>
          <w:lang w:val="pt-BR"/>
        </w:rPr>
        <w:t>A imutabilidade dos registros de auditoria é o alicerce da conformidade e da evolução do sistema NEO. A preservação da trilha histórica assegura a transparência administrativa e a integridade dos dados para fins de fiscalização e melhoria contínua.</w:t>
      </w:r>
    </w:p>
    <w:p>
      <w:pPr>
        <w:pStyle w:val="Heading2"/>
        <w:rPr>
          <w:lang w:val="pt-BR"/>
        </w:rPr>
      </w:pPr>
      <w:bookmarkStart w:id="37" w:name="_2g855yu2nk9h"/>
      <w:bookmarkEnd w:id="37"/>
      <w:r>
        <w:rPr>
          <w:b/>
          <w:bCs/>
          <w:lang w:val="pt-BR"/>
        </w:rPr>
        <w:t>Capítulo I – Do Painel Administrativo e Perfis</w:t>
      </w:r>
    </w:p>
    <w:p>
      <w:pPr>
        <w:pStyle w:val="Heading3"/>
        <w:rPr>
          <w:lang w:val="pt-BR"/>
        </w:rPr>
      </w:pPr>
      <w:bookmarkStart w:id="38" w:name="_ftthorcxe1po"/>
      <w:bookmarkEnd w:id="38"/>
      <w:r>
        <w:rPr>
          <w:b/>
          <w:bCs/>
          <w:lang w:val="pt-BR"/>
        </w:rPr>
        <w:t>Seção 1 – Dos Perfis de Acesso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26.</w:t>
      </w:r>
      <w:r>
        <w:rPr>
          <w:lang w:val="pt-BR"/>
        </w:rPr>
        <w:t xml:space="preserve">  Ficam instituídos os seguintes perfis de acesso e suas respectivas competências: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– Solicitante: cadastramento de demandas e consulta de protocolos;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  – Analista / Mapeador: gestão de demandas atribuídas, registros de mapeamento e observações;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– Administrador do NEO: gestão plena de fila, prioridades, parâmetros e auditoria;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IV – Gestor / Visualizador: consulta a indicadores e relatórios, sem poder de alteração.</w:t>
      </w:r>
    </w:p>
    <w:p>
      <w:pPr>
        <w:pStyle w:val="normal1"/>
        <w:ind w:hanging="0" w:start="720"/>
        <w:rPr>
          <w:rFonts w:ascii="Roboto" w:hAnsi="Roboto" w:eastAsia="Roboto" w:cs="Roboto"/>
          <w:lang w:val="pt-BR"/>
        </w:rPr>
      </w:pPr>
      <w:r>
        <w:rPr>
          <w:rFonts w:eastAsia="Roboto" w:cs="Roboto" w:ascii="Roboto" w:hAnsi="Roboto"/>
          <w:lang w:val="pt-BR"/>
        </w:rPr>
      </w:r>
    </w:p>
    <w:p>
      <w:pPr>
        <w:pStyle w:val="Heading3"/>
        <w:rPr>
          <w:lang w:val="pt-BR"/>
        </w:rPr>
      </w:pPr>
      <w:bookmarkStart w:id="39" w:name="_w0cg7mk0can1"/>
      <w:bookmarkEnd w:id="39"/>
      <w:r>
        <w:rPr>
          <w:b/>
          <w:bCs/>
          <w:lang w:val="pt-BR"/>
        </w:rPr>
        <w:t>Seção 1 –</w:t>
      </w:r>
      <w:r>
        <w:rPr>
          <w:rFonts w:eastAsia="Roboto" w:cs="Roboto" w:ascii="Roboto" w:hAnsi="Roboto"/>
          <w:b/>
          <w:bCs/>
          <w:lang w:val="pt-BR"/>
        </w:rPr>
        <w:t xml:space="preserve"> Do Painel Administrativo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27.</w:t>
      </w:r>
      <w:r>
        <w:rPr>
          <w:lang w:val="pt-BR"/>
        </w:rPr>
        <w:t xml:space="preserve">  O Painel Administrativo deve permitir a gestão de parâmetros, a abertura de detalhes de demandas, consultar todas as demandas, filtrar a fila, abrir detalhes do pedido (separando dados do solicitante, demanda, prioridade, responsável, mapeamento, pendências, observações internas e histórico), alterar categoria/prioridade/status, registrar pendências, incluir comentários internos, cancelar solicitações e exportar dados.</w:t>
      </w:r>
    </w:p>
    <w:p>
      <w:pPr>
        <w:pStyle w:val="normal1"/>
        <w:ind w:hanging="0" w:start="0"/>
        <w:rPr>
          <w:rFonts w:ascii="Roboto" w:hAnsi="Roboto" w:eastAsia="Roboto" w:cs="Roboto"/>
          <w:lang w:val="pt-BR"/>
        </w:rPr>
      </w:pPr>
      <w:r>
        <w:rPr>
          <w:rFonts w:eastAsia="Roboto" w:cs="Roboto" w:ascii="Roboto" w:hAnsi="Roboto"/>
          <w:lang w:val="pt-BR"/>
        </w:rPr>
      </w:r>
    </w:p>
    <w:p>
      <w:pPr>
        <w:pStyle w:val="Heading2"/>
        <w:rPr>
          <w:lang w:val="pt-BR"/>
        </w:rPr>
      </w:pPr>
      <w:bookmarkStart w:id="40" w:name="_vs1cc39et3di"/>
      <w:bookmarkEnd w:id="40"/>
      <w:r>
        <w:rPr>
          <w:b/>
          <w:bCs/>
          <w:lang w:val="pt-BR"/>
        </w:rPr>
        <w:t>Capítulo II – Da Auditoria e Histórico</w:t>
      </w:r>
    </w:p>
    <w:p>
      <w:pPr>
        <w:pStyle w:val="Heading3"/>
        <w:rPr>
          <w:lang w:val="pt-BR"/>
        </w:rPr>
      </w:pPr>
      <w:bookmarkStart w:id="41" w:name="_sv7z94av2iiy"/>
      <w:bookmarkEnd w:id="41"/>
      <w:r>
        <w:rPr>
          <w:b/>
          <w:bCs/>
          <w:lang w:val="pt-BR"/>
        </w:rPr>
        <w:t>Seção 1 – Dos Registros Imutáveis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28.</w:t>
      </w:r>
      <w:r>
        <w:rPr>
          <w:lang w:val="pt-BR"/>
        </w:rPr>
        <w:t xml:space="preserve">  Deverão ser registrados em log de auditoria, de forma imutável, os seguintes eventos mínimos: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  – Criação da solicitação;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    – Alteração de status;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  – Alteração de prioridade;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IV   – Atribuição de responsável;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    – Substituição de responsável;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   – Registro ou alteração do mapeamento;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  – Inclusão de pendência;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VIII – Conclusão;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IX   – Cancelamento.</w:t>
      </w:r>
    </w:p>
    <w:p>
      <w:pPr>
        <w:pStyle w:val="Heading2"/>
        <w:rPr>
          <w:lang w:val="pt-BR"/>
        </w:rPr>
      </w:pPr>
      <w:bookmarkStart w:id="42" w:name="_psvu2rgx67l9"/>
      <w:bookmarkEnd w:id="42"/>
      <w:r>
        <w:rPr>
          <w:b/>
          <w:bCs/>
          <w:lang w:val="pt-BR"/>
        </w:rPr>
        <w:t>Capítulo III – Dos Indicadores e Exportação de Dados</w:t>
      </w:r>
    </w:p>
    <w:p>
      <w:pPr>
        <w:pStyle w:val="Heading3"/>
        <w:rPr>
          <w:lang w:val="pt-BR"/>
        </w:rPr>
      </w:pPr>
      <w:bookmarkStart w:id="43" w:name="_uu6qenys4b7s"/>
      <w:bookmarkEnd w:id="43"/>
      <w:r>
        <w:rPr>
          <w:b/>
          <w:bCs/>
          <w:lang w:val="pt-BR"/>
        </w:rPr>
        <w:t>Seção 1 – Dos Indicadores Operacionais e Exportação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29.</w:t>
      </w:r>
      <w:r>
        <w:rPr>
          <w:lang w:val="pt-BR"/>
        </w:rPr>
        <w:t xml:space="preserve">  O sistema deverá prover painel de indicadores e funcionalidade de exportação (Excel/CSV) contemplando: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   – Total de solicitações e distribuição por status, categoria e área;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  – Demandas pendentes, fora do prazo ou sem responsável;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 xml:space="preserve">III – Tempos médios (Lead Time) de triagem e mapeamento; </w:t>
      </w:r>
    </w:p>
    <w:p>
      <w:pPr>
        <w:pStyle w:val="normal1"/>
        <w:ind w:hanging="0" w:start="720"/>
        <w:rPr>
          <w:lang w:val="pt-BR"/>
        </w:rPr>
      </w:pPr>
      <w:r>
        <w:rPr>
          <w:rFonts w:eastAsia="Roboto" w:cs="Roboto" w:ascii="Roboto" w:hAnsi="Roboto"/>
          <w:lang w:val="pt-BR"/>
        </w:rPr>
        <w:t>IV – Dados exaustivos para auditoria externa conforme filtros aplicados.</w:t>
      </w:r>
    </w:p>
    <w:p>
      <w:pPr>
        <w:pStyle w:val="Heading1"/>
        <w:rPr>
          <w:lang w:val="pt-BR"/>
        </w:rPr>
      </w:pPr>
      <w:bookmarkStart w:id="44" w:name="_p440716hkhob"/>
      <w:bookmarkEnd w:id="44"/>
      <w:r>
        <w:rPr>
          <w:b/>
          <w:bCs/>
          <w:lang w:val="pt-BR"/>
        </w:rPr>
        <w:t>TÍTULO VI – DAS ESPECIFICAÇÕES TÉCNICAS E EXCLUSÕES</w:t>
      </w:r>
    </w:p>
    <w:p>
      <w:pPr>
        <w:pStyle w:val="normal1"/>
        <w:rPr>
          <w:lang w:val="pt-BR"/>
        </w:rPr>
      </w:pPr>
      <w:r>
        <w:rPr>
          <w:lang w:val="pt-BR"/>
        </w:rPr>
        <w:t>O rigor tecnológico é a base da legalidade canônica deste sistema. A adoção de Node.js e TypeScript institui a "jurisdição técnica" necessária para assegurar uma estrutura modular, segura e preparada para a escalabilidade e integridade dos processos aqui normatizados.</w:t>
      </w:r>
    </w:p>
    <w:p>
      <w:pPr>
        <w:pStyle w:val="Heading2"/>
        <w:rPr>
          <w:lang w:val="pt-BR"/>
        </w:rPr>
      </w:pPr>
      <w:bookmarkStart w:id="45" w:name="_ps49dy4vuvmr"/>
      <w:bookmarkEnd w:id="45"/>
      <w:r>
        <w:rPr>
          <w:b/>
          <w:bCs/>
          <w:lang w:val="pt-BR"/>
        </w:rPr>
        <w:t>Capítulo I – Dos Requisitos Tecnológicos e Estrutura Modular</w:t>
      </w:r>
    </w:p>
    <w:p>
      <w:pPr>
        <w:pStyle w:val="Heading3"/>
        <w:rPr>
          <w:lang w:val="pt-BR"/>
        </w:rPr>
      </w:pPr>
      <w:bookmarkStart w:id="46" w:name="_ykv362qz5yng"/>
      <w:bookmarkEnd w:id="46"/>
      <w:r>
        <w:rPr>
          <w:b/>
          <w:bCs/>
          <w:lang w:val="pt-BR"/>
        </w:rPr>
        <w:t>Seção 1 – Da Pilha Tecnológica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30.</w:t>
      </w:r>
      <w:r>
        <w:rPr>
          <w:lang w:val="pt-BR"/>
        </w:rPr>
        <w:t xml:space="preserve">  A plataforma deverá ser obrigatoriamente desenvolvida em Node.js com TypeScript, adotando interface web responsiva e arquitetura modular.</w:t>
      </w:r>
    </w:p>
    <w:p>
      <w:pPr>
        <w:pStyle w:val="normal1"/>
        <w:rPr>
          <w:lang w:val="pt-BR"/>
        </w:rPr>
      </w:pPr>
      <w:r>
        <w:rPr>
          <w:lang w:val="pt-BR"/>
        </w:rPr>
        <w:t>Parágrafo único. O sistema deverá garantir a separação entre interface, regras de negócio e persistência de dados, com tratamento centralizado de logs e erros.</w:t>
      </w:r>
    </w:p>
    <w:p>
      <w:pPr>
        <w:pStyle w:val="Heading2"/>
        <w:rPr>
          <w:lang w:val="pt-BR"/>
        </w:rPr>
      </w:pPr>
      <w:bookmarkStart w:id="47" w:name="_yjxmrdoao7qi"/>
      <w:bookmarkEnd w:id="47"/>
      <w:r>
        <w:rPr>
          <w:b/>
          <w:bCs/>
          <w:lang w:val="pt-BR"/>
        </w:rPr>
        <w:t>Capítulo II – Da Preparação para Integrações Futuras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31.</w:t>
      </w:r>
      <w:r>
        <w:rPr>
          <w:lang w:val="pt-BR"/>
        </w:rPr>
        <w:t xml:space="preserve"> A arquitetura do sistema deve prever a modularidade necessária para facilitar futuras integrações, incluindo diretórios corporativos e sistemas de comunicação, respeitando a diretriz de Baixo Acoplamento.</w:t>
      </w:r>
    </w:p>
    <w:p>
      <w:pPr>
        <w:pStyle w:val="Heading2"/>
        <w:rPr>
          <w:lang w:val="pt-BR"/>
        </w:rPr>
      </w:pPr>
      <w:bookmarkStart w:id="48" w:name="_15ddykcf0jlw"/>
      <w:bookmarkEnd w:id="48"/>
      <w:r>
        <w:rPr>
          <w:b/>
          <w:bCs/>
          <w:lang w:val="pt-BR"/>
        </w:rPr>
        <w:t>Capítulo III – Das Exclusões de Escopo</w:t>
      </w:r>
    </w:p>
    <w:p>
      <w:pPr>
        <w:pStyle w:val="Heading3"/>
        <w:rPr>
          <w:lang w:val="pt-BR"/>
        </w:rPr>
      </w:pPr>
      <w:bookmarkStart w:id="49" w:name="_1da24eq1d4uk"/>
      <w:bookmarkEnd w:id="49"/>
      <w:r>
        <w:rPr>
          <w:b/>
          <w:bCs/>
          <w:lang w:val="pt-BR"/>
        </w:rPr>
        <w:t>Seção 1 – Das Vedações da Versão Inicial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32.</w:t>
      </w:r>
      <w:r>
        <w:rPr>
          <w:lang w:val="pt-BR"/>
        </w:rPr>
        <w:t xml:space="preserve">  É vedada a inclusão, nesta versão inicial, dos seguintes recursos, cuja implementação fica reservada a evoluções posteriores: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I   – Consulta automática à agenda e criação automática de reuniões ou links;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II  – Envio automático de e-mails, convites ou mensagens via Teams;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III – Reconhecimento automático de usuário ou consulta ao diretório corporativo;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IV – Sincronização com sistemas externos ou distribuição automática de responsáveis;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V  – Inteligência artificial para classificação ou leitura de anexos;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>VI – Aplicativos móveis ou dashboards analíticos avançados.</w:t>
      </w:r>
    </w:p>
    <w:p>
      <w:pPr>
        <w:pStyle w:val="Heading2"/>
        <w:rPr>
          <w:lang w:val="pt-BR"/>
        </w:rPr>
      </w:pPr>
      <w:bookmarkStart w:id="50" w:name="_ydfw8hikfe39"/>
      <w:bookmarkEnd w:id="50"/>
      <w:r>
        <w:rPr>
          <w:b/>
          <w:bCs/>
          <w:lang w:val="pt-BR"/>
        </w:rPr>
        <w:t>Capítulo IV – Da Validação e Entrega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34.</w:t>
      </w:r>
      <w:r>
        <w:rPr>
          <w:lang w:val="pt-BR"/>
        </w:rPr>
        <w:t xml:space="preserve"> A entrega da solução deve observar o Resumo Executivo do Escopo e ser registrada formalmente por meio de um Registro de Validação, conforme as diretrizes de governança técnica.</w:t>
      </w:r>
    </w:p>
    <w:p>
      <w:pPr>
        <w:pStyle w:val="Heading2"/>
        <w:rPr>
          <w:lang w:val="pt-BR"/>
        </w:rPr>
      </w:pPr>
      <w:bookmarkStart w:id="51" w:name="_wm94cj8oksud"/>
      <w:bookmarkEnd w:id="51"/>
      <w:r>
        <w:rPr>
          <w:b/>
          <w:bCs/>
          <w:lang w:val="pt-BR"/>
        </w:rPr>
        <w:t>Capítulo V – Das Disposições Finais e Aceite</w:t>
      </w:r>
    </w:p>
    <w:p>
      <w:pPr>
        <w:pStyle w:val="Heading3"/>
        <w:rPr>
          <w:lang w:val="pt-BR"/>
        </w:rPr>
      </w:pPr>
      <w:bookmarkStart w:id="52" w:name="_jzea9agqetuf"/>
      <w:bookmarkEnd w:id="52"/>
      <w:r>
        <w:rPr>
          <w:b/>
          <w:bCs/>
          <w:lang w:val="pt-BR"/>
        </w:rPr>
        <w:t>Seção 1 – Dos Critérios de Validade (Aceite)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35.</w:t>
      </w:r>
      <w:r>
        <w:rPr>
          <w:lang w:val="pt-BR"/>
        </w:rPr>
        <w:t xml:space="preserve">  A validade normativa e técnica da entrega do sistema está condicionada ao cumprimento integral dos seguintes 20 critérios de aceite: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I       – Disponibilidade integral via URL interna;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II      – Funcionalidade plena de registro de solicitação;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III     – Validação rigorosa de campos obrigatórios;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IV     – Geração de protocolo único e sequencial;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V      – Inserção automática do pedido na fila centralizada;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VI     – Capacidade de consulta por protocolo;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VII    – Funcionalidade de classificação de demandas por categoria;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VIII   – Implementação de critérios de priorização;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IX     – Capacidade de atribuição manual de responsável;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X      – Registro manual de dados de mapeamento;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XI     – Alteração e controle de status do fluxo;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XII    – Funcionalidade para registro de pendências;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XIII   – Segregação entre observações internas e informações públicas;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XIV   – Manutenção de histórico imutável de alterações;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XV    – Aplicação de filtros e ordenação na fila centralizada;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XVI   – Exportação de dados em formatos estruturados;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XVII  – Exibição de indicadores operacionais básicos;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XVIII – Implementação de controle de perfis de acesso;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 xml:space="preserve">XIX   – Resiliência e tratamento de erros sem perda de dados; </w:t>
      </w:r>
    </w:p>
    <w:p>
      <w:pPr>
        <w:pStyle w:val="normal1"/>
        <w:ind w:hanging="0" w:start="720"/>
        <w:rPr>
          <w:lang w:val="pt-BR"/>
        </w:rPr>
      </w:pPr>
      <w:r>
        <w:rPr>
          <w:lang w:val="pt-BR"/>
        </w:rPr>
        <w:t>XX    – Disponibilização de documentação técnica e de uso.</w:t>
      </w:r>
    </w:p>
    <w:p>
      <w:pPr>
        <w:pStyle w:val="normal1"/>
        <w:rPr>
          <w:lang w:val="pt-BR"/>
        </w:rPr>
      </w:pPr>
      <w:r>
        <w:rPr>
          <w:b/>
          <w:bCs/>
          <w:lang w:val="pt-BR"/>
        </w:rPr>
        <w:t>Art. 36.</w:t>
      </w:r>
      <w:r>
        <w:rPr>
          <w:lang w:val="pt-BR"/>
        </w:rPr>
        <w:t xml:space="preserve">  Este Código entra em vigor na data de sua validação formal.</w:t>
      </w:r>
    </w:p>
    <w:p>
      <w:pPr>
        <w:pStyle w:val="normal1"/>
        <w:rPr>
          <w:lang w:val="pt-BR"/>
        </w:rPr>
      </w:pPr>
      <w:r>
        <w:rPr>
          <w:lang w:val="pt-BR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Arial">
    <w:charset w:val="01"/>
    <w:family w:val="swiss"/>
    <w:pitch w:val="variable"/>
  </w:font>
  <w:font w:name="Roboto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Collabora_Office/26.04.2.4$Linux_X86_64 LibreOffice_project/2229109277f4b443dd1eb5df11c5e59f74d1a45d</Application>
  <AppVersion>15.0000</AppVersion>
  <Pages>10</Pages>
  <Words>2493</Words>
  <Characters>14907</Characters>
  <CharactersWithSpaces>17848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2026-08-06T23:26:07Z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