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i w:val="0"/>
          <w:color w:val="0B2545"/>
          <w:sz w:val="48"/>
        </w:rPr>
        <w:t>EduPro Instructor Performance and Course Quality</w:t>
      </w:r>
    </w:p>
    <w:p>
      <w:pPr>
        <w:spacing w:after="240"/>
      </w:pPr>
      <w:r>
        <w:rPr>
          <w:rFonts w:ascii="Calibri" w:hAnsi="Calibri"/>
          <w:b w:val="0"/>
          <w:i w:val="0"/>
          <w:color w:val="667085"/>
          <w:sz w:val="24"/>
        </w:rPr>
        <w:t>Executive Summary | Unified Mentor Internship | 31 August 2026</w:t>
      </w:r>
    </w:p>
    <w:p>
      <w:pPr>
        <w:shd w:fill="E8EEF5"/>
        <w:spacing w:before="80" w:after="200"/>
        <w:ind w:left="115" w:right="115"/>
      </w:pPr>
      <w:r>
        <w:rPr>
          <w:rFonts w:ascii="Calibri" w:hAnsi="Calibri"/>
          <w:b/>
          <w:i w:val="0"/>
          <w:color w:val="0B2545"/>
          <w:sz w:val="21"/>
        </w:rPr>
        <w:t>Decision headline: prioritize Advanced-course redesign and validate transaction assignment logic before using the data for instructor accountability. Experience predicts teacher ratings, but teacher ratings do not predict assigned course ratings in this workbook.</w:t>
      </w:r>
    </w:p>
    <w:p>
      <w:pPr>
        <w:pStyle w:val="Heading1"/>
      </w:pPr>
      <w:r>
        <w:t>At a glance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1440"/>
        <w:gridCol w:w="5328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KPI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Average teacher rating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3.12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Platform teaching-quality benchmark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Average course rating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3.10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Platform content-effectiveness benchmark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Experience impact score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59.8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0-100 representation of experience -&gt; teacher-rating correlation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Enrollment influence ratio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3.72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High-tier enrollment share / high-tier instructor share</w:t>
            </w:r>
          </w:p>
        </w:tc>
      </w:tr>
    </w:tbl>
    <w:p>
      <w:pPr>
        <w:spacing w:after="0"/>
      </w:pPr>
    </w:p>
    <w:p>
      <w:pPr>
        <w:pStyle w:val="Heading1"/>
      </w:pPr>
      <w:r>
        <w:t>What the data says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teacher rating average is 3.12; the course rating average is 3.10.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Experience has a moderate positive association with teacher ratings (r = 0.598), but almost no association with unique-course ratings (r = 0.010).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Teacher rating and assigned course rating are effectively unrelated (r = -0.002). A high teacher rating should not be treated as a substitute for course-level review.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High-rated instructors are 11 of 60 instructors (18.3%) but account for 68.2% of observed enrollments, a 3.72x concentration ratio.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Marketing leads categories at 3.72 average rating; Machine Learning is lowest at 2.66. Intermediate courses lead by level, while Advanced courses are lowest.</w:t>
      </w:r>
    </w:p>
    <w:p>
      <w:pPr>
        <w:pStyle w:val="Heading1"/>
      </w:pPr>
      <w:r>
        <w:t>Recommended actions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4608"/>
        <w:gridCol w:w="3888"/>
      </w:tblGrid>
      <w:tr>
        <w:trPr>
          <w:tblHeader w:val="true"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Priority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Success measure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1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Launch an Advanced-course quality sprint, starting with low-rated categories.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Course rating and rating spread improve after redesign; completion and support metrics added.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2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Validate how TeacherID is assigned in Transactions and add a course author/owner field.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One auditable ownership path per course; fewer ambiguous teacher-course joins.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3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Use high-rated instructors as mentors and reviewers while measuring course-level outcomes separately.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Mentored courses improve without widening rating gaps across categories or levels.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4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Review enrollment concentration around the two highest-volume instructors.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1828"/>
                <w:sz w:val="18"/>
              </w:rPr>
              <w:t>Demand concentration explained as genuine learner preference or corrected as a data artifact.</w:t>
            </w:r>
          </w:p>
        </w:tc>
      </w:tr>
    </w:tbl>
    <w:p>
      <w:pPr>
        <w:spacing w:after="0"/>
      </w:pPr>
    </w:p>
    <w:p>
      <w:pPr>
        <w:pStyle w:val="Heading1"/>
      </w:pPr>
      <w:r>
        <w:t>Guardrails for decision-makers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workbook has 60 teachers, 60 courses, 10,000 transactions, and 3,000 users, with no missing values or duplicate rows in the supplied sheets.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There are 887 distinct teacher-course pairs, averaging 14.8 teachers per course. Findings are assignment-level associations, not causal instructor effects.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Small expertise groups should be interpreted cautiously. Ratings also lack rating-count confidence measures, completion outcomes, and qualitative review context.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dashboard excludes user email fields and is designed for aggregate quality monitoring.</w:t>
      </w:r>
    </w:p>
    <w:p>
      <w:pPr>
        <w:pStyle w:val="Heading1"/>
      </w:pPr>
      <w:r>
        <w:t>Deliverable</w:t>
      </w:r>
    </w:p>
    <w:p>
      <w:r>
        <w:t>Use the accompanying Streamlit dashboard to filter expertise, category, level, and teacher rating range; inspect the leaderboard; and review the category-level heatmap. The research paper contains full methodology, tables, limitations, and next-step recommendations.</w:t>
      </w:r>
    </w:p>
    <w:p>
      <w:r>
        <w:t>Source: EduPro Online Platform.xlsx supplied for the Unified Mentor internship project.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>EduPro | Executive Summary | Unified Mentor Internship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