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rPr/>
      </w:pPr>
      <w:r>
        <w:rPr/>
        <w:t>Executive Summary</w:t>
      </w:r>
    </w:p>
    <w:p>
      <w:pPr>
        <w:pStyle w:val="Heading2"/>
        <w:bidi w:val="0"/>
        <w:ind w:hanging="0" w:start="0"/>
        <w:rPr/>
      </w:pPr>
      <w:r>
        <w:rPr/>
        <w:t>Care Transition Efficiency &amp; Placement Outcome Analytics</w:t>
      </w:r>
    </w:p>
    <w:p>
      <w:pPr>
        <w:pStyle w:val="Heading3"/>
        <w:bidi w:val="0"/>
        <w:ind w:hanging="0" w:start="0"/>
        <w:rPr/>
      </w:pPr>
      <w:r>
        <w:rPr/>
        <w:t>Period covered</w:t>
      </w:r>
    </w:p>
    <w:p>
      <w:pPr>
        <w:pStyle w:val="BodyText"/>
        <w:bidi w:val="0"/>
        <w:rPr/>
      </w:pPr>
      <w:r>
        <w:rPr/>
        <w:t>October 9–December 21, 2025, across 49 reporting observations.</w:t>
      </w:r>
    </w:p>
    <w:p>
      <w:pPr>
        <w:pStyle w:val="Heading3"/>
        <w:bidi w:val="0"/>
        <w:ind w:hanging="0" w:start="0"/>
        <w:rPr/>
      </w:pPr>
      <w:r>
        <w:rPr/>
        <w:t>What the data shows</w:t>
      </w:r>
    </w:p>
    <w:p>
      <w:pPr>
        <w:pStyle w:val="BodyText"/>
        <w:bidi w:val="0"/>
        <w:rPr/>
      </w:pPr>
      <w:r>
        <w:rPr/>
        <w:t>The HHS care stock increased from 2,192 to 2,484 children, a rise of 292 children or 13.3%. Across the reporting observations, 357 children were recorded as apprehended, 495 were transferred out of CBP custody, and 462 were discharged from HHS care.</w:t>
      </w:r>
    </w:p>
    <w:p>
      <w:pPr>
        <w:pStyle w:val="BodyText"/>
        <w:bidi w:val="0"/>
        <w:rPr/>
      </w:pPr>
      <w:r>
        <w:rPr/>
        <w:t>The weighted transfer efficiency ratio was 29.4%. The weighted discharge effectiveness ratio was 0.40%. The observed pipeline throughput ratio, defined as discharges divided by reported apprehensions, was 129.4%; this is a flow comparison rather than a cohort completion rate because the dataset does not link children across stages.</w:t>
      </w:r>
    </w:p>
    <w:p>
      <w:pPr>
        <w:pStyle w:val="Heading3"/>
        <w:bidi w:val="0"/>
        <w:ind w:hanging="0" w:start="0"/>
        <w:rPr/>
      </w:pPr>
      <w:r>
        <w:rPr/>
        <w:t>Main operational signals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HHS-stage pressure accumulated overall. Transfers exceeded discharges by 33 across the observed rows, and 26 of 49 reporting observations had positive net HHS flow.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The largest single reporting-day accumulation was November 23, when transfers exceeded discharges by 21.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Transfer performance weakened across the three calendar months: the weighted ratio was 39.2% in October, 27.5% in November, and 22.8% in December.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Discharges averaged 9.4 per reporting observation with a coefficient of variation of 0.42, producing an Outcome Stability Score of 58.5/100 under the defined method.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Sunday reporting observations had the highest observed transfer ratio at 37.4% and the highest average net HHS flow at 3.9. This is an observed reporting-day pattern, not a causal weekday effect, because the sample is sparse and unbalanced.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Recommended actions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Review the November-to-December decline in transfer efficiency by separating operational capacity, transportation availability, screening completion, and reporting-timing factors.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Use a weekly exception queue for days where transfers exceed discharges and the HHS stock rises. Prioritize cases with aging, sponsor-readiness, or documentation blockers.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Track discharges against a stable denominator and add individual-level timestamps in the next data release so that true median time-to-transfer and time-to-placement can be measured.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Add facility, region, case type, and reason-for-delay fields to locate bottlenecks instead of treating the national aggregate as a single process.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Establish a recurring dashboard review using configurable alert floors for transfer efficiency, discharge effectiveness, backlog change, and outcome stability.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Data limitation</w:t>
      </w:r>
    </w:p>
    <w:p>
      <w:pPr>
        <w:pStyle w:val="BodyText"/>
        <w:bidi w:val="0"/>
        <w:rPr/>
      </w:pPr>
      <w:r>
        <w:rPr/>
        <w:t>This is an aggregate snapshot dataset with 49 non-daily observations. It supports directional monitoring and operational triage, but not individual-level causal analysis, cohort conversion rates, or precise service-time estimates.</w:t>
      </w:r>
    </w:p>
    <w:p>
      <w:pPr>
        <w:pStyle w:val="BodyText"/>
        <w:bidi w:val="0"/>
        <w:spacing w:before="0" w:after="14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