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MAVIS</w:t>
      </w:r>
      <w:r>
        <w:t xml:space="preserve"> </w:t>
      </w:r>
      <w:r>
        <w:t xml:space="preserve">-</w:t>
      </w:r>
      <w:r>
        <w:t xml:space="preserve"> </w:t>
      </w:r>
      <w:r>
        <w:t xml:space="preserve">Documentation</w:t>
      </w:r>
    </w:p>
    <w:p>
      <w:pPr>
        <w:pStyle w:val="Subtitle"/>
      </w:pPr>
      <w:r>
        <w:t xml:space="preserve">v0.96</w:t>
      </w:r>
    </w:p>
    <w:bookmarkStart w:id="2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The assignment of species compositional data to established vegetation</w:t>
      </w:r>
      <w:r>
        <w:t xml:space="preserve"> </w:t>
      </w:r>
      <w:r>
        <w:t xml:space="preserve">classifications is a well established practice in ecology and conservation</w:t>
      </w:r>
      <w:r>
        <w:t xml:space="preserve"> </w:t>
      </w:r>
      <w:r>
        <w:t xml:space="preserve">(</w:t>
      </w:r>
      <w:hyperlink w:anchor="ref-maciejewski2020">
        <w:r>
          <w:rPr>
            <w:rStyle w:val="Hyperlink"/>
          </w:rPr>
          <w:t xml:space="preserve">Maciejewski et al. 2020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The results of this assignment process are used in various ways, including:</w:t>
      </w:r>
      <w:r>
        <w:t xml:space="preserve"> </w:t>
      </w:r>
      <w:r>
        <w:t xml:space="preserve">informing ecological restoration objectives</w:t>
      </w:r>
      <w:r>
        <w:t xml:space="preserve"> </w:t>
      </w:r>
      <w:r>
        <w:t xml:space="preserve">(</w:t>
      </w:r>
      <w:hyperlink w:anchor="ref-gann2019">
        <w:r>
          <w:rPr>
            <w:rStyle w:val="Hyperlink"/>
          </w:rPr>
          <w:t xml:space="preserve">Gann et al. 2019</w:t>
        </w:r>
      </w:hyperlink>
      <w:r>
        <w:t xml:space="preserve">)</w:t>
      </w:r>
      <w:r>
        <w:t xml:space="preserve">,</w:t>
      </w:r>
      <w:r>
        <w:t xml:space="preserve"> </w:t>
      </w:r>
      <w:r>
        <w:t xml:space="preserve">assisting in the phase 2 habitat survey (or NVC survey)</w:t>
      </w:r>
      <w:r>
        <w:t xml:space="preserve"> </w:t>
      </w:r>
      <w:r>
        <w:t xml:space="preserve">(</w:t>
      </w:r>
      <w:hyperlink w:anchor="ref-rodwell2006national">
        <w:r>
          <w:rPr>
            <w:rStyle w:val="Hyperlink"/>
          </w:rPr>
          <w:t xml:space="preserve">Rodwell 2006</w:t>
        </w:r>
      </w:hyperlink>
      <w:r>
        <w:t xml:space="preserve">)</w:t>
      </w:r>
      <w:r>
        <w:t xml:space="preserve"> </w:t>
      </w:r>
      <w:r>
        <w:t xml:space="preserve">process,</w:t>
      </w:r>
      <w:r>
        <w:t xml:space="preserve"> </w:t>
      </w:r>
      <w:r>
        <w:t xml:space="preserve">along with establishing an ecological baseline and identifying important</w:t>
      </w:r>
      <w:r>
        <w:t xml:space="preserve"> </w:t>
      </w:r>
      <w:r>
        <w:t xml:space="preserve">ecological features such as protected habitats</w:t>
      </w:r>
      <w:r>
        <w:t xml:space="preserve"> </w:t>
      </w:r>
      <w:r>
        <w:t xml:space="preserve">(</w:t>
      </w:r>
      <w:hyperlink w:anchor="ref-cieem2022">
        <w:r>
          <w:rPr>
            <w:rStyle w:val="Hyperlink"/>
          </w:rPr>
          <w:t xml:space="preserve">CIEEM 2022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The development of computational methods and programs for the assignment of</w:t>
      </w:r>
      <w:r>
        <w:t xml:space="preserve"> </w:t>
      </w:r>
      <w:r>
        <w:t xml:space="preserve">vegetation survey data to NVC communities began with the development of</w:t>
      </w:r>
      <w:r>
        <w:t xml:space="preserve"> </w:t>
      </w:r>
      <w:r>
        <w:t xml:space="preserve">TABLEFIT</w:t>
      </w:r>
      <w:r>
        <w:t xml:space="preserve"> </w:t>
      </w:r>
      <w:r>
        <w:t xml:space="preserve">(</w:t>
      </w:r>
      <w:hyperlink w:anchor="ref-hill1989">
        <w:r>
          <w:rPr>
            <w:rStyle w:val="Hyperlink"/>
          </w:rPr>
          <w:t xml:space="preserve">Hill 1989</w:t>
        </w:r>
      </w:hyperlink>
      <w:r>
        <w:t xml:space="preserve">;</w:t>
      </w:r>
      <w:r>
        <w:t xml:space="preserve"> </w:t>
      </w:r>
      <w:hyperlink w:anchor="ref-marrs2019">
        <w:r>
          <w:rPr>
            <w:rStyle w:val="Hyperlink"/>
          </w:rPr>
          <w:t xml:space="preserve">Marrs 2019</w:t>
        </w:r>
      </w:hyperlink>
      <w:r>
        <w:t xml:space="preserve">)</w:t>
      </w:r>
      <w:r>
        <w:t xml:space="preserve">. The most recent program, the Modular Analysis of</w:t>
      </w:r>
      <w:r>
        <w:t xml:space="preserve"> </w:t>
      </w:r>
      <w:r>
        <w:t xml:space="preserve">Vegetation Information System (MAVIS), was originally developed by</w:t>
      </w:r>
      <w:r>
        <w:t xml:space="preserve"> </w:t>
      </w:r>
      <w:r>
        <w:t xml:space="preserve">S. Smart, Goodwin, and Wallace (</w:t>
      </w:r>
      <w:hyperlink w:anchor="ref-smart2016mavis">
        <w:r>
          <w:rPr>
            <w:rStyle w:val="Hyperlink"/>
          </w:rPr>
          <w:t xml:space="preserve">2016</w:t>
        </w:r>
      </w:hyperlink>
      <w:r>
        <w:t xml:space="preserve">)</w:t>
      </w:r>
      <w:r>
        <w:t xml:space="preserve"> </w:t>
      </w:r>
      <w:r>
        <w:t xml:space="preserve">as a Windows application, with the latest version released in</w:t>
      </w:r>
      <w:r>
        <w:t xml:space="preserve"> </w:t>
      </w:r>
      <w:r>
        <w:t xml:space="preserve">2021.</w:t>
      </w:r>
    </w:p>
    <w:p>
      <w:pPr>
        <w:pStyle w:val="BodyText"/>
      </w:pPr>
      <w:r>
        <w:t xml:space="preserve">This R Shiny implementation of MAVIS is the newest program in this series,</w:t>
      </w:r>
      <w:r>
        <w:t xml:space="preserve"> </w:t>
      </w:r>
      <w:r>
        <w:t xml:space="preserve">aiming to provide a web-based and easily operable system which can be updated</w:t>
      </w:r>
      <w:r>
        <w:t xml:space="preserve"> </w:t>
      </w:r>
      <w:r>
        <w:t xml:space="preserve">and improved over time.</w:t>
      </w:r>
    </w:p>
    <w:bookmarkEnd w:id="20"/>
    <w:bookmarkStart w:id="45" w:name="instructions-and-methodology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Instructions and Methodology</w:t>
      </w:r>
    </w:p>
    <w:bookmarkStart w:id="23" w:name="survey-dat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Survey Data</w:t>
      </w:r>
    </w:p>
    <w:p>
      <w:pPr>
        <w:pStyle w:val="FirstParagraph"/>
      </w:pPr>
      <w:r>
        <w:t xml:space="preserve">Three methods for entering data into MAVIS are provided:</w:t>
      </w:r>
      <w:r>
        <w:t xml:space="preserve"> </w:t>
      </w:r>
      <w:r>
        <w:t xml:space="preserve">manual, upload, and example. The manual method allows the user to enter the data</w:t>
      </w:r>
      <w:r>
        <w:t xml:space="preserve"> </w:t>
      </w:r>
      <w:r>
        <w:t xml:space="preserve">directly via editing the cells of the survey data table, or copying the data in.</w:t>
      </w:r>
      <w:r>
        <w:t xml:space="preserve"> </w:t>
      </w:r>
      <w:r>
        <w:t xml:space="preserve">The upload method allows the user to upload the data in one of three formats:</w:t>
      </w:r>
      <w:r>
        <w:t xml:space="preserve"> </w:t>
      </w:r>
      <w:r>
        <w:t xml:space="preserve">long, wide, and matrix. The example method allows the user to load a bundled</w:t>
      </w:r>
      <w:r>
        <w:t xml:space="preserve"> </w:t>
      </w:r>
      <w:r>
        <w:t xml:space="preserve">dataset, in order to demonstrate the functionality of the app</w:t>
      </w:r>
      <w:r>
        <w:t xml:space="preserve"> </w:t>
      </w:r>
      <w:r>
        <w:t xml:space="preserve">(see Section</w:t>
      </w:r>
      <w:r>
        <w:t xml:space="preserve"> </w:t>
      </w:r>
      <w:r>
        <w:t xml:space="preserve">2.1.2</w:t>
      </w:r>
      <w:r>
        <w:t xml:space="preserve">).</w:t>
      </w:r>
    </w:p>
    <w:bookmarkStart w:id="21" w:name="accepted-specie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Accepted Species</w:t>
      </w:r>
    </w:p>
    <w:p>
      <w:pPr>
        <w:pStyle w:val="FirstParagraph"/>
      </w:pPr>
      <w:r>
        <w:t xml:space="preserve">The list of species available for entry is currently composed of:</w:t>
      </w:r>
    </w:p>
    <w:p>
      <w:pPr>
        <w:numPr>
          <w:ilvl w:val="0"/>
          <w:numId w:val="1001"/>
        </w:numPr>
        <w:pStyle w:val="Compact"/>
      </w:pPr>
      <w:r>
        <w:t xml:space="preserve">The vascular plant taxa present in the Botanical Society of Britain and Ireland’s</w:t>
      </w:r>
      <w:r>
        <w:t xml:space="preserve"> </w:t>
      </w:r>
      <w:r>
        <w:t xml:space="preserve">database</w:t>
      </w:r>
      <w:r>
        <w:t xml:space="preserve"> </w:t>
      </w:r>
      <w:r>
        <w:t xml:space="preserve">(</w:t>
      </w:r>
      <w:hyperlink w:anchor="ref-bsbi2022TaxonLists">
        <w:r>
          <w:rPr>
            <w:rStyle w:val="Hyperlink"/>
          </w:rPr>
          <w:t xml:space="preserve">BSBI 2022</w:t>
        </w:r>
      </w:hyperlink>
      <w:r>
        <w:t xml:space="preserve">)</w:t>
      </w:r>
      <w:r>
        <w:t xml:space="preserve">; filtered to include taxa at the genus,</w:t>
      </w:r>
      <w:r>
        <w:t xml:space="preserve"> </w:t>
      </w:r>
      <w:r>
        <w:t xml:space="preserve">species, hybrid species, and subspecies ranks which have an associated</w:t>
      </w:r>
      <w:r>
        <w:t xml:space="preserve"> </w:t>
      </w:r>
      <w:r>
        <w:t xml:space="preserve">UK Species Inventory (UKSI) Taxon Version Key (TVK).</w:t>
      </w:r>
    </w:p>
    <w:p>
      <w:pPr>
        <w:numPr>
          <w:ilvl w:val="0"/>
          <w:numId w:val="1001"/>
        </w:numPr>
        <w:pStyle w:val="Compact"/>
      </w:pPr>
      <w:r>
        <w:t xml:space="preserve">The accepted bryophytes present in the UKSI, retrieved from the National</w:t>
      </w:r>
      <w:r>
        <w:t xml:space="preserve"> </w:t>
      </w:r>
      <w:r>
        <w:t xml:space="preserve">Biodiversity Network (NBN).</w:t>
      </w:r>
    </w:p>
    <w:p>
      <w:pPr>
        <w:numPr>
          <w:ilvl w:val="0"/>
          <w:numId w:val="1001"/>
        </w:numPr>
        <w:pStyle w:val="Compact"/>
      </w:pPr>
      <w:r>
        <w:t xml:space="preserve">The lichens, charophytes, and algae present in the NVC floristic tables.</w:t>
      </w:r>
    </w:p>
    <w:bookmarkEnd w:id="21"/>
    <w:bookmarkStart w:id="22" w:name="example-data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Example Data</w:t>
      </w:r>
    </w:p>
    <w:p>
      <w:pPr>
        <w:pStyle w:val="FirstParagraph"/>
      </w:pPr>
      <w:r>
        <w:t xml:space="preserve">Four example datasets are available in MAVIS, which provide a</w:t>
      </w:r>
      <w:r>
        <w:t xml:space="preserve"> </w:t>
      </w:r>
      <w:r>
        <w:t xml:space="preserve">means to explore the applications functionality.</w:t>
      </w:r>
    </w:p>
    <w:p>
      <w:pPr>
        <w:pStyle w:val="BodyText"/>
      </w:pPr>
      <w:r>
        <w:rPr>
          <w:bCs/>
          <w:b/>
        </w:rPr>
        <w:t xml:space="preserve">Parsonage Down</w:t>
      </w:r>
    </w:p>
    <w:p>
      <w:pPr>
        <w:pStyle w:val="BodyText"/>
      </w:pPr>
      <w:r>
        <w:t xml:space="preserve">The Parsonage Down dataset</w:t>
      </w:r>
      <w:r>
        <w:t xml:space="preserve"> </w:t>
      </w:r>
      <w:r>
        <w:t xml:space="preserve">(</w:t>
      </w:r>
      <w:hyperlink w:anchor="ref-ridding2020">
        <w:r>
          <w:rPr>
            <w:rStyle w:val="Hyperlink"/>
          </w:rPr>
          <w:t xml:space="preserve">Ridding et al. 2020</w:t>
        </w:r>
      </w:hyperlink>
      <w:r>
        <w:t xml:space="preserve">)</w:t>
      </w:r>
      <w:r>
        <w:t xml:space="preserve"> </w:t>
      </w:r>
      <w:r>
        <w:t xml:space="preserve">contains the results of a long-term</w:t>
      </w:r>
      <w:r>
        <w:t xml:space="preserve"> </w:t>
      </w:r>
      <w:r>
        <w:t xml:space="preserve">survey of Parsonage Down National Nature Reserve in Wiltshire, which consists of</w:t>
      </w:r>
      <w:r>
        <w:t xml:space="preserve"> </w:t>
      </w:r>
      <w:r>
        <w:t xml:space="preserve">188ha of calcareous grassland. The site was surveyed in three years: 1970, 1990,</w:t>
      </w:r>
      <w:r>
        <w:t xml:space="preserve"> </w:t>
      </w:r>
      <w:r>
        <w:t xml:space="preserve">and 2016. Four transects were surveyed, containing a total of 115 quadrats. The</w:t>
      </w:r>
      <w:r>
        <w:t xml:space="preserve"> </w:t>
      </w:r>
      <w:r>
        <w:t xml:space="preserve">Domin scale of abundance system was used, with these values being converted into</w:t>
      </w:r>
      <w:r>
        <w:t xml:space="preserve"> </w:t>
      </w:r>
      <w:r>
        <w:t xml:space="preserve">direct percentage estimates for use in MAVIS.</w:t>
      </w:r>
    </w:p>
    <w:p>
      <w:pPr>
        <w:pStyle w:val="BodyText"/>
      </w:pPr>
      <w:r>
        <w:rPr>
          <w:bCs/>
          <w:b/>
        </w:rPr>
        <w:t xml:space="preserve">Leith Hill Place Wood</w:t>
      </w:r>
    </w:p>
    <w:p>
      <w:pPr>
        <w:pStyle w:val="BodyText"/>
      </w:pPr>
      <w:r>
        <w:t xml:space="preserve">The Leith Hill Place Wood dataset represents a subset of the Bunce woodland</w:t>
      </w:r>
      <w:r>
        <w:t xml:space="preserve"> </w:t>
      </w:r>
      <w:r>
        <w:t xml:space="preserve">survey data, described in</w:t>
      </w:r>
      <w:r>
        <w:t xml:space="preserve"> </w:t>
      </w:r>
      <w:r>
        <w:t xml:space="preserve">Wood, Smart, and Bunce (</w:t>
      </w:r>
      <w:hyperlink w:anchor="ref-wood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 </w:t>
      </w:r>
      <w:r>
        <w:t xml:space="preserve">and consists of a total of 16 plots surveyed</w:t>
      </w:r>
      <w:r>
        <w:t xml:space="preserve"> </w:t>
      </w:r>
      <w:r>
        <w:t xml:space="preserve">in 1971, 2001, and 2021</w:t>
      </w:r>
      <w:r>
        <w:t xml:space="preserve"> </w:t>
      </w:r>
      <w:r>
        <w:t xml:space="preserve">(</w:t>
      </w:r>
      <w:hyperlink w:anchor="ref-smart2024">
        <w:r>
          <w:rPr>
            <w:rStyle w:val="Hyperlink"/>
          </w:rPr>
          <w:t xml:space="preserve">S. M. Smart et al. 2024</w:t>
        </w:r>
      </w:hyperlink>
      <w:r>
        <w:t xml:space="preserve">)</w:t>
      </w:r>
      <w:r>
        <w:t xml:space="preserve">. Leith Hill Place Wood lies in the path of</w:t>
      </w:r>
      <w:r>
        <w:t xml:space="preserve"> </w:t>
      </w:r>
      <w:r>
        <w:t xml:space="preserve">the October 1987 storm track, with</w:t>
      </w:r>
      <w:r>
        <w:t xml:space="preserve"> </w:t>
      </w:r>
      <w:r>
        <w:t xml:space="preserve">Simon M. Smart et al. (</w:t>
      </w:r>
      <w:hyperlink w:anchor="ref-smart2014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outlining the positive effect of</w:t>
      </w:r>
      <w:r>
        <w:t xml:space="preserve"> </w:t>
      </w:r>
      <w:r>
        <w:t xml:space="preserve">the storm on species richness between 1971 and 2001. No cover values are</w:t>
      </w:r>
      <w:r>
        <w:t xml:space="preserve"> </w:t>
      </w:r>
      <w:r>
        <w:t xml:space="preserve">currently provided in this example dataset.</w:t>
      </w:r>
    </w:p>
    <w:p>
      <w:pPr>
        <w:pStyle w:val="BodyText"/>
      </w:pPr>
      <w:r>
        <w:rPr>
          <w:bCs/>
          <w:b/>
        </w:rPr>
        <w:t xml:space="preserve">Whitwell Common</w:t>
      </w:r>
    </w:p>
    <w:p>
      <w:pPr>
        <w:pStyle w:val="BodyText"/>
      </w:pPr>
      <w:r>
        <w:t xml:space="preserve">The Whitwell Common dataset is composed of a repeat survey of Whitwell Common,</w:t>
      </w:r>
      <w:r>
        <w:t xml:space="preserve"> </w:t>
      </w:r>
      <w:r>
        <w:t xml:space="preserve">Norfolk - a soligenous mire. Thirty repeat quadrats were surveyed in 1994 and</w:t>
      </w:r>
      <w:r>
        <w:t xml:space="preserve"> </w:t>
      </w:r>
      <w:r>
        <w:t xml:space="preserve">1997</w:t>
      </w:r>
      <w:r>
        <w:t xml:space="preserve"> </w:t>
      </w:r>
      <w:r>
        <w:t xml:space="preserve">(</w:t>
      </w:r>
      <w:hyperlink w:anchor="ref-smart2000">
        <w:r>
          <w:rPr>
            <w:rStyle w:val="Hyperlink"/>
          </w:rPr>
          <w:t xml:space="preserve">S. M. Smart 2000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No cover values are currently provided in this example dataset.</w:t>
      </w:r>
    </w:p>
    <w:p>
      <w:pPr>
        <w:pStyle w:val="BodyText"/>
      </w:pPr>
      <w:r>
        <w:rPr>
          <w:bCs/>
          <w:b/>
        </w:rPr>
        <w:t xml:space="preserve">Newborough Warren</w:t>
      </w:r>
      <w:r>
        <w:t xml:space="preserve">.</w:t>
      </w:r>
    </w:p>
    <w:p>
      <w:pPr>
        <w:pStyle w:val="BodyText"/>
      </w:pPr>
      <w:r>
        <w:t xml:space="preserve">The Newborough Warren dataset contains the results of a yearly monitoring study</w:t>
      </w:r>
      <w:r>
        <w:t xml:space="preserve"> </w:t>
      </w:r>
      <w:r>
        <w:t xml:space="preserve">at Newborough Warren (Ynys Llanddwyn SSSI, Anglesey) with four dune slacks</w:t>
      </w:r>
      <w:r>
        <w:t xml:space="preserve"> </w:t>
      </w:r>
      <w:r>
        <w:t xml:space="preserve">surveyed over five years: 2014, 2015, 2016, 2017, and 2018</w:t>
      </w:r>
      <w:r>
        <w:t xml:space="preserve"> </w:t>
      </w:r>
      <w:r>
        <w:t xml:space="preserve">(which contain 18, 19, 18, 24, and 24 quadrats respectively)</w:t>
      </w:r>
      <w:r>
        <w:t xml:space="preserve"> </w:t>
      </w:r>
      <w:r>
        <w:t xml:space="preserve">(</w:t>
      </w:r>
      <w:hyperlink w:anchor="ref-wallace2018">
        <w:r>
          <w:rPr>
            <w:rStyle w:val="Hyperlink"/>
          </w:rPr>
          <w:t xml:space="preserve">Wallace and Jones 2018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No cover values are currently provided in this example dataset.</w:t>
      </w:r>
    </w:p>
    <w:bookmarkEnd w:id="22"/>
    <w:bookmarkEnd w:id="23"/>
    <w:bookmarkStart w:id="24" w:name="survey-data-validation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Survey Data Validation</w:t>
      </w:r>
    </w:p>
    <w:p>
      <w:pPr>
        <w:pStyle w:val="FirstParagraph"/>
      </w:pPr>
      <w:r>
        <w:t xml:space="preserve">At present MAVIS is designed to analyse vegetation survey data in</w:t>
      </w:r>
      <w:r>
        <w:t xml:space="preserve"> </w:t>
      </w:r>
      <w:r>
        <w:t xml:space="preserve">the form of grouped quadrats for a single site, with or without cover</w:t>
      </w:r>
      <w:r>
        <w:t xml:space="preserve"> </w:t>
      </w:r>
      <w:r>
        <w:t xml:space="preserve">estimates. However, the user may utilise the</w:t>
      </w:r>
      <w:r>
        <w:t xml:space="preserve"> </w:t>
      </w:r>
      <w:r>
        <w:t xml:space="preserve">“</w:t>
      </w:r>
      <w:r>
        <w:t xml:space="preserve">Group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Quadrat</w:t>
      </w:r>
      <w:r>
        <w:t xml:space="preserve">”</w:t>
      </w:r>
      <w:r>
        <w:t xml:space="preserve"> </w:t>
      </w:r>
      <w:r>
        <w:t xml:space="preserve">columns as desired, for example by using the</w:t>
      </w:r>
      <w:r>
        <w:t xml:space="preserve"> </w:t>
      </w:r>
      <w:r>
        <w:t xml:space="preserve">“</w:t>
      </w:r>
      <w:r>
        <w:t xml:space="preserve">Group</w:t>
      </w:r>
      <w:r>
        <w:t xml:space="preserve">”</w:t>
      </w:r>
      <w:r>
        <w:t xml:space="preserve"> </w:t>
      </w:r>
      <w:r>
        <w:t xml:space="preserve">column to delineate sites.</w:t>
      </w:r>
    </w:p>
    <w:p>
      <w:pPr>
        <w:pStyle w:val="BodyText"/>
      </w:pPr>
      <w:r>
        <w:t xml:space="preserve">Data entered through any of these methods must meet the following conditions.</w:t>
      </w:r>
    </w:p>
    <w:p>
      <w:pPr>
        <w:numPr>
          <w:ilvl w:val="0"/>
          <w:numId w:val="1002"/>
        </w:numPr>
        <w:pStyle w:val="Compact"/>
      </w:pPr>
      <w:r>
        <w:t xml:space="preserve">Each species value must match a species present in the accepted species</w:t>
      </w:r>
      <w:r>
        <w:t xml:space="preserve"> </w:t>
      </w:r>
      <w:r>
        <w:t xml:space="preserve">list, which can be downloaded in the</w:t>
      </w:r>
      <w:r>
        <w:t xml:space="preserve"> </w:t>
      </w:r>
      <w:r>
        <w:t xml:space="preserve">“</w:t>
      </w:r>
      <w:r>
        <w:t xml:space="preserve">Download Options</w:t>
      </w:r>
      <w:r>
        <w:t xml:space="preserve">”</w:t>
      </w:r>
      <w:r>
        <w:t xml:space="preserve"> </w:t>
      </w:r>
      <w:r>
        <w:t xml:space="preserve">section (see Section</w:t>
      </w:r>
      <w:r>
        <w:t xml:space="preserve"> </w:t>
      </w:r>
      <w:r>
        <w:t xml:space="preserve">2.1.1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There must be no missing values in the year, group, quadrat, and species columns.</w:t>
      </w:r>
    </w:p>
    <w:p>
      <w:pPr>
        <w:numPr>
          <w:ilvl w:val="0"/>
          <w:numId w:val="1002"/>
        </w:numPr>
        <w:pStyle w:val="Compact"/>
      </w:pPr>
      <w:r>
        <w:t xml:space="preserve">Each quadrat value must be unique in each year, even if in a separate group.</w:t>
      </w:r>
    </w:p>
    <w:p>
      <w:pPr>
        <w:numPr>
          <w:ilvl w:val="0"/>
          <w:numId w:val="1002"/>
        </w:numPr>
        <w:pStyle w:val="Compact"/>
      </w:pPr>
      <w:r>
        <w:t xml:space="preserve">Each group value must be unique in each year.</w:t>
      </w:r>
    </w:p>
    <w:p>
      <w:pPr>
        <w:numPr>
          <w:ilvl w:val="0"/>
          <w:numId w:val="1002"/>
        </w:numPr>
        <w:pStyle w:val="Compact"/>
      </w:pPr>
      <w:r>
        <w:t xml:space="preserve">Each year value must be a four digit integer.</w:t>
      </w:r>
    </w:p>
    <w:p>
      <w:pPr>
        <w:numPr>
          <w:ilvl w:val="0"/>
          <w:numId w:val="1002"/>
        </w:numPr>
        <w:pStyle w:val="Compact"/>
      </w:pPr>
      <w:r>
        <w:t xml:space="preserve">No quadrat must contain two entries of the same species.</w:t>
      </w:r>
    </w:p>
    <w:p>
      <w:pPr>
        <w:pStyle w:val="FirstParagraph"/>
      </w:pPr>
      <w:r>
        <w:t xml:space="preserve">These conditions are checked and can be viewed in the</w:t>
      </w:r>
      <w:r>
        <w:t xml:space="preserve"> </w:t>
      </w:r>
      <w:r>
        <w:rPr>
          <w:bCs/>
          <w:b/>
        </w:rPr>
        <w:t xml:space="preserve">Survey Data Validation</w:t>
      </w:r>
      <w:r>
        <w:t xml:space="preserve"> </w:t>
      </w:r>
      <w:r>
        <w:t xml:space="preserve">section, accessed by pressing the</w:t>
      </w:r>
      <w:r>
        <w:t xml:space="preserve"> </w:t>
      </w:r>
      <w:r>
        <w:t xml:space="preserve">“</w:t>
      </w:r>
      <w:r>
        <w:t xml:space="preserve">Validate Survey Data</w:t>
      </w:r>
      <w:r>
        <w:t xml:space="preserve">”</w:t>
      </w:r>
      <w:r>
        <w:t xml:space="preserve"> </w:t>
      </w:r>
      <w:r>
        <w:t xml:space="preserve">button. Here the user</w:t>
      </w:r>
      <w:r>
        <w:t xml:space="preserve"> </w:t>
      </w:r>
      <w:r>
        <w:t xml:space="preserve">may adjust the species which are not present in the accepted list using the</w:t>
      </w:r>
      <w:r>
        <w:t xml:space="preserve"> </w:t>
      </w:r>
      <w:r>
        <w:t xml:space="preserve">“</w:t>
      </w:r>
      <w:r>
        <w:t xml:space="preserve">Species Adjustment Table</w:t>
      </w:r>
      <w:r>
        <w:t xml:space="preserve">”</w:t>
      </w:r>
      <w:r>
        <w:t xml:space="preserve">, three options are provided:</w:t>
      </w:r>
    </w:p>
    <w:p>
      <w:pPr>
        <w:numPr>
          <w:ilvl w:val="0"/>
          <w:numId w:val="1003"/>
        </w:numPr>
        <w:pStyle w:val="Compact"/>
      </w:pPr>
      <w:r>
        <w:t xml:space="preserve">Replace a submitted species with a accepted species.</w:t>
      </w:r>
    </w:p>
    <w:p>
      <w:pPr>
        <w:numPr>
          <w:ilvl w:val="0"/>
          <w:numId w:val="1003"/>
        </w:numPr>
        <w:pStyle w:val="Compact"/>
      </w:pPr>
      <w:r>
        <w:t xml:space="preserve">Ignore a submitted species. This omits the species from the NVC assignment process.</w:t>
      </w:r>
    </w:p>
    <w:p>
      <w:pPr>
        <w:numPr>
          <w:ilvl w:val="0"/>
          <w:numId w:val="1003"/>
        </w:numPr>
        <w:pStyle w:val="Compact"/>
      </w:pPr>
      <w:r>
        <w:t xml:space="preserve">Remove a submitted species. This removes a species (or entry in the species column) in the survey table.</w:t>
      </w:r>
    </w:p>
    <w:p>
      <w:pPr>
        <w:pStyle w:val="FirstParagraph"/>
      </w:pPr>
      <w:r>
        <w:t xml:space="preserve">The user may also combine duplicate observations of a species in quadrats using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Combine Duplicates</w:t>
      </w:r>
      <w:r>
        <w:t xml:space="preserve">”</w:t>
      </w:r>
      <w:r>
        <w:t xml:space="preserve"> </w:t>
      </w:r>
      <w:r>
        <w:t xml:space="preserve">button.</w:t>
      </w:r>
    </w:p>
    <w:p>
      <w:pPr>
        <w:pStyle w:val="BodyText"/>
      </w:pPr>
      <w:r>
        <w:t xml:space="preserve">Until these conditions are met MAVIS will not be able to proceed</w:t>
      </w:r>
      <w:r>
        <w:t xml:space="preserve"> </w:t>
      </w:r>
      <w:r>
        <w:t xml:space="preserve">with as the</w:t>
      </w:r>
      <w:r>
        <w:t xml:space="preserve"> </w:t>
      </w:r>
      <w:r>
        <w:t xml:space="preserve">“</w:t>
      </w:r>
      <w:r>
        <w:t xml:space="preserve">Run Analysis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Generate Report</w:t>
      </w:r>
      <w:r>
        <w:t xml:space="preserve">”</w:t>
      </w:r>
      <w:r>
        <w:t xml:space="preserve"> </w:t>
      </w:r>
      <w:r>
        <w:t xml:space="preserve">buttons will be</w:t>
      </w:r>
      <w:r>
        <w:t xml:space="preserve"> </w:t>
      </w:r>
      <w:r>
        <w:t xml:space="preserve">disabled.</w:t>
      </w:r>
    </w:p>
    <w:bookmarkEnd w:id="24"/>
    <w:bookmarkStart w:id="27" w:name="nvc-assignment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NVC Assignment</w:t>
      </w:r>
    </w:p>
    <w:p>
      <w:pPr>
        <w:pStyle w:val="FirstParagraph"/>
      </w:pPr>
      <w:r>
        <w:t xml:space="preserve">In MAVIS NVC community similarities are assigned to survey data for the site and</w:t>
      </w:r>
      <w:r>
        <w:t xml:space="preserve"> </w:t>
      </w:r>
      <w:r>
        <w:t xml:space="preserve">each group of plots by year using the Czekanowski index</w:t>
      </w:r>
      <w:r>
        <w:t xml:space="preserve"> </w:t>
      </w:r>
      <w:r>
        <w:t xml:space="preserve">(</w:t>
      </w:r>
      <w:hyperlink w:anchor="ref-bloom1981">
        <w:r>
          <w:rPr>
            <w:rStyle w:val="Hyperlink"/>
          </w:rPr>
          <w:t xml:space="preserve">Bloom 1981</w:t>
        </w:r>
      </w:hyperlink>
      <w:r>
        <w:t xml:space="preserve">;</w:t>
      </w:r>
      <w:r>
        <w:t xml:space="preserve"> </w:t>
      </w:r>
      <w:hyperlink w:anchor="ref-hill1989">
        <w:r>
          <w:rPr>
            <w:rStyle w:val="Hyperlink"/>
          </w:rPr>
          <w:t xml:space="preserve">Hill 1989</w:t>
        </w:r>
      </w:hyperlink>
      <w:r>
        <w:t xml:space="preserve">)</w:t>
      </w:r>
      <w:r>
        <w:t xml:space="preserve">,</w:t>
      </w:r>
      <w:r>
        <w:t xml:space="preserve"> </w:t>
      </w:r>
      <w:r>
        <w:t xml:space="preserve">which quantifies the similarity between a floristic table composed from survey</w:t>
      </w:r>
      <w:r>
        <w:t xml:space="preserve"> </w:t>
      </w:r>
      <w:r>
        <w:t xml:space="preserve">data plots and the NVC floristic tables, with species absent from the survey</w:t>
      </w:r>
      <w:r>
        <w:t xml:space="preserve"> </w:t>
      </w:r>
      <w:r>
        <w:t xml:space="preserve">data, but present in the floristic tables at a constancy of 0.2</w:t>
      </w:r>
      <w:r>
        <w:t xml:space="preserve"> </w:t>
      </w:r>
      <w:r>
        <w:t xml:space="preserve">down-weighted to 0.1.</w:t>
      </w:r>
      <w:r>
        <w:t xml:space="preserve"> </w:t>
      </w:r>
      <w:r>
        <w:t xml:space="preserve">The similarity between individual plots and NVC communities are quantified</w:t>
      </w:r>
      <w:r>
        <w:t xml:space="preserve"> </w:t>
      </w:r>
      <w:r>
        <w:t xml:space="preserve">by calculating the Jaccard similarity between the sample plots and</w:t>
      </w:r>
      <w:r>
        <w:t xml:space="preserve"> </w:t>
      </w:r>
      <w:r>
        <w:t xml:space="preserve">pseudo-quadrats generated from the NVC floristic tables.</w:t>
      </w:r>
      <w:r>
        <w:t xml:space="preserve"> </w:t>
      </w:r>
      <w:r>
        <w:t xml:space="preserve">This approach is noted as improving the accuracy of fit relative to the</w:t>
      </w:r>
      <w:r>
        <w:t xml:space="preserve"> </w:t>
      </w:r>
      <w:r>
        <w:t xml:space="preserve">Czekanowski index for samples with low species richness</w:t>
      </w:r>
      <w:r>
        <w:t xml:space="preserve"> </w:t>
      </w:r>
      <w:r>
        <w:t xml:space="preserve">(</w:t>
      </w:r>
      <w:hyperlink w:anchor="ref-tipping2013">
        <w:r>
          <w:rPr>
            <w:rStyle w:val="Hyperlink"/>
          </w:rPr>
          <w:t xml:space="preserve">Tipping et al. 2013</w:t>
        </w:r>
      </w:hyperlink>
      <w:r>
        <w:t xml:space="preserve">)</w:t>
      </w:r>
      <w:r>
        <w:t xml:space="preserve">.</w:t>
      </w:r>
    </w:p>
    <w:bookmarkStart w:id="25" w:name="communities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Communities</w:t>
      </w:r>
    </w:p>
    <w:p>
      <w:pPr>
        <w:pStyle w:val="FirstParagraph"/>
      </w:pPr>
      <w:r>
        <w:t xml:space="preserve">The NVC communities available in MAVIS are composed from the following</w:t>
      </w:r>
      <w:r>
        <w:t xml:space="preserve"> </w:t>
      </w:r>
      <w:r>
        <w:t xml:space="preserve">sources:</w:t>
      </w:r>
    </w:p>
    <w:p>
      <w:pPr>
        <w:numPr>
          <w:ilvl w:val="0"/>
          <w:numId w:val="1004"/>
        </w:numPr>
        <w:pStyle w:val="Compact"/>
      </w:pPr>
      <w:r>
        <w:t xml:space="preserve">The original NVC floristic tables as described in</w:t>
      </w:r>
      <w:r>
        <w:t xml:space="preserve"> </w:t>
      </w:r>
      <w:r>
        <w:t xml:space="preserve">Rodwell, Nature Conservancy Council (Great Britain)), and Joint Nature Conservation Committee (Great Britain) (</w:t>
      </w:r>
      <w:hyperlink w:anchor="ref-rodwell2000">
        <w:r>
          <w:rPr>
            <w:rStyle w:val="Hyperlink"/>
          </w:rPr>
          <w:t xml:space="preserve">2000</w:t>
        </w:r>
      </w:hyperlink>
      <w:r>
        <w:t xml:space="preserve">)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An alternative version of MG4 (MG4v2) and the four MG4 sub-communities described</w:t>
      </w:r>
      <w:r>
        <w:t xml:space="preserve"> </w:t>
      </w:r>
      <w:r>
        <w:t xml:space="preserve">in</w:t>
      </w:r>
      <w:r>
        <w:t xml:space="preserve"> </w:t>
      </w:r>
      <w:r>
        <w:t xml:space="preserve">Prosser, Wallace, and Gowing (</w:t>
      </w:r>
      <w:hyperlink w:anchor="ref-prosser2023">
        <w:r>
          <w:rPr>
            <w:rStyle w:val="Hyperlink"/>
          </w:rPr>
          <w:t xml:space="preserve">2023</w:t>
        </w:r>
      </w:hyperlink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t xml:space="preserve">Wallace and Prosser (</w:t>
      </w:r>
      <w:hyperlink w:anchor="ref-wallace2017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 </w:t>
      </w:r>
      <w:r>
        <w:t xml:space="preserve">(MG4a, MG4b, MG4c, and MG4d).</w:t>
      </w:r>
    </w:p>
    <w:p>
      <w:pPr>
        <w:numPr>
          <w:ilvl w:val="0"/>
          <w:numId w:val="1004"/>
        </w:numPr>
        <w:pStyle w:val="Compact"/>
      </w:pPr>
      <w:r>
        <w:t xml:space="preserve">A new MG6 sub-community (MG6d)</w:t>
      </w:r>
      <w:r>
        <w:t xml:space="preserve"> </w:t>
      </w:r>
      <w:r>
        <w:t xml:space="preserve">(</w:t>
      </w:r>
      <w:hyperlink w:anchor="ref-wallace2017">
        <w:r>
          <w:rPr>
            <w:rStyle w:val="Hyperlink"/>
          </w:rPr>
          <w:t xml:space="preserve">Wallace and Prosser 2017</w:t>
        </w:r>
      </w:hyperlink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An alternative version of MG8 (MG8v2) and the four sub-communities described in</w:t>
      </w:r>
      <w:r>
        <w:t xml:space="preserve"> </w:t>
      </w:r>
      <w:r>
        <w:t xml:space="preserve">Wallace and Prosser (</w:t>
      </w:r>
      <w:hyperlink w:anchor="ref-wallace2017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 </w:t>
      </w:r>
      <w:r>
        <w:t xml:space="preserve">(MG8a, MG8b, MG8c, and MG8d).</w:t>
      </w:r>
    </w:p>
    <w:p>
      <w:pPr>
        <w:numPr>
          <w:ilvl w:val="0"/>
          <w:numId w:val="1004"/>
        </w:numPr>
        <w:pStyle w:val="Compact"/>
      </w:pPr>
      <w:r>
        <w:t xml:space="preserve">An alternative version of MG13 (MG13v2)</w:t>
      </w:r>
      <w:r>
        <w:t xml:space="preserve"> </w:t>
      </w:r>
      <w:r>
        <w:t xml:space="preserve">(</w:t>
      </w:r>
      <w:hyperlink w:anchor="ref-wallace2017">
        <w:r>
          <w:rPr>
            <w:rStyle w:val="Hyperlink"/>
          </w:rPr>
          <w:t xml:space="preserve">Wallace and Prosser 2017</w:t>
        </w:r>
      </w:hyperlink>
      <w:r>
        <w:t xml:space="preserve">)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 new MG community (MG14) and two sub-communities (MG14a, MG14b)</w:t>
      </w:r>
      <w:r>
        <w:t xml:space="preserve"> </w:t>
      </w:r>
      <w:r>
        <w:t xml:space="preserve">(</w:t>
      </w:r>
      <w:hyperlink w:anchor="ref-wallace2017">
        <w:r>
          <w:rPr>
            <w:rStyle w:val="Hyperlink"/>
          </w:rPr>
          <w:t xml:space="preserve">Wallace and Prosser 2017</w:t>
        </w:r>
      </w:hyperlink>
      <w:r>
        <w:t xml:space="preserve">)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 new MG community (MG15) and two sub-communities (MG15a, MG15b)</w:t>
      </w:r>
      <w:r>
        <w:t xml:space="preserve"> </w:t>
      </w:r>
      <w:r>
        <w:t xml:space="preserve">(</w:t>
      </w:r>
      <w:hyperlink w:anchor="ref-wallace2017">
        <w:r>
          <w:rPr>
            <w:rStyle w:val="Hyperlink"/>
          </w:rPr>
          <w:t xml:space="preserve">Wallace and Prosser 2017</w:t>
        </w:r>
      </w:hyperlink>
      <w:r>
        <w:t xml:space="preserve">)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 new MG community (MG16)</w:t>
      </w:r>
      <w:r>
        <w:t xml:space="preserve"> </w:t>
      </w:r>
      <w:r>
        <w:t xml:space="preserve">(</w:t>
      </w:r>
      <w:hyperlink w:anchor="ref-wallace2017">
        <w:r>
          <w:rPr>
            <w:rStyle w:val="Hyperlink"/>
          </w:rPr>
          <w:t xml:space="preserve">Wallace and Prosser 2017</w:t>
        </w:r>
      </w:hyperlink>
      <w:r>
        <w:t xml:space="preserve">)</w:t>
      </w:r>
      <w:r>
        <w:t xml:space="preserve">.</w:t>
      </w:r>
    </w:p>
    <w:bookmarkEnd w:id="25"/>
    <w:bookmarkStart w:id="26" w:name="options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Options</w:t>
      </w:r>
    </w:p>
    <w:p>
      <w:pPr>
        <w:pStyle w:val="FirstParagraph"/>
      </w:pPr>
      <w:r>
        <w:rPr>
          <w:bCs/>
          <w:b/>
        </w:rPr>
        <w:t xml:space="preserve">Results to View</w:t>
      </w:r>
    </w:p>
    <w:p>
      <w:pPr>
        <w:pStyle w:val="BodyText"/>
      </w:pPr>
      <w:r>
        <w:t xml:space="preserve">Three sets of NVC assignment results are available in MAVIS at present:</w:t>
      </w:r>
    </w:p>
    <w:p>
      <w:pPr>
        <w:numPr>
          <w:ilvl w:val="0"/>
          <w:numId w:val="1005"/>
        </w:numPr>
        <w:pStyle w:val="Compact"/>
      </w:pPr>
      <w:r>
        <w:t xml:space="preserve">Site, Czekanowski</w:t>
      </w:r>
    </w:p>
    <w:p>
      <w:pPr>
        <w:numPr>
          <w:ilvl w:val="0"/>
          <w:numId w:val="1005"/>
        </w:numPr>
        <w:pStyle w:val="Compact"/>
      </w:pPr>
      <w:r>
        <w:t xml:space="preserve">Group, Czekanowski</w:t>
      </w:r>
    </w:p>
    <w:p>
      <w:pPr>
        <w:numPr>
          <w:ilvl w:val="0"/>
          <w:numId w:val="1005"/>
        </w:numPr>
        <w:pStyle w:val="Compact"/>
      </w:pPr>
      <w:r>
        <w:t xml:space="preserve">Quadrat, Jaccard</w:t>
      </w:r>
    </w:p>
    <w:p>
      <w:pPr>
        <w:pStyle w:val="FirstParagraph"/>
      </w:pPr>
      <w:r>
        <w:rPr>
          <w:bCs/>
          <w:b/>
        </w:rPr>
        <w:t xml:space="preserve">Restrict Habitat</w:t>
      </w:r>
    </w:p>
    <w:p>
      <w:pPr>
        <w:pStyle w:val="BodyText"/>
      </w:pPr>
      <w:r>
        <w:t xml:space="preserve">Optionally restrict the NVC assignment process to one or more broad NVC habitat</w:t>
      </w:r>
      <w:r>
        <w:t xml:space="preserve"> </w:t>
      </w:r>
      <w:r>
        <w:t xml:space="preserve">types. This is recommended to increase the assignment speed, but only if the site</w:t>
      </w:r>
      <w:r>
        <w:t xml:space="preserve"> </w:t>
      </w:r>
      <w:r>
        <w:t xml:space="preserve">being analysed unequivocally conforms to the selected NVC habitats.</w:t>
      </w:r>
    </w:p>
    <w:p>
      <w:pPr>
        <w:pStyle w:val="BodyText"/>
      </w:pPr>
      <w:r>
        <w:rPr>
          <w:bCs/>
          <w:b/>
        </w:rPr>
        <w:t xml:space="preserve">Number of Top Results</w:t>
      </w:r>
    </w:p>
    <w:p>
      <w:pPr>
        <w:pStyle w:val="BodyText"/>
      </w:pPr>
      <w:r>
        <w:t xml:space="preserve">Select the number of top-fitted NVC communities to view.</w:t>
      </w:r>
    </w:p>
    <w:bookmarkEnd w:id="26"/>
    <w:bookmarkEnd w:id="27"/>
    <w:bookmarkStart w:id="29" w:name="habitat-correspondence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Habitat Correspondence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Habitat Correspondence</w:t>
      </w:r>
      <w:r>
        <w:t xml:space="preserve"> </w:t>
      </w:r>
      <w:r>
        <w:t xml:space="preserve">section provides a means to explore the</w:t>
      </w:r>
      <w:r>
        <w:t xml:space="preserve"> </w:t>
      </w:r>
      <w:r>
        <w:t xml:space="preserve">habitats from alternative habitat classifications which are associated with</w:t>
      </w:r>
      <w:r>
        <w:t xml:space="preserve"> </w:t>
      </w:r>
      <w:r>
        <w:t xml:space="preserve">the top-fitted NVC communities assigned to the survey data.</w:t>
      </w:r>
    </w:p>
    <w:p>
      <w:pPr>
        <w:pStyle w:val="BodyText"/>
      </w:pPr>
      <w:r>
        <w:t xml:space="preserve">Habitat correspondence data is drawn from three sources:</w:t>
      </w:r>
    </w:p>
    <w:p>
      <w:pPr>
        <w:numPr>
          <w:ilvl w:val="0"/>
          <w:numId w:val="1006"/>
        </w:numPr>
        <w:pStyle w:val="Compact"/>
      </w:pPr>
      <w:r>
        <w:t xml:space="preserve">The Joint Nature Conservation Committee (JNCC) Spreadsheet of</w:t>
      </w:r>
      <w:r>
        <w:t xml:space="preserve"> </w:t>
      </w:r>
      <w:r>
        <w:t xml:space="preserve">Habitat Correspondences</w:t>
      </w:r>
      <w:r>
        <w:t xml:space="preserve"> </w:t>
      </w:r>
      <w:r>
        <w:t xml:space="preserve">(</w:t>
      </w:r>
      <w:hyperlink w:anchor="ref-jncc2008">
        <w:r>
          <w:rPr>
            <w:rStyle w:val="Hyperlink"/>
          </w:rPr>
          <w:t xml:space="preserve">JNCC 2008</w:t>
        </w:r>
      </w:hyperlink>
      <w:r>
        <w:t xml:space="preserve">)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UKHab V1.1</w:t>
      </w:r>
      <w:r>
        <w:t xml:space="preserve"> </w:t>
      </w:r>
      <w:r>
        <w:t xml:space="preserve">(</w:t>
      </w:r>
      <w:hyperlink w:anchor="ref-butcher2020">
        <w:r>
          <w:rPr>
            <w:rStyle w:val="Hyperlink"/>
          </w:rPr>
          <w:t xml:space="preserve">Butcher et al. 2020</w:t>
        </w:r>
      </w:hyperlink>
      <w:r>
        <w:t xml:space="preserve">)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For the National Plant Monitoring Scheme (NPMS) data is drawn from</w:t>
      </w:r>
      <w:r>
        <w:t xml:space="preserve"> </w:t>
      </w:r>
      <w:r>
        <w:t xml:space="preserve">(</w:t>
      </w:r>
      <w:hyperlink w:anchor="ref-pescott2019">
        <w:r>
          <w:rPr>
            <w:rStyle w:val="Hyperlink"/>
          </w:rPr>
          <w:t xml:space="preserve">Pescott et al. 2019</w:t>
        </w:r>
      </w:hyperlink>
      <w:r>
        <w:t xml:space="preserve">)</w:t>
      </w:r>
      <w:r>
        <w:t xml:space="preserve">.</w:t>
      </w:r>
    </w:p>
    <w:bookmarkStart w:id="28" w:name="options-1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Options</w:t>
      </w:r>
    </w:p>
    <w:p>
      <w:pPr>
        <w:pStyle w:val="FirstParagraph"/>
      </w:pPr>
      <w:r>
        <w:rPr>
          <w:bCs/>
          <w:b/>
        </w:rPr>
        <w:t xml:space="preserve">Classification</w:t>
      </w:r>
    </w:p>
    <w:p>
      <w:pPr>
        <w:pStyle w:val="BodyText"/>
      </w:pPr>
      <w:r>
        <w:t xml:space="preserve">The user may select the habitat classification system from which to retrieve</w:t>
      </w:r>
      <w:r>
        <w:t xml:space="preserve"> </w:t>
      </w:r>
      <w:r>
        <w:t xml:space="preserve">associated habitats. At present the following systems are available:</w:t>
      </w:r>
    </w:p>
    <w:p>
      <w:pPr>
        <w:numPr>
          <w:ilvl w:val="0"/>
          <w:numId w:val="1007"/>
        </w:numPr>
        <w:pStyle w:val="Compact"/>
      </w:pPr>
      <w:r>
        <w:t xml:space="preserve">UKHab - Level 2</w:t>
      </w:r>
      <w:r>
        <w:t xml:space="preserve"> </w:t>
      </w:r>
      <w:r>
        <w:t xml:space="preserve">(</w:t>
      </w:r>
      <w:hyperlink w:anchor="ref-butcher2020">
        <w:r>
          <w:rPr>
            <w:rStyle w:val="Hyperlink"/>
          </w:rPr>
          <w:t xml:space="preserve">Butcher et al. 2020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UKHab - Level 3</w:t>
      </w:r>
      <w:r>
        <w:t xml:space="preserve"> </w:t>
      </w:r>
      <w:r>
        <w:t xml:space="preserve">(</w:t>
      </w:r>
      <w:hyperlink w:anchor="ref-butcher2020">
        <w:r>
          <w:rPr>
            <w:rStyle w:val="Hyperlink"/>
          </w:rPr>
          <w:t xml:space="preserve">Butcher et al. 2020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UKHab - Level 4</w:t>
      </w:r>
      <w:r>
        <w:t xml:space="preserve"> </w:t>
      </w:r>
      <w:r>
        <w:t xml:space="preserve">(</w:t>
      </w:r>
      <w:hyperlink w:anchor="ref-butcher2020">
        <w:r>
          <w:rPr>
            <w:rStyle w:val="Hyperlink"/>
          </w:rPr>
          <w:t xml:space="preserve">Butcher et al. 2020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UKHab - Level 5</w:t>
      </w:r>
      <w:r>
        <w:t xml:space="preserve"> </w:t>
      </w:r>
      <w:r>
        <w:t xml:space="preserve">(</w:t>
      </w:r>
      <w:hyperlink w:anchor="ref-butcher2020">
        <w:r>
          <w:rPr>
            <w:rStyle w:val="Hyperlink"/>
          </w:rPr>
          <w:t xml:space="preserve">Butcher et al. 2020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Biodiversity Action Plan Priority Habitats</w:t>
      </w:r>
      <w:r>
        <w:t xml:space="preserve"> </w:t>
      </w:r>
      <w:r>
        <w:t xml:space="preserve">(</w:t>
      </w:r>
      <w:hyperlink w:anchor="ref-jncc2008">
        <w:r>
          <w:rPr>
            <w:rStyle w:val="Hyperlink"/>
          </w:rPr>
          <w:t xml:space="preserve">JNCC 2008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Phase 1 Habitat Classification</w:t>
      </w:r>
      <w:r>
        <w:t xml:space="preserve"> </w:t>
      </w:r>
      <w:r>
        <w:t xml:space="preserve">(</w:t>
      </w:r>
      <w:hyperlink w:anchor="ref-jncc2008">
        <w:r>
          <w:rPr>
            <w:rStyle w:val="Hyperlink"/>
          </w:rPr>
          <w:t xml:space="preserve">JNCC 2008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Biodiversity Action Plan Broad Habitats</w:t>
      </w:r>
      <w:r>
        <w:t xml:space="preserve"> </w:t>
      </w:r>
      <w:r>
        <w:t xml:space="preserve">(</w:t>
      </w:r>
      <w:hyperlink w:anchor="ref-jncc2008">
        <w:r>
          <w:rPr>
            <w:rStyle w:val="Hyperlink"/>
          </w:rPr>
          <w:t xml:space="preserve">JNCC 2008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EUNIS Classification</w:t>
      </w:r>
      <w:r>
        <w:t xml:space="preserve"> </w:t>
      </w:r>
      <w:r>
        <w:t xml:space="preserve">(</w:t>
      </w:r>
      <w:hyperlink w:anchor="ref-jncc2008">
        <w:r>
          <w:rPr>
            <w:rStyle w:val="Hyperlink"/>
          </w:rPr>
          <w:t xml:space="preserve">JNCC 2008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Vegetation communities of British lakes</w:t>
      </w:r>
      <w:r>
        <w:t xml:space="preserve"> </w:t>
      </w:r>
      <w:r>
        <w:t xml:space="preserve">(</w:t>
      </w:r>
      <w:hyperlink w:anchor="ref-jncc2008">
        <w:r>
          <w:rPr>
            <w:rStyle w:val="Hyperlink"/>
          </w:rPr>
          <w:t xml:space="preserve">JNCC 2008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EU Habitats Directive Annex 1</w:t>
      </w:r>
      <w:r>
        <w:t xml:space="preserve"> </w:t>
      </w:r>
      <w:r>
        <w:t xml:space="preserve">(</w:t>
      </w:r>
      <w:hyperlink w:anchor="ref-jncc2008">
        <w:r>
          <w:rPr>
            <w:rStyle w:val="Hyperlink"/>
          </w:rPr>
          <w:t xml:space="preserve">JNCC 2008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NPMS Broad</w:t>
      </w:r>
      <w:r>
        <w:t xml:space="preserve"> </w:t>
      </w:r>
      <w:r>
        <w:t xml:space="preserve">(</w:t>
      </w:r>
      <w:hyperlink w:anchor="ref-pescott2019">
        <w:r>
          <w:rPr>
            <w:rStyle w:val="Hyperlink"/>
          </w:rPr>
          <w:t xml:space="preserve">Pescott et al. 2019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NPMS Fine</w:t>
      </w:r>
      <w:r>
        <w:t xml:space="preserve"> </w:t>
      </w:r>
      <w:r>
        <w:t xml:space="preserve">(</w:t>
      </w:r>
      <w:hyperlink w:anchor="ref-pescott2019">
        <w:r>
          <w:rPr>
            <w:rStyle w:val="Hyperlink"/>
          </w:rPr>
          <w:t xml:space="preserve">Pescott et al. 2019</w:t>
        </w:r>
      </w:hyperlink>
      <w:r>
        <w:t xml:space="preserve">)</w:t>
      </w:r>
    </w:p>
    <w:bookmarkEnd w:id="28"/>
    <w:bookmarkEnd w:id="29"/>
    <w:bookmarkStart w:id="31" w:name="floristic-table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Floristic Tables</w:t>
      </w:r>
    </w:p>
    <w:p>
      <w:pPr>
        <w:pStyle w:val="FirstParagraph"/>
      </w:pPr>
      <w:r>
        <w:t xml:space="preserve">To aid in the NVC assignment process and as an exploratory tool the</w:t>
      </w:r>
      <w:r>
        <w:t xml:space="preserve"> </w:t>
      </w:r>
      <w:r>
        <w:rPr>
          <w:bCs/>
          <w:b/>
        </w:rPr>
        <w:t xml:space="preserve">Floristic Tables</w:t>
      </w:r>
      <w:r>
        <w:t xml:space="preserve"> </w:t>
      </w:r>
      <w:r>
        <w:t xml:space="preserve">section of MAVIS allows the user to compare a</w:t>
      </w:r>
      <w:r>
        <w:t xml:space="preserve"> </w:t>
      </w:r>
      <w:r>
        <w:t xml:space="preserve">composed floristic table to a chosen NVC floristic table. The facility to match</w:t>
      </w:r>
      <w:r>
        <w:t xml:space="preserve"> </w:t>
      </w:r>
      <w:r>
        <w:t xml:space="preserve">the species in the composed table with the NVC table, two ways, is also provided.</w:t>
      </w:r>
    </w:p>
    <w:bookmarkStart w:id="30" w:name="options-2"/>
    <w:p>
      <w:pPr>
        <w:pStyle w:val="Heading3"/>
      </w:pPr>
      <w:r>
        <w:rPr>
          <w:rStyle w:val="SectionNumber"/>
        </w:rPr>
        <w:t xml:space="preserve">2.5.1</w:t>
      </w:r>
      <w:r>
        <w:tab/>
      </w:r>
      <w:r>
        <w:t xml:space="preserve">Options</w:t>
      </w:r>
    </w:p>
    <w:p>
      <w:pPr>
        <w:pStyle w:val="FirstParagraph"/>
      </w:pPr>
      <w:r>
        <w:rPr>
          <w:bCs/>
          <w:b/>
        </w:rPr>
        <w:t xml:space="preserve">Restrict</w:t>
      </w:r>
    </w:p>
    <w:p>
      <w:pPr>
        <w:pStyle w:val="BodyText"/>
      </w:pPr>
      <w:r>
        <w:t xml:space="preserve">Restrict the NVC communities available to select in the</w:t>
      </w:r>
      <w:r>
        <w:t xml:space="preserve"> </w:t>
      </w:r>
      <w:r>
        <w:t xml:space="preserve">“</w:t>
      </w:r>
      <w:r>
        <w:t xml:space="preserve">NVC Table</w:t>
      </w:r>
      <w:r>
        <w:t xml:space="preserve">”</w:t>
      </w:r>
      <w:r>
        <w:t xml:space="preserve"> </w:t>
      </w:r>
      <w:r>
        <w:t xml:space="preserve">option to</w:t>
      </w:r>
      <w:r>
        <w:t xml:space="preserve"> </w:t>
      </w:r>
      <w:r>
        <w:t xml:space="preserve">the top-fitted NVC communities.</w:t>
      </w:r>
    </w:p>
    <w:p>
      <w:pPr>
        <w:pStyle w:val="BodyText"/>
      </w:pPr>
      <w:r>
        <w:rPr>
          <w:bCs/>
          <w:b/>
        </w:rPr>
        <w:t xml:space="preserve">NVC Table</w:t>
      </w:r>
    </w:p>
    <w:p>
      <w:pPr>
        <w:pStyle w:val="BodyText"/>
      </w:pPr>
      <w:r>
        <w:t xml:space="preserve">Select a NVC community to display the floristic table for.</w:t>
      </w:r>
    </w:p>
    <w:p>
      <w:pPr>
        <w:pStyle w:val="BodyText"/>
      </w:pPr>
      <w:r>
        <w:rPr>
          <w:bCs/>
          <w:b/>
        </w:rPr>
        <w:t xml:space="preserve">Composed Table</w:t>
      </w:r>
    </w:p>
    <w:p>
      <w:pPr>
        <w:pStyle w:val="BodyText"/>
      </w:pPr>
      <w:r>
        <w:t xml:space="preserve">Select a composed floristic table. The composed tables are formed by calculating</w:t>
      </w:r>
      <w:r>
        <w:t xml:space="preserve"> </w:t>
      </w:r>
      <w:r>
        <w:t xml:space="preserve">the frequency class of each species across all quadrats in each year and</w:t>
      </w:r>
      <w:r>
        <w:t xml:space="preserve"> </w:t>
      </w:r>
      <w:r>
        <w:t xml:space="preserve">year - group combination.</w:t>
      </w:r>
    </w:p>
    <w:p>
      <w:pPr>
        <w:pStyle w:val="BodyText"/>
      </w:pPr>
      <w:r>
        <w:rPr>
          <w:bCs/>
          <w:b/>
        </w:rPr>
        <w:t xml:space="preserve">Match Species</w:t>
      </w:r>
    </w:p>
    <w:p>
      <w:pPr>
        <w:pStyle w:val="BodyText"/>
      </w:pPr>
      <w:r>
        <w:t xml:space="preserve">The user may choose to re-arrange the floristic tables to match the species</w:t>
      </w:r>
      <w:r>
        <w:t xml:space="preserve"> </w:t>
      </w:r>
      <w:r>
        <w:t xml:space="preserve">present in both tables, three options are provided:</w:t>
      </w:r>
    </w:p>
    <w:p>
      <w:pPr>
        <w:numPr>
          <w:ilvl w:val="0"/>
          <w:numId w:val="1008"/>
        </w:numPr>
        <w:pStyle w:val="Compact"/>
      </w:pPr>
      <w:r>
        <w:t xml:space="preserve">No, the floristic tables are displayed with no re-arrangement.</w:t>
      </w:r>
    </w:p>
    <w:p>
      <w:pPr>
        <w:numPr>
          <w:ilvl w:val="0"/>
          <w:numId w:val="1008"/>
        </w:numPr>
        <w:pStyle w:val="Compact"/>
      </w:pPr>
      <w:r>
        <w:t xml:space="preserve">Composed to NVC, the composed floristic table is re-arranged to only include</w:t>
      </w:r>
      <w:r>
        <w:t xml:space="preserve"> </w:t>
      </w:r>
      <w:r>
        <w:t xml:space="preserve">species also present in the NVC floristic table and aligned with the</w:t>
      </w:r>
      <w:r>
        <w:t xml:space="preserve"> </w:t>
      </w:r>
      <w:r>
        <w:t xml:space="preserve">NVC floristic table.</w:t>
      </w:r>
    </w:p>
    <w:p>
      <w:pPr>
        <w:numPr>
          <w:ilvl w:val="0"/>
          <w:numId w:val="1008"/>
        </w:numPr>
        <w:pStyle w:val="Compact"/>
      </w:pPr>
      <w:r>
        <w:t xml:space="preserve">NVC to Composed, the NVC floristic table is re-arranged to only include</w:t>
      </w:r>
      <w:r>
        <w:t xml:space="preserve"> </w:t>
      </w:r>
      <w:r>
        <w:t xml:space="preserve">species also present in the composed floristic table and aligned with the</w:t>
      </w:r>
      <w:r>
        <w:t xml:space="preserve"> </w:t>
      </w:r>
      <w:r>
        <w:t xml:space="preserve">composed floristic table.</w:t>
      </w:r>
    </w:p>
    <w:bookmarkEnd w:id="30"/>
    <w:bookmarkEnd w:id="31"/>
    <w:bookmarkStart w:id="32" w:name="frequency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Frequency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Frequency</w:t>
      </w:r>
      <w:r>
        <w:t xml:space="preserve"> </w:t>
      </w:r>
      <w:r>
        <w:t xml:space="preserve">section of MAVIS summarises the number of occurrences</w:t>
      </w:r>
      <w:r>
        <w:t xml:space="preserve"> </w:t>
      </w:r>
      <w:r>
        <w:t xml:space="preserve">of each species across all sample plots, the difference between the first</w:t>
      </w:r>
      <w:r>
        <w:t xml:space="preserve"> </w:t>
      </w:r>
      <w:r>
        <w:t xml:space="preserve">year and last year, and a text category describing the change.</w:t>
      </w:r>
    </w:p>
    <w:bookmarkEnd w:id="32"/>
    <w:bookmarkStart w:id="34" w:name="eiv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EIVs</w:t>
      </w:r>
    </w:p>
    <w:p>
      <w:pPr>
        <w:pStyle w:val="FirstParagraph"/>
      </w:pPr>
      <w:r>
        <w:t xml:space="preserve">The Ecological Indicator Values (</w:t>
      </w:r>
      <w:r>
        <w:rPr>
          <w:bCs/>
          <w:b/>
        </w:rPr>
        <w:t xml:space="preserve">EIVs</w:t>
      </w:r>
      <w:r>
        <w:t xml:space="preserve">) section uses the results of the</w:t>
      </w:r>
      <w:r>
        <w:t xml:space="preserve"> </w:t>
      </w:r>
      <w:r>
        <w:rPr>
          <w:bCs/>
          <w:b/>
        </w:rPr>
        <w:t xml:space="preserve">NVC Assignment</w:t>
      </w:r>
      <w:r>
        <w:t xml:space="preserve"> </w:t>
      </w:r>
      <w:r>
        <w:t xml:space="preserve">module to calculate cover-weighted Hill-Ellenberg ecological</w:t>
      </w:r>
      <w:r>
        <w:t xml:space="preserve"> </w:t>
      </w:r>
      <w:r>
        <w:t xml:space="preserve">indicator values for the Nitrogen Score (N)</w:t>
      </w:r>
      <w:r>
        <w:t xml:space="preserve"> </w:t>
      </w:r>
      <w:r>
        <w:t xml:space="preserve">(</w:t>
      </w:r>
      <w:hyperlink w:anchor="ref-bsbi2017ellenbergN">
        <w:r>
          <w:rPr>
            <w:rStyle w:val="Hyperlink"/>
          </w:rPr>
          <w:t xml:space="preserve">BSBI 2017c</w:t>
        </w:r>
      </w:hyperlink>
      <w:r>
        <w:t xml:space="preserve">)</w:t>
      </w:r>
      <w:r>
        <w:t xml:space="preserve">,</w:t>
      </w:r>
      <w:r>
        <w:t xml:space="preserve"> </w:t>
      </w:r>
      <w:r>
        <w:t xml:space="preserve">Moisture Score (F)</w:t>
      </w:r>
      <w:r>
        <w:t xml:space="preserve"> </w:t>
      </w:r>
      <w:r>
        <w:t xml:space="preserve">(</w:t>
      </w:r>
      <w:hyperlink w:anchor="ref-bsbi2017ellenbergF">
        <w:r>
          <w:rPr>
            <w:rStyle w:val="Hyperlink"/>
          </w:rPr>
          <w:t xml:space="preserve">BSBI 2017d</w:t>
        </w:r>
      </w:hyperlink>
      <w:r>
        <w:t xml:space="preserve">)</w:t>
      </w:r>
      <w:r>
        <w:t xml:space="preserve">,</w:t>
      </w:r>
      <w:r>
        <w:t xml:space="preserve"> </w:t>
      </w:r>
      <w:r>
        <w:t xml:space="preserve">Reaction Score (R)</w:t>
      </w:r>
      <w:r>
        <w:t xml:space="preserve"> </w:t>
      </w:r>
      <w:r>
        <w:t xml:space="preserve">(</w:t>
      </w:r>
      <w:hyperlink w:anchor="ref-bsbi2017ellenbergR">
        <w:r>
          <w:rPr>
            <w:rStyle w:val="Hyperlink"/>
          </w:rPr>
          <w:t xml:space="preserve">BSBI 2017a</w:t>
        </w:r>
      </w:hyperlink>
      <w:r>
        <w:t xml:space="preserve">)</w:t>
      </w:r>
      <w:r>
        <w:t xml:space="preserve">,</w:t>
      </w:r>
      <w:r>
        <w:t xml:space="preserve"> </w:t>
      </w:r>
      <w:r>
        <w:t xml:space="preserve">Salinity Score (S)</w:t>
      </w:r>
      <w:r>
        <w:t xml:space="preserve"> </w:t>
      </w:r>
      <w:r>
        <w:t xml:space="preserve">(</w:t>
      </w:r>
      <w:hyperlink w:anchor="ref-bsbi2017ellenbergS">
        <w:r>
          <w:rPr>
            <w:rStyle w:val="Hyperlink"/>
          </w:rPr>
          <w:t xml:space="preserve">BSBI 2017b</w:t>
        </w:r>
      </w:hyperlink>
      <w:r>
        <w:t xml:space="preserve">)</w:t>
      </w:r>
      <w:r>
        <w:t xml:space="preserve">,</w:t>
      </w:r>
      <w:r>
        <w:t xml:space="preserve"> </w:t>
      </w:r>
      <w:r>
        <w:t xml:space="preserve">and Light Score (L)</w:t>
      </w:r>
      <w:r>
        <w:t xml:space="preserve"> </w:t>
      </w:r>
      <w:r>
        <w:t xml:space="preserve">(</w:t>
      </w:r>
      <w:hyperlink w:anchor="ref-bsbi2017ellenbergL">
        <w:r>
          <w:rPr>
            <w:rStyle w:val="Hyperlink"/>
          </w:rPr>
          <w:t xml:space="preserve">BSBI 2017e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Data for bryophytes was taken from BRYOATT</w:t>
      </w:r>
      <w:r>
        <w:t xml:space="preserve"> </w:t>
      </w:r>
      <w:r>
        <w:t xml:space="preserve">(</w:t>
      </w:r>
      <w:hyperlink w:anchor="ref-hill2007">
        <w:r>
          <w:rPr>
            <w:rStyle w:val="Hyperlink"/>
          </w:rPr>
          <w:t xml:space="preserve">Hill et al. 2007</w:t>
        </w:r>
      </w:hyperlink>
      <w:r>
        <w:t xml:space="preserve">)</w:t>
      </w:r>
      <w:r>
        <w:t xml:space="preserve">.</w:t>
      </w:r>
    </w:p>
    <w:bookmarkStart w:id="33" w:name="options-3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Options</w:t>
      </w:r>
    </w:p>
    <w:p>
      <w:pPr>
        <w:pStyle w:val="FirstParagraph"/>
      </w:pPr>
      <w:r>
        <w:t xml:space="preserve">At present six sets of results are available:</w:t>
      </w:r>
    </w:p>
    <w:p>
      <w:pPr>
        <w:numPr>
          <w:ilvl w:val="0"/>
          <w:numId w:val="1009"/>
        </w:numPr>
        <w:pStyle w:val="Compact"/>
      </w:pPr>
      <w:r>
        <w:t xml:space="preserve">Unweighted Mean Hill-Ellenberg Values, by Site</w:t>
      </w:r>
    </w:p>
    <w:p>
      <w:pPr>
        <w:numPr>
          <w:ilvl w:val="0"/>
          <w:numId w:val="1009"/>
        </w:numPr>
        <w:pStyle w:val="Compact"/>
      </w:pPr>
      <w:r>
        <w:t xml:space="preserve">Weighted Mean Hill-Ellenberg Values, by Site</w:t>
      </w:r>
    </w:p>
    <w:p>
      <w:pPr>
        <w:numPr>
          <w:ilvl w:val="0"/>
          <w:numId w:val="1009"/>
        </w:numPr>
        <w:pStyle w:val="Compact"/>
      </w:pPr>
      <w:r>
        <w:t xml:space="preserve">Unweighted Mean Hill-Ellenberg Values, by Group</w:t>
      </w:r>
    </w:p>
    <w:p>
      <w:pPr>
        <w:numPr>
          <w:ilvl w:val="0"/>
          <w:numId w:val="1009"/>
        </w:numPr>
        <w:pStyle w:val="Compact"/>
      </w:pPr>
      <w:r>
        <w:t xml:space="preserve">Weighted Mean Hill-Ellenberg Values, by Group</w:t>
      </w:r>
    </w:p>
    <w:p>
      <w:pPr>
        <w:numPr>
          <w:ilvl w:val="0"/>
          <w:numId w:val="1009"/>
        </w:numPr>
        <w:pStyle w:val="Compact"/>
      </w:pPr>
      <w:r>
        <w:t xml:space="preserve">Unweighted Mean Hill-Ellenberg Values, by Quadrat</w:t>
      </w:r>
    </w:p>
    <w:p>
      <w:pPr>
        <w:numPr>
          <w:ilvl w:val="0"/>
          <w:numId w:val="1009"/>
        </w:numPr>
        <w:pStyle w:val="Compact"/>
      </w:pPr>
      <w:r>
        <w:t xml:space="preserve">Weighted Mean Hill-Ellenberg Values, by Quadrat</w:t>
      </w:r>
    </w:p>
    <w:bookmarkEnd w:id="33"/>
    <w:bookmarkEnd w:id="34"/>
    <w:bookmarkStart w:id="36" w:name="diversity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Diversity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Diversity</w:t>
      </w:r>
      <w:r>
        <w:t xml:space="preserve"> </w:t>
      </w:r>
      <w:r>
        <w:t xml:space="preserve">section allows the user to view a range of basic diversity</w:t>
      </w:r>
      <w:r>
        <w:t xml:space="preserve"> </w:t>
      </w:r>
      <w:r>
        <w:t xml:space="preserve">metrics.</w:t>
      </w:r>
    </w:p>
    <w:bookmarkStart w:id="35" w:name="options-4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Options</w:t>
      </w:r>
    </w:p>
    <w:p>
      <w:pPr>
        <w:pStyle w:val="FirstParagraph"/>
      </w:pPr>
      <w:r>
        <w:rPr>
          <w:bCs/>
          <w:b/>
        </w:rPr>
        <w:t xml:space="preserve">Results to View</w:t>
      </w:r>
    </w:p>
    <w:p>
      <w:pPr>
        <w:pStyle w:val="BodyText"/>
      </w:pPr>
      <w:r>
        <w:t xml:space="preserve">At present five sets of results are available:</w:t>
      </w:r>
    </w:p>
    <w:p>
      <w:pPr>
        <w:numPr>
          <w:ilvl w:val="0"/>
          <w:numId w:val="1010"/>
        </w:numPr>
        <w:pStyle w:val="Compact"/>
      </w:pPr>
      <w:r>
        <w:t xml:space="preserve">Site Summary Table, contains the mean alpha diversity, gamma diversity, and beta diversity of the site with years arranged column-wise.</w:t>
      </w:r>
    </w:p>
    <w:p>
      <w:pPr>
        <w:numPr>
          <w:ilvl w:val="0"/>
          <w:numId w:val="1010"/>
        </w:numPr>
        <w:pStyle w:val="Compact"/>
      </w:pPr>
      <w:r>
        <w:t xml:space="preserve">Quadrat Diversity Indices Table, contains the species richness, Shannon diversity, Simpson diversity, Inverse Simpson diversity, Shannon evenness, and Simpson evenness for each quadrat.</w:t>
      </w:r>
    </w:p>
    <w:p>
      <w:pPr>
        <w:numPr>
          <w:ilvl w:val="0"/>
          <w:numId w:val="1010"/>
        </w:numPr>
        <w:pStyle w:val="Compact"/>
      </w:pPr>
      <w:r>
        <w:t xml:space="preserve">Species Richness, by Site, contains the species richness of the site with years arranged column-wise.</w:t>
      </w:r>
    </w:p>
    <w:p>
      <w:pPr>
        <w:numPr>
          <w:ilvl w:val="0"/>
          <w:numId w:val="1010"/>
        </w:numPr>
        <w:pStyle w:val="Compact"/>
      </w:pPr>
      <w:r>
        <w:t xml:space="preserve">Species Richness, by Group, contains the species richness of each group with years arranged column-wise.</w:t>
      </w:r>
    </w:p>
    <w:p>
      <w:pPr>
        <w:numPr>
          <w:ilvl w:val="0"/>
          <w:numId w:val="1010"/>
        </w:numPr>
        <w:pStyle w:val="Compact"/>
      </w:pPr>
      <w:r>
        <w:t xml:space="preserve">Species Richness, by Quadrat, contains the species richness of each quadrat with years arranged column-wise.</w:t>
      </w:r>
    </w:p>
    <w:bookmarkEnd w:id="35"/>
    <w:bookmarkEnd w:id="36"/>
    <w:bookmarkStart w:id="41" w:name="mva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MVA</w:t>
      </w:r>
    </w:p>
    <w:p>
      <w:pPr>
        <w:pStyle w:val="FirstParagraph"/>
      </w:pPr>
      <w:r>
        <w:t xml:space="preserve">The Multivariate Analysis (MVA) section of MAVIS aims to allow the</w:t>
      </w:r>
      <w:r>
        <w:t xml:space="preserve"> </w:t>
      </w:r>
      <w:r>
        <w:t xml:space="preserve">user to explore the position of the survey data quadrats in an ordination space</w:t>
      </w:r>
      <w:r>
        <w:t xml:space="preserve"> </w:t>
      </w:r>
      <w:r>
        <w:t xml:space="preserve">constructed by performing a Detrended Correspondence Analysis (DCA)</w:t>
      </w:r>
      <w:r>
        <w:t xml:space="preserve"> </w:t>
      </w:r>
      <w:r>
        <w:t xml:space="preserve">(</w:t>
      </w:r>
      <w:hyperlink w:anchor="ref-hill1980dca">
        <w:r>
          <w:rPr>
            <w:rStyle w:val="Hyperlink"/>
          </w:rPr>
          <w:t xml:space="preserve">Hill and Gauch 1980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The results of a Canonical Correspondence Analysis (CCA)</w:t>
      </w:r>
      <w:r>
        <w:t xml:space="preserve"> </w:t>
      </w:r>
      <w:r>
        <w:t xml:space="preserve">(</w:t>
      </w:r>
      <w:hyperlink w:anchor="ref-terBraak1986">
        <w:r>
          <w:rPr>
            <w:rStyle w:val="Hyperlink"/>
          </w:rPr>
          <w:t xml:space="preserve">Braak 1986</w:t>
        </w:r>
      </w:hyperlink>
      <w:r>
        <w:t xml:space="preserve">)</w:t>
      </w:r>
      <w:r>
        <w:t xml:space="preserve">, using</w:t>
      </w:r>
      <w:r>
        <w:t xml:space="preserve"> </w:t>
      </w:r>
      <w:r>
        <w:t xml:space="preserve">the pseudo-quadrats as the community matrix and pre-calculated set of unweighted</w:t>
      </w:r>
      <w:r>
        <w:t xml:space="preserve"> </w:t>
      </w:r>
      <w:r>
        <w:t xml:space="preserve">mean Hill-Ellenberg values for each pseudo-quadrat as the constraining matrix,</w:t>
      </w:r>
      <w:r>
        <w:t xml:space="preserve"> </w:t>
      </w:r>
      <w:r>
        <w:t xml:space="preserve">are available for visualising in each MVA plot.</w:t>
      </w:r>
    </w:p>
    <w:p>
      <w:pPr>
        <w:pStyle w:val="BodyText"/>
      </w:pPr>
      <w:r>
        <w:t xml:space="preserve">Three MVA methods are provided in MAVIS, which are described below.</w:t>
      </w:r>
    </w:p>
    <w:bookmarkStart w:id="37" w:name="national-reference"/>
    <w:p>
      <w:pPr>
        <w:pStyle w:val="Heading3"/>
      </w:pPr>
      <w:r>
        <w:rPr>
          <w:rStyle w:val="SectionNumber"/>
        </w:rPr>
        <w:t xml:space="preserve">2.9.1</w:t>
      </w:r>
      <w:r>
        <w:tab/>
      </w:r>
      <w:r>
        <w:t xml:space="preserve">National Reference</w:t>
      </w:r>
    </w:p>
    <w:p>
      <w:pPr>
        <w:pStyle w:val="FirstParagraph"/>
      </w:pPr>
      <w:r>
        <w:t xml:space="preserve">The ordination space in the</w:t>
      </w:r>
      <w:r>
        <w:t xml:space="preserve"> </w:t>
      </w:r>
      <w:r>
        <w:rPr>
          <w:bCs/>
          <w:b/>
        </w:rPr>
        <w:t xml:space="preserve">National Reference</w:t>
      </w:r>
      <w:r>
        <w:t xml:space="preserve"> </w:t>
      </w:r>
      <w:r>
        <w:t xml:space="preserve">MVA was constructed by performing</w:t>
      </w:r>
      <w:r>
        <w:t xml:space="preserve"> </w:t>
      </w:r>
      <w:r>
        <w:t xml:space="preserve">a pre-calculated DCA on the pseudo-quadrats from all NVC communities,</w:t>
      </w:r>
      <w:r>
        <w:t xml:space="preserve"> </w:t>
      </w:r>
      <w:r>
        <w:t xml:space="preserve">with the survey quadrats added in passively in MAVIS using the mean of the</w:t>
      </w:r>
      <w:r>
        <w:t xml:space="preserve"> </w:t>
      </w:r>
      <w:r>
        <w:t xml:space="preserve">species scores from the pre-calculated pseudo-quadrat DCA.</w:t>
      </w:r>
    </w:p>
    <w:p>
      <w:pPr>
        <w:pStyle w:val="BodyText"/>
      </w:pPr>
      <w:r>
        <w:t xml:space="preserve">By default the top-fitted NVC communities retrieved from the</w:t>
      </w:r>
      <w:r>
        <w:t xml:space="preserve"> </w:t>
      </w:r>
      <w:r>
        <w:rPr>
          <w:bCs/>
          <w:b/>
        </w:rPr>
        <w:t xml:space="preserve">NVC Assignment</w:t>
      </w:r>
      <w:r>
        <w:t xml:space="preserve"> </w:t>
      </w:r>
      <w:r>
        <w:t xml:space="preserve">process are displayed.</w:t>
      </w:r>
    </w:p>
    <w:p>
      <w:pPr>
        <w:pStyle w:val="BodyText"/>
      </w:pPr>
      <w:r>
        <w:rPr>
          <w:bCs/>
          <w:b/>
        </w:rPr>
        <w:t xml:space="preserve">Advantages</w:t>
      </w:r>
    </w:p>
    <w:p>
      <w:pPr>
        <w:numPr>
          <w:ilvl w:val="0"/>
          <w:numId w:val="1011"/>
        </w:numPr>
        <w:pStyle w:val="Compact"/>
      </w:pPr>
      <w:r>
        <w:t xml:space="preserve">The psuedo-quadrat axis scores are not influenced by the survey quadrats.</w:t>
      </w:r>
    </w:p>
    <w:p>
      <w:pPr>
        <w:numPr>
          <w:ilvl w:val="0"/>
          <w:numId w:val="1011"/>
        </w:numPr>
        <w:pStyle w:val="Compact"/>
      </w:pPr>
      <w:r>
        <w:t xml:space="preserve">The position of the pseudo-quadrat axis scores are absolute. Adding or</w:t>
      </w:r>
      <w:r>
        <w:t xml:space="preserve"> </w:t>
      </w:r>
      <w:r>
        <w:t xml:space="preserve">removing NVC communities from the plot using the</w:t>
      </w:r>
      <w:r>
        <w:t xml:space="preserve"> </w:t>
      </w:r>
      <w:r>
        <w:t xml:space="preserve">“</w:t>
      </w:r>
      <w:r>
        <w:t xml:space="preserve">National Reference Spaces</w:t>
      </w:r>
      <w:r>
        <w:t xml:space="preserve">”</w:t>
      </w:r>
      <w:r>
        <w:t xml:space="preserve"> </w:t>
      </w:r>
      <w:r>
        <w:t xml:space="preserve">option does not change the axis scores and</w:t>
      </w:r>
      <w:r>
        <w:t xml:space="preserve"> </w:t>
      </w:r>
      <w:r>
        <w:t xml:space="preserve">position of the other NVC communities or survey quadrats.</w:t>
      </w:r>
    </w:p>
    <w:p>
      <w:pPr>
        <w:numPr>
          <w:ilvl w:val="0"/>
          <w:numId w:val="1011"/>
        </w:numPr>
        <w:pStyle w:val="Compact"/>
      </w:pPr>
      <w:r>
        <w:t xml:space="preserve">The pseudo-quadrat DCA contains all the species present in the NVC floristic</w:t>
      </w:r>
      <w:r>
        <w:t xml:space="preserve"> </w:t>
      </w:r>
      <w:r>
        <w:t xml:space="preserve">table, in comparison to the</w:t>
      </w:r>
      <w:r>
        <w:t xml:space="preserve"> </w:t>
      </w:r>
      <w:r>
        <w:rPr>
          <w:bCs/>
          <w:b/>
        </w:rPr>
        <w:t xml:space="preserve">Local Reference (restricted)</w:t>
      </w:r>
      <w:r>
        <w:t xml:space="preserve"> </w:t>
      </w:r>
      <w:r>
        <w:t xml:space="preserve">method.</w:t>
      </w:r>
    </w:p>
    <w:p>
      <w:pPr>
        <w:numPr>
          <w:ilvl w:val="0"/>
          <w:numId w:val="1011"/>
        </w:numPr>
        <w:pStyle w:val="Compact"/>
      </w:pPr>
      <w:r>
        <w:t xml:space="preserve">The survey quadrat positions in the ordination space accurately reflect their</w:t>
      </w:r>
      <w:r>
        <w:t xml:space="preserve"> </w:t>
      </w:r>
      <w:r>
        <w:t xml:space="preserve">similiarity with the pseudo-quadrats, and therefore the NVC communities and</w:t>
      </w:r>
      <w:r>
        <w:t xml:space="preserve"> </w:t>
      </w:r>
      <w:r>
        <w:t xml:space="preserve">sub-communities.</w:t>
      </w:r>
    </w:p>
    <w:p>
      <w:pPr>
        <w:pStyle w:val="FirstParagraph"/>
      </w:pPr>
      <w:r>
        <w:rPr>
          <w:bCs/>
          <w:b/>
        </w:rPr>
        <w:t xml:space="preserve">Disadvantages</w:t>
      </w:r>
    </w:p>
    <w:p>
      <w:pPr>
        <w:numPr>
          <w:ilvl w:val="0"/>
          <w:numId w:val="1012"/>
        </w:numPr>
        <w:pStyle w:val="Compact"/>
      </w:pPr>
      <w:r>
        <w:t xml:space="preserve">The pseudo-quadrat DCA scores for each sub-community within a community are</w:t>
      </w:r>
      <w:r>
        <w:t xml:space="preserve"> </w:t>
      </w:r>
      <w:r>
        <w:t xml:space="preserve">compressed by the dissimilarity with other communities. Consequently there</w:t>
      </w:r>
      <w:r>
        <w:t xml:space="preserve"> </w:t>
      </w:r>
      <w:r>
        <w:t xml:space="preserve">is a greater degree of overlap between the sub-communities, and the</w:t>
      </w:r>
      <w:r>
        <w:t xml:space="preserve"> </w:t>
      </w:r>
      <w:r>
        <w:t xml:space="preserve">survey quadrats and sub-communities.</w:t>
      </w:r>
    </w:p>
    <w:bookmarkEnd w:id="37"/>
    <w:bookmarkStart w:id="38" w:name="local-reference-restricted"/>
    <w:p>
      <w:pPr>
        <w:pStyle w:val="Heading3"/>
      </w:pPr>
      <w:r>
        <w:rPr>
          <w:rStyle w:val="SectionNumber"/>
        </w:rPr>
        <w:t xml:space="preserve">2.9.2</w:t>
      </w:r>
      <w:r>
        <w:tab/>
      </w:r>
      <w:r>
        <w:t xml:space="preserve">Local Reference (restricted)</w:t>
      </w:r>
    </w:p>
    <w:p>
      <w:pPr>
        <w:pStyle w:val="FirstParagraph"/>
      </w:pPr>
      <w:r>
        <w:t xml:space="preserve">The ordination space in the</w:t>
      </w:r>
      <w:r>
        <w:t xml:space="preserve"> </w:t>
      </w:r>
      <w:r>
        <w:rPr>
          <w:bCs/>
          <w:b/>
        </w:rPr>
        <w:t xml:space="preserve">Local Reference (restricted)</w:t>
      </w:r>
      <w:r>
        <w:t xml:space="preserve"> </w:t>
      </w:r>
      <w:r>
        <w:t xml:space="preserve">MVA is constructed</w:t>
      </w:r>
      <w:r>
        <w:t xml:space="preserve"> </w:t>
      </w:r>
      <w:r>
        <w:t xml:space="preserve">by performing a DCA on the top-fitted NVC communities retrieved from the</w:t>
      </w:r>
      <w:r>
        <w:t xml:space="preserve"> </w:t>
      </w:r>
      <w:r>
        <w:rPr>
          <w:bCs/>
          <w:b/>
        </w:rPr>
        <w:t xml:space="preserve">NVC Assignment</w:t>
      </w:r>
      <w:r>
        <w:t xml:space="preserve"> </w:t>
      </w:r>
      <w:r>
        <w:t xml:space="preserve">process with the survey quadrats added in passively using the</w:t>
      </w:r>
      <w:r>
        <w:t xml:space="preserve"> </w:t>
      </w:r>
      <w:r>
        <w:t xml:space="preserve">mean of the species scores from the pseudo-quadrat DCA.</w:t>
      </w:r>
    </w:p>
    <w:p>
      <w:pPr>
        <w:pStyle w:val="BodyText"/>
      </w:pPr>
      <w:r>
        <w:rPr>
          <w:bCs/>
          <w:b/>
        </w:rPr>
        <w:t xml:space="preserve">Advantages</w:t>
      </w:r>
    </w:p>
    <w:p>
      <w:pPr>
        <w:numPr>
          <w:ilvl w:val="0"/>
          <w:numId w:val="1013"/>
        </w:numPr>
        <w:pStyle w:val="Compact"/>
      </w:pPr>
      <w:r>
        <w:t xml:space="preserve">The psuedo-quadrat axis scores are not influenced by the survey quadrats.</w:t>
      </w:r>
    </w:p>
    <w:p>
      <w:pPr>
        <w:numPr>
          <w:ilvl w:val="0"/>
          <w:numId w:val="1013"/>
        </w:numPr>
        <w:pStyle w:val="Compact"/>
      </w:pPr>
      <w:r>
        <w:t xml:space="preserve">The pseudo-quadrat axis scores show greater variation due to the absence of</w:t>
      </w:r>
      <w:r>
        <w:t xml:space="preserve"> </w:t>
      </w:r>
      <w:r>
        <w:t xml:space="preserve">highly dissimilar communities, in contrast to the</w:t>
      </w:r>
      <w:r>
        <w:t xml:space="preserve"> </w:t>
      </w:r>
      <w:r>
        <w:rPr>
          <w:bCs/>
          <w:b/>
        </w:rPr>
        <w:t xml:space="preserve">National Reference</w:t>
      </w:r>
      <w:r>
        <w:t xml:space="preserve"> </w:t>
      </w:r>
      <w:r>
        <w:t xml:space="preserve">method. Consequently, the (dis)similarity between the pseudo-quadrats and</w:t>
      </w:r>
      <w:r>
        <w:t xml:space="preserve"> </w:t>
      </w:r>
      <w:r>
        <w:t xml:space="preserve">survey-quadrats is emphasised.</w:t>
      </w:r>
    </w:p>
    <w:p>
      <w:pPr>
        <w:pStyle w:val="FirstParagraph"/>
      </w:pPr>
      <w:r>
        <w:rPr>
          <w:bCs/>
          <w:b/>
        </w:rPr>
        <w:t xml:space="preserve">Disadvantages</w:t>
      </w:r>
    </w:p>
    <w:p>
      <w:pPr>
        <w:numPr>
          <w:ilvl w:val="0"/>
          <w:numId w:val="1014"/>
        </w:numPr>
        <w:pStyle w:val="Compact"/>
      </w:pPr>
      <w:r>
        <w:t xml:space="preserve">Species present in the survey data but absent in the top-fitted NVC</w:t>
      </w:r>
      <w:r>
        <w:t xml:space="preserve"> </w:t>
      </w:r>
      <w:r>
        <w:t xml:space="preserve">communities are omitted from the survey quadrat axis score calculation.</w:t>
      </w:r>
      <w:r>
        <w:t xml:space="preserve"> </w:t>
      </w:r>
      <w:r>
        <w:t xml:space="preserve">Consequently, the similiarity between the survey quadrats and pseudo-quadrats</w:t>
      </w:r>
      <w:r>
        <w:t xml:space="preserve"> </w:t>
      </w:r>
      <w:r>
        <w:t xml:space="preserve">(and therefore NVC communities and sub-communities) is over-estimated.</w:t>
      </w:r>
    </w:p>
    <w:p>
      <w:pPr>
        <w:numPr>
          <w:ilvl w:val="0"/>
          <w:numId w:val="1014"/>
        </w:numPr>
        <w:pStyle w:val="Compact"/>
      </w:pPr>
      <w:r>
        <w:t xml:space="preserve">The axis scores and position of both the pseudo-quadrats and survey quadrats</w:t>
      </w:r>
      <w:r>
        <w:t xml:space="preserve"> </w:t>
      </w:r>
      <w:r>
        <w:t xml:space="preserve">varies based on the NVC communities used in the pseudo-quadrat DCA.</w:t>
      </w:r>
    </w:p>
    <w:bookmarkEnd w:id="38"/>
    <w:bookmarkStart w:id="39" w:name="local-reference-unrestricted"/>
    <w:p>
      <w:pPr>
        <w:pStyle w:val="Heading3"/>
      </w:pPr>
      <w:r>
        <w:rPr>
          <w:rStyle w:val="SectionNumber"/>
        </w:rPr>
        <w:t xml:space="preserve">2.9.3</w:t>
      </w:r>
      <w:r>
        <w:tab/>
      </w:r>
      <w:r>
        <w:t xml:space="preserve">Local Reference (unrestricted)</w:t>
      </w:r>
    </w:p>
    <w:p>
      <w:pPr>
        <w:pStyle w:val="FirstParagraph"/>
      </w:pPr>
      <w:r>
        <w:t xml:space="preserve">The ordination space in the</w:t>
      </w:r>
      <w:r>
        <w:t xml:space="preserve"> </w:t>
      </w:r>
      <w:r>
        <w:rPr>
          <w:bCs/>
          <w:b/>
        </w:rPr>
        <w:t xml:space="preserve">Local Reference (unrestricted)</w:t>
      </w:r>
      <w:r>
        <w:t xml:space="preserve"> </w:t>
      </w:r>
      <w:r>
        <w:t xml:space="preserve">MVA is</w:t>
      </w:r>
      <w:r>
        <w:t xml:space="preserve"> </w:t>
      </w:r>
      <w:r>
        <w:t xml:space="preserve">constructed by performing a DCA on the top-fitted NVC communities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survey quadrats.</w:t>
      </w:r>
    </w:p>
    <w:p>
      <w:pPr>
        <w:pStyle w:val="BodyText"/>
      </w:pPr>
      <w:r>
        <w:rPr>
          <w:bCs/>
          <w:b/>
        </w:rPr>
        <w:t xml:space="preserve">Advantages</w:t>
      </w:r>
    </w:p>
    <w:p>
      <w:pPr>
        <w:numPr>
          <w:ilvl w:val="0"/>
          <w:numId w:val="1015"/>
        </w:numPr>
        <w:pStyle w:val="Compact"/>
      </w:pPr>
      <w:r>
        <w:t xml:space="preserve">All species present in both the survey quadrats and pseudo-quadrats</w:t>
      </w:r>
      <w:r>
        <w:t xml:space="preserve"> </w:t>
      </w:r>
      <w:r>
        <w:t xml:space="preserve">contribute to the axis scores. Consequently, the (dis)similarity between the</w:t>
      </w:r>
      <w:r>
        <w:t xml:space="preserve"> </w:t>
      </w:r>
      <w:r>
        <w:t xml:space="preserve">pseudo-quadrats and survey quadrats is correctly represented as in the</w:t>
      </w:r>
      <w:r>
        <w:t xml:space="preserve"> </w:t>
      </w:r>
      <w:r>
        <w:rPr>
          <w:bCs/>
          <w:b/>
        </w:rPr>
        <w:t xml:space="preserve">National Reference</w:t>
      </w:r>
      <w:r>
        <w:t xml:space="preserve"> </w:t>
      </w:r>
      <w:r>
        <w:t xml:space="preserve">method but the axis scores are not compressed by</w:t>
      </w:r>
      <w:r>
        <w:t xml:space="preserve"> </w:t>
      </w:r>
      <w:r>
        <w:t xml:space="preserve">highly dissimilar communities.</w:t>
      </w:r>
    </w:p>
    <w:p>
      <w:pPr>
        <w:pStyle w:val="FirstParagraph"/>
      </w:pPr>
      <w:r>
        <w:rPr>
          <w:bCs/>
          <w:b/>
        </w:rPr>
        <w:t xml:space="preserve">Disadvantages</w:t>
      </w:r>
    </w:p>
    <w:p>
      <w:pPr>
        <w:numPr>
          <w:ilvl w:val="0"/>
          <w:numId w:val="1016"/>
        </w:numPr>
        <w:pStyle w:val="Compact"/>
      </w:pPr>
      <w:r>
        <w:t xml:space="preserve">The inclusion of the survey quadrats in the DCA means that the</w:t>
      </w:r>
      <w:r>
        <w:t xml:space="preserve"> </w:t>
      </w:r>
      <w:r>
        <w:t xml:space="preserve">pseudo-quadrats do not provide a fixed reference as in the</w:t>
      </w:r>
      <w:r>
        <w:t xml:space="preserve"> </w:t>
      </w:r>
      <w:r>
        <w:rPr>
          <w:bCs/>
          <w:b/>
        </w:rPr>
        <w:t xml:space="preserve">National Reference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Local Reference (restricted)</w:t>
      </w:r>
      <w:r>
        <w:t xml:space="preserve"> </w:t>
      </w:r>
      <w:r>
        <w:t xml:space="preserve">methods where</w:t>
      </w:r>
      <w:r>
        <w:t xml:space="preserve"> </w:t>
      </w:r>
      <w:r>
        <w:t xml:space="preserve">the survey quadrats are added in passively.</w:t>
      </w:r>
    </w:p>
    <w:bookmarkEnd w:id="39"/>
    <w:bookmarkStart w:id="40" w:name="options-5"/>
    <w:p>
      <w:pPr>
        <w:pStyle w:val="Heading3"/>
      </w:pPr>
      <w:r>
        <w:rPr>
          <w:rStyle w:val="SectionNumber"/>
        </w:rPr>
        <w:t xml:space="preserve">2.9.4</w:t>
      </w:r>
      <w:r>
        <w:tab/>
      </w:r>
      <w:r>
        <w:t xml:space="preserve">Options</w:t>
      </w:r>
    </w:p>
    <w:p>
      <w:pPr>
        <w:pStyle w:val="FirstParagraph"/>
      </w:pPr>
      <w:r>
        <w:rPr>
          <w:bCs/>
          <w:b/>
        </w:rPr>
        <w:t xml:space="preserve">Axis Selection</w:t>
      </w:r>
    </w:p>
    <w:p>
      <w:pPr>
        <w:pStyle w:val="BodyText"/>
      </w:pPr>
      <w:r>
        <w:t xml:space="preserve">The user may select any combination of the first three DCA axis scores to be</w:t>
      </w:r>
      <w:r>
        <w:t xml:space="preserve"> </w:t>
      </w:r>
      <w:r>
        <w:t xml:space="preserve">displayed in the MVA plots:</w:t>
      </w:r>
    </w:p>
    <w:p>
      <w:pPr>
        <w:numPr>
          <w:ilvl w:val="0"/>
          <w:numId w:val="1017"/>
        </w:numPr>
        <w:pStyle w:val="Compact"/>
      </w:pPr>
      <w:r>
        <w:t xml:space="preserve">DCA1 vs DCA2</w:t>
      </w:r>
    </w:p>
    <w:p>
      <w:pPr>
        <w:numPr>
          <w:ilvl w:val="0"/>
          <w:numId w:val="1017"/>
        </w:numPr>
        <w:pStyle w:val="Compact"/>
      </w:pPr>
      <w:r>
        <w:t xml:space="preserve">DCA1 vs DCA3</w:t>
      </w:r>
    </w:p>
    <w:p>
      <w:pPr>
        <w:numPr>
          <w:ilvl w:val="0"/>
          <w:numId w:val="1017"/>
        </w:numPr>
        <w:pStyle w:val="Compact"/>
      </w:pPr>
      <w:r>
        <w:t xml:space="preserve">DCA2 vs DCA3</w:t>
      </w:r>
    </w:p>
    <w:p>
      <w:pPr>
        <w:pStyle w:val="FirstParagraph"/>
      </w:pPr>
      <w:r>
        <w:rPr>
          <w:bCs/>
          <w:b/>
        </w:rPr>
        <w:t xml:space="preserve">National Reference Spaces</w:t>
      </w:r>
    </w:p>
    <w:p>
      <w:pPr>
        <w:pStyle w:val="BodyText"/>
      </w:pPr>
      <w:r>
        <w:t xml:space="preserve">Here the user may select any NVC community to display in the</w:t>
      </w:r>
      <w:r>
        <w:t xml:space="preserve"> </w:t>
      </w:r>
      <w:r>
        <w:rPr>
          <w:bCs/>
          <w:b/>
        </w:rPr>
        <w:t xml:space="preserve">National Reference</w:t>
      </w:r>
      <w:r>
        <w:t xml:space="preserve"> </w:t>
      </w:r>
      <w:r>
        <w:t xml:space="preserve">MVA plot only.</w:t>
      </w:r>
    </w:p>
    <w:p>
      <w:pPr>
        <w:pStyle w:val="BodyText"/>
      </w:pPr>
      <w:r>
        <w:rPr>
          <w:bCs/>
          <w:b/>
        </w:rPr>
        <w:t xml:space="preserve">Survey Quadrat Selection</w:t>
      </w:r>
    </w:p>
    <w:p>
      <w:pPr>
        <w:pStyle w:val="BodyText"/>
      </w:pPr>
      <w:r>
        <w:t xml:space="preserve">Three methods are available for subsetting the survey quadrats being displayed:</w:t>
      </w:r>
    </w:p>
    <w:p>
      <w:pPr>
        <w:numPr>
          <w:ilvl w:val="0"/>
          <w:numId w:val="1018"/>
        </w:numPr>
        <w:pStyle w:val="Compact"/>
      </w:pPr>
      <w:r>
        <w:t xml:space="preserve">Select Years, where all the survey quadrats for selected years will be displayed.</w:t>
      </w:r>
    </w:p>
    <w:p>
      <w:pPr>
        <w:numPr>
          <w:ilvl w:val="0"/>
          <w:numId w:val="1018"/>
        </w:numPr>
        <w:pStyle w:val="Compact"/>
      </w:pPr>
      <w:r>
        <w:t xml:space="preserve">Select Groups, where all the survey quadrats for selected groups will be displayed.</w:t>
      </w:r>
    </w:p>
    <w:p>
      <w:pPr>
        <w:numPr>
          <w:ilvl w:val="0"/>
          <w:numId w:val="1018"/>
        </w:numPr>
        <w:pStyle w:val="Compact"/>
      </w:pPr>
      <w:r>
        <w:t xml:space="preserve">Select Quadrats, where all the survey quadrats for selected quadrats will be displayed.</w:t>
      </w:r>
    </w:p>
    <w:p>
      <w:pPr>
        <w:pStyle w:val="FirstParagraph"/>
      </w:pPr>
      <w:r>
        <w:rPr>
          <w:bCs/>
          <w:b/>
        </w:rPr>
        <w:t xml:space="preserve">CCA Variables</w:t>
      </w:r>
    </w:p>
    <w:p>
      <w:pPr>
        <w:pStyle w:val="BodyText"/>
      </w:pPr>
      <w:r>
        <w:t xml:space="preserve">At present the CCA axis scores from each combination of Hill-Ellenberg values</w:t>
      </w:r>
      <w:r>
        <w:t xml:space="preserve"> </w:t>
      </w:r>
      <w:r>
        <w:t xml:space="preserve">are available for display in each MVA plot:</w:t>
      </w:r>
    </w:p>
    <w:p>
      <w:pPr>
        <w:numPr>
          <w:ilvl w:val="0"/>
          <w:numId w:val="1019"/>
        </w:numPr>
        <w:pStyle w:val="Compact"/>
      </w:pPr>
      <w:r>
        <w:t xml:space="preserve">Moisture (F) x Nitrogen (N)</w:t>
      </w:r>
    </w:p>
    <w:p>
      <w:pPr>
        <w:numPr>
          <w:ilvl w:val="0"/>
          <w:numId w:val="1019"/>
        </w:numPr>
        <w:pStyle w:val="Compact"/>
      </w:pPr>
      <w:r>
        <w:t xml:space="preserve">Moisture (F) x Reaction (R)</w:t>
      </w:r>
    </w:p>
    <w:p>
      <w:pPr>
        <w:numPr>
          <w:ilvl w:val="0"/>
          <w:numId w:val="1019"/>
        </w:numPr>
        <w:pStyle w:val="Compact"/>
      </w:pPr>
      <w:r>
        <w:t xml:space="preserve">Moisture (F) x Light (L)</w:t>
      </w:r>
    </w:p>
    <w:p>
      <w:pPr>
        <w:numPr>
          <w:ilvl w:val="0"/>
          <w:numId w:val="1019"/>
        </w:numPr>
        <w:pStyle w:val="Compact"/>
      </w:pPr>
      <w:r>
        <w:t xml:space="preserve">Moisture (F) x Salinity (S)</w:t>
      </w:r>
    </w:p>
    <w:p>
      <w:pPr>
        <w:numPr>
          <w:ilvl w:val="0"/>
          <w:numId w:val="1019"/>
        </w:numPr>
        <w:pStyle w:val="Compact"/>
      </w:pPr>
      <w:r>
        <w:t xml:space="preserve">Nitrogen (N) x Reaction (R)</w:t>
      </w:r>
    </w:p>
    <w:p>
      <w:pPr>
        <w:numPr>
          <w:ilvl w:val="0"/>
          <w:numId w:val="1019"/>
        </w:numPr>
        <w:pStyle w:val="Compact"/>
      </w:pPr>
      <w:r>
        <w:t xml:space="preserve">Nitrogen (N) x Light (L)</w:t>
      </w:r>
    </w:p>
    <w:p>
      <w:pPr>
        <w:numPr>
          <w:ilvl w:val="0"/>
          <w:numId w:val="1019"/>
        </w:numPr>
        <w:pStyle w:val="Compact"/>
      </w:pPr>
      <w:r>
        <w:t xml:space="preserve">Nitrogen (N) x Salinity (S)</w:t>
      </w:r>
    </w:p>
    <w:p>
      <w:pPr>
        <w:numPr>
          <w:ilvl w:val="0"/>
          <w:numId w:val="1019"/>
        </w:numPr>
        <w:pStyle w:val="Compact"/>
      </w:pPr>
      <w:r>
        <w:t xml:space="preserve">Reaction (R) x Light (L)</w:t>
      </w:r>
    </w:p>
    <w:p>
      <w:pPr>
        <w:numPr>
          <w:ilvl w:val="0"/>
          <w:numId w:val="1019"/>
        </w:numPr>
        <w:pStyle w:val="Compact"/>
      </w:pPr>
      <w:r>
        <w:t xml:space="preserve">Reaction (R) x Salinity (S)</w:t>
      </w:r>
    </w:p>
    <w:p>
      <w:pPr>
        <w:numPr>
          <w:ilvl w:val="0"/>
          <w:numId w:val="1019"/>
        </w:numPr>
        <w:pStyle w:val="Compact"/>
      </w:pPr>
      <w:r>
        <w:t xml:space="preserve">Light (L) x Salinity (S)</w:t>
      </w:r>
    </w:p>
    <w:p>
      <w:pPr>
        <w:pStyle w:val="FirstParagraph"/>
      </w:pPr>
      <w:r>
        <w:rPr>
          <w:bCs/>
          <w:b/>
        </w:rPr>
        <w:t xml:space="preserve">Axis Scores</w:t>
      </w:r>
    </w:p>
    <w:p>
      <w:pPr>
        <w:pStyle w:val="BodyText"/>
      </w:pPr>
      <w:r>
        <w:t xml:space="preserve">The following results may be toggled on/off for display in the MVA plots.</w:t>
      </w:r>
    </w:p>
    <w:p>
      <w:pPr>
        <w:numPr>
          <w:ilvl w:val="0"/>
          <w:numId w:val="1020"/>
        </w:numPr>
        <w:pStyle w:val="Compact"/>
      </w:pPr>
      <w:r>
        <w:t xml:space="preserve">Survey Quadrats, the survey quadrats entered in</w:t>
      </w:r>
      <w:r>
        <w:t xml:space="preserve"> </w:t>
      </w:r>
      <w:r>
        <w:rPr>
          <w:bCs/>
          <w:b/>
        </w:rPr>
        <w:t xml:space="preserve">Survey Data</w:t>
      </w:r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Pseudo-Quadrats, all pseudo-quadrats used in the DCA ordination.</w:t>
      </w:r>
    </w:p>
    <w:p>
      <w:pPr>
        <w:numPr>
          <w:ilvl w:val="0"/>
          <w:numId w:val="1020"/>
        </w:numPr>
        <w:pStyle w:val="Compact"/>
      </w:pPr>
      <w:r>
        <w:t xml:space="preserve">Reference Space, the convex hulls formed around the pseudo-quadrats.</w:t>
      </w:r>
    </w:p>
    <w:p>
      <w:pPr>
        <w:numPr>
          <w:ilvl w:val="0"/>
          <w:numId w:val="1020"/>
        </w:numPr>
        <w:pStyle w:val="Compact"/>
      </w:pPr>
      <w:r>
        <w:t xml:space="preserve">Species, the species DCA axis scores.</w:t>
      </w:r>
    </w:p>
    <w:p>
      <w:pPr>
        <w:numPr>
          <w:ilvl w:val="0"/>
          <w:numId w:val="1020"/>
        </w:numPr>
        <w:pStyle w:val="Compact"/>
      </w:pPr>
      <w:r>
        <w:t xml:space="preserve">Unique Survey Species, the species present in the survey quadrats but absent</w:t>
      </w:r>
      <w:r>
        <w:t xml:space="preserve"> </w:t>
      </w:r>
      <w:r>
        <w:t xml:space="preserve">in the top-fitted NVC communities pseudo-quadrats.</w:t>
      </w:r>
      <w:r>
        <w:t xml:space="preserve"> </w:t>
      </w:r>
      <w:r>
        <w:t xml:space="preserve">Displayed in</w:t>
      </w:r>
      <w:r>
        <w:t xml:space="preserve"> </w:t>
      </w:r>
      <w:r>
        <w:rPr>
          <w:bCs/>
          <w:b/>
        </w:rPr>
        <w:t xml:space="preserve">Local Reference (unrestricted)</w:t>
      </w:r>
      <w:r>
        <w:t xml:space="preserve"> </w:t>
      </w:r>
      <w:r>
        <w:t xml:space="preserve">only.</w:t>
      </w:r>
    </w:p>
    <w:p>
      <w:pPr>
        <w:numPr>
          <w:ilvl w:val="0"/>
          <w:numId w:val="1020"/>
        </w:numPr>
        <w:pStyle w:val="Compact"/>
      </w:pPr>
      <w:r>
        <w:t xml:space="preserve">Hill-Ellenberg, the Hill-Ellenberg CCA axis scores selected in the</w:t>
      </w:r>
      <w:r>
        <w:t xml:space="preserve"> </w:t>
      </w:r>
      <w:r>
        <w:t xml:space="preserve">“</w:t>
      </w:r>
      <w:r>
        <w:t xml:space="preserve">CCA Variables</w:t>
      </w:r>
      <w:r>
        <w:t xml:space="preserve">”</w:t>
      </w:r>
      <w:r>
        <w:t xml:space="preserve"> </w:t>
      </w:r>
      <w:r>
        <w:t xml:space="preserve">option.</w:t>
      </w:r>
    </w:p>
    <w:p>
      <w:pPr>
        <w:numPr>
          <w:ilvl w:val="0"/>
          <w:numId w:val="1020"/>
        </w:numPr>
        <w:pStyle w:val="Compact"/>
      </w:pPr>
      <w:r>
        <w:t xml:space="preserve">Survey Quadrat Change, arrows showing the direction of travel for individual</w:t>
      </w:r>
      <w:r>
        <w:t xml:space="preserve"> </w:t>
      </w:r>
      <w:r>
        <w:t xml:space="preserve">quadrats in the ordination space.</w:t>
      </w:r>
    </w:p>
    <w:bookmarkEnd w:id="40"/>
    <w:bookmarkEnd w:id="41"/>
    <w:bookmarkStart w:id="43" w:name="report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Report</w:t>
      </w:r>
    </w:p>
    <w:p>
      <w:pPr>
        <w:pStyle w:val="FirstParagraph"/>
      </w:pPr>
      <w:r>
        <w:t xml:space="preserve">MAVIS allows the user to generate a downloadable pdf report, which by</w:t>
      </w:r>
      <w:r>
        <w:t xml:space="preserve"> </w:t>
      </w:r>
      <w:r>
        <w:t xml:space="preserve">default contains 1) a table of the MAVIS results selected for inclusion,</w:t>
      </w:r>
      <w:r>
        <w:t xml:space="preserve"> </w:t>
      </w:r>
      <w:r>
        <w:t xml:space="preserve">and 2) tables containing the number of quadrats sampled by year and group.</w:t>
      </w:r>
    </w:p>
    <w:bookmarkStart w:id="42" w:name="options-6"/>
    <w:p>
      <w:pPr>
        <w:pStyle w:val="Heading3"/>
      </w:pPr>
      <w:r>
        <w:rPr>
          <w:rStyle w:val="SectionNumber"/>
        </w:rPr>
        <w:t xml:space="preserve">2.10.1</w:t>
      </w:r>
      <w:r>
        <w:tab/>
      </w:r>
      <w:r>
        <w:t xml:space="preserve">Options</w:t>
      </w:r>
    </w:p>
    <w:p>
      <w:pPr>
        <w:pStyle w:val="FirstParagraph"/>
      </w:pPr>
      <w:r>
        <w:rPr>
          <w:bCs/>
          <w:b/>
        </w:rPr>
        <w:t xml:space="preserve">Author</w:t>
      </w:r>
    </w:p>
    <w:p>
      <w:pPr>
        <w:pStyle w:val="BodyText"/>
      </w:pPr>
      <w:r>
        <w:t xml:space="preserve">A text input where the user is able to enter the name of the person/s using</w:t>
      </w:r>
      <w:r>
        <w:t xml:space="preserve"> </w:t>
      </w:r>
      <w:r>
        <w:t xml:space="preserve">MAVIS.</w:t>
      </w:r>
    </w:p>
    <w:p>
      <w:pPr>
        <w:pStyle w:val="BodyText"/>
      </w:pPr>
      <w:r>
        <w:rPr>
          <w:bCs/>
          <w:b/>
        </w:rPr>
        <w:t xml:space="preserve">Project Name</w:t>
      </w:r>
    </w:p>
    <w:p>
      <w:pPr>
        <w:pStyle w:val="BodyText"/>
      </w:pPr>
      <w:r>
        <w:t xml:space="preserve">A text input where the user is able to enter the project name/name of the site</w:t>
      </w:r>
      <w:r>
        <w:t xml:space="preserve"> </w:t>
      </w:r>
      <w:r>
        <w:t xml:space="preserve">being analysed in MAVIS.</w:t>
      </w:r>
    </w:p>
    <w:p>
      <w:pPr>
        <w:pStyle w:val="BodyText"/>
      </w:pPr>
      <w:r>
        <w:rPr>
          <w:bCs/>
          <w:b/>
        </w:rPr>
        <w:t xml:space="preserve">Report Options</w:t>
      </w:r>
    </w:p>
    <w:p>
      <w:pPr>
        <w:pStyle w:val="BodyText"/>
      </w:pPr>
      <w:r>
        <w:t xml:space="preserve">The user is able to select any of the results visualised in MAVIS for</w:t>
      </w:r>
      <w:r>
        <w:t xml:space="preserve"> </w:t>
      </w:r>
      <w:r>
        <w:t xml:space="preserve">inclusion in the report, displayed in the table below.</w:t>
      </w:r>
    </w:p>
    <w:p>
      <w:pPr>
        <w:pStyle w:val="BodyText"/>
      </w:pPr>
      <w:r>
        <w:t xml:space="preserve">Results Group</w:t>
      </w:r>
    </w:p>
    <w:p>
      <w:pPr>
        <w:pStyle w:val="BodyText"/>
      </w:pPr>
      <w:r>
        <w:t xml:space="preserve">Results Value</w:t>
      </w:r>
    </w:p>
    <w:p>
      <w:pPr>
        <w:pStyle w:val="BodyText"/>
      </w:pPr>
      <w:r>
        <w:t xml:space="preserve">NVC Assignment</w:t>
      </w:r>
    </w:p>
    <w:p>
      <w:pPr>
        <w:pStyle w:val="BodyText"/>
      </w:pPr>
      <w:r>
        <w:t xml:space="preserve">Site, Czekanowski</w:t>
      </w:r>
    </w:p>
    <w:p>
      <w:pPr>
        <w:pStyle w:val="BodyText"/>
      </w:pPr>
      <w:r>
        <w:t xml:space="preserve">NVC Assignment</w:t>
      </w:r>
    </w:p>
    <w:p>
      <w:pPr>
        <w:pStyle w:val="BodyText"/>
      </w:pPr>
      <w:r>
        <w:t xml:space="preserve">Group, Czekanowski</w:t>
      </w:r>
    </w:p>
    <w:p>
      <w:pPr>
        <w:pStyle w:val="BodyText"/>
      </w:pPr>
      <w:r>
        <w:t xml:space="preserve">NVC Assignment</w:t>
      </w:r>
    </w:p>
    <w:p>
      <w:pPr>
        <w:pStyle w:val="BodyText"/>
      </w:pPr>
      <w:r>
        <w:t xml:space="preserve">Quadrat, Jaccard</w:t>
      </w:r>
    </w:p>
    <w:p>
      <w:pPr>
        <w:pStyle w:val="BodyText"/>
      </w:pPr>
      <w:r>
        <w:t xml:space="preserve">Floristic Tables</w:t>
      </w:r>
    </w:p>
    <w:p>
      <w:pPr>
        <w:pStyle w:val="BodyText"/>
      </w:pPr>
      <w:r>
        <w:t xml:space="preserve">Site</w:t>
      </w:r>
    </w:p>
    <w:p>
      <w:pPr>
        <w:pStyle w:val="BodyText"/>
      </w:pPr>
      <w:r>
        <w:t xml:space="preserve">Floristic Tables</w:t>
      </w:r>
    </w:p>
    <w:p>
      <w:pPr>
        <w:pStyle w:val="BodyText"/>
      </w:pPr>
      <w:r>
        <w:t xml:space="preserve">Group</w:t>
      </w:r>
    </w:p>
    <w:p>
      <w:pPr>
        <w:pStyle w:val="BodyText"/>
      </w:pPr>
      <w:r>
        <w:t xml:space="preserve">Species Frequency</w:t>
      </w:r>
    </w:p>
    <w:p>
      <w:pPr>
        <w:pStyle w:val="BodyText"/>
      </w:pPr>
      <w:r>
        <w:t xml:space="preserve">Species Frequency</w:t>
      </w:r>
    </w:p>
    <w:p>
      <w:pPr>
        <w:pStyle w:val="BodyText"/>
      </w:pPr>
      <w:r>
        <w:t xml:space="preserve">EIVs (incl. Mean Hill-Ellenberg)</w:t>
      </w:r>
    </w:p>
    <w:p>
      <w:pPr>
        <w:pStyle w:val="BodyText"/>
      </w:pPr>
      <w:r>
        <w:t xml:space="preserve">Weighted, Site</w:t>
      </w:r>
    </w:p>
    <w:p>
      <w:pPr>
        <w:pStyle w:val="BodyText"/>
      </w:pPr>
      <w:r>
        <w:t xml:space="preserve">EIVs (incl. Mean Hill-Ellenberg)</w:t>
      </w:r>
    </w:p>
    <w:p>
      <w:pPr>
        <w:pStyle w:val="BodyText"/>
      </w:pPr>
      <w:r>
        <w:t xml:space="preserve">Unweighted, Site</w:t>
      </w:r>
    </w:p>
    <w:p>
      <w:pPr>
        <w:pStyle w:val="BodyText"/>
      </w:pPr>
      <w:r>
        <w:t xml:space="preserve">EIVs (incl. Mean Hill-Ellenberg)</w:t>
      </w:r>
    </w:p>
    <w:p>
      <w:pPr>
        <w:pStyle w:val="BodyText"/>
      </w:pPr>
      <w:r>
        <w:t xml:space="preserve">Weighted, Group</w:t>
      </w:r>
    </w:p>
    <w:p>
      <w:pPr>
        <w:pStyle w:val="BodyText"/>
      </w:pPr>
      <w:r>
        <w:t xml:space="preserve">EIVs (incl. Mean Hill-Ellenberg)</w:t>
      </w:r>
    </w:p>
    <w:p>
      <w:pPr>
        <w:pStyle w:val="BodyText"/>
      </w:pPr>
      <w:r>
        <w:t xml:space="preserve">Unweighted, Group</w:t>
      </w:r>
    </w:p>
    <w:p>
      <w:pPr>
        <w:pStyle w:val="BodyText"/>
      </w:pPr>
      <w:r>
        <w:t xml:space="preserve">EIVs (incl. Mean Hill-Ellenberg)</w:t>
      </w:r>
    </w:p>
    <w:p>
      <w:pPr>
        <w:pStyle w:val="BodyText"/>
      </w:pPr>
      <w:r>
        <w:t xml:space="preserve">Weighted, Quadrat</w:t>
      </w:r>
    </w:p>
    <w:p>
      <w:pPr>
        <w:pStyle w:val="BodyText"/>
      </w:pPr>
      <w:r>
        <w:t xml:space="preserve">EIVs (incl. Mean Hill-Ellenberg)</w:t>
      </w:r>
    </w:p>
    <w:p>
      <w:pPr>
        <w:pStyle w:val="BodyText"/>
      </w:pPr>
      <w:r>
        <w:t xml:space="preserve">Unweighted, Quadrat</w:t>
      </w:r>
    </w:p>
    <w:p>
      <w:pPr>
        <w:pStyle w:val="BodyText"/>
      </w:pPr>
      <w:r>
        <w:t xml:space="preserve">Diversity</w:t>
      </w:r>
    </w:p>
    <w:p>
      <w:pPr>
        <w:pStyle w:val="BodyText"/>
      </w:pPr>
      <w:r>
        <w:t xml:space="preserve">Summary</w:t>
      </w:r>
    </w:p>
    <w:p>
      <w:pPr>
        <w:pStyle w:val="BodyText"/>
      </w:pPr>
      <w:r>
        <w:t xml:space="preserve">Diversity</w:t>
      </w:r>
    </w:p>
    <w:p>
      <w:pPr>
        <w:pStyle w:val="BodyText"/>
      </w:pPr>
      <w:r>
        <w:t xml:space="preserve">Quadrat Indices</w:t>
      </w:r>
    </w:p>
    <w:p>
      <w:pPr>
        <w:pStyle w:val="BodyText"/>
      </w:pPr>
      <w:r>
        <w:t xml:space="preserve">Diversity</w:t>
      </w:r>
    </w:p>
    <w:p>
      <w:pPr>
        <w:pStyle w:val="BodyText"/>
      </w:pPr>
      <w:r>
        <w:t xml:space="preserve">Richness, Site</w:t>
      </w:r>
    </w:p>
    <w:p>
      <w:pPr>
        <w:pStyle w:val="BodyText"/>
      </w:pPr>
      <w:r>
        <w:t xml:space="preserve">Diversity</w:t>
      </w:r>
    </w:p>
    <w:p>
      <w:pPr>
        <w:pStyle w:val="BodyText"/>
      </w:pPr>
      <w:r>
        <w:t xml:space="preserve">Richness, Group</w:t>
      </w:r>
    </w:p>
    <w:p>
      <w:pPr>
        <w:pStyle w:val="BodyText"/>
      </w:pPr>
      <w:r>
        <w:t xml:space="preserve">Diversity</w:t>
      </w:r>
    </w:p>
    <w:p>
      <w:pPr>
        <w:pStyle w:val="BodyText"/>
      </w:pPr>
      <w:r>
        <w:t xml:space="preserve">Richness, Quadrat</w:t>
      </w:r>
    </w:p>
    <w:p>
      <w:pPr>
        <w:pStyle w:val="BodyText"/>
      </w:pPr>
      <w:r>
        <w:t xml:space="preserve">MVA</w:t>
      </w:r>
    </w:p>
    <w:p>
      <w:pPr>
        <w:pStyle w:val="BodyText"/>
      </w:pPr>
      <w:r>
        <w:t xml:space="preserve">National</w:t>
      </w:r>
    </w:p>
    <w:p>
      <w:pPr>
        <w:pStyle w:val="BodyText"/>
      </w:pPr>
      <w:r>
        <w:t xml:space="preserve">MVA</w:t>
      </w:r>
    </w:p>
    <w:p>
      <w:pPr>
        <w:pStyle w:val="BodyText"/>
      </w:pPr>
      <w:r>
        <w:t xml:space="preserve">Local (restricted)</w:t>
      </w:r>
    </w:p>
    <w:p>
      <w:pPr>
        <w:pStyle w:val="BodyText"/>
      </w:pPr>
      <w:r>
        <w:t xml:space="preserve">MVA</w:t>
      </w:r>
    </w:p>
    <w:p>
      <w:pPr>
        <w:pStyle w:val="BodyText"/>
      </w:pPr>
      <w:r>
        <w:t xml:space="preserve">Local (unrestricted)</w:t>
      </w:r>
    </w:p>
    <w:p>
      <w:pPr>
        <w:pStyle w:val="BodyText"/>
      </w:pPr>
      <w:r>
        <w:t xml:space="preserve">Survey Table</w:t>
      </w:r>
    </w:p>
    <w:p>
      <w:pPr>
        <w:pStyle w:val="BodyText"/>
      </w:pPr>
      <w:r>
        <w:t xml:space="preserve">Survey Table</w:t>
      </w:r>
    </w:p>
    <w:bookmarkEnd w:id="42"/>
    <w:bookmarkEnd w:id="43"/>
    <w:bookmarkStart w:id="44" w:name="download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Download</w:t>
      </w:r>
    </w:p>
    <w:p>
      <w:pPr>
        <w:pStyle w:val="FirstParagraph"/>
      </w:pPr>
      <w:r>
        <w:t xml:space="preserve">At present the</w:t>
      </w:r>
      <w:r>
        <w:t xml:space="preserve"> </w:t>
      </w:r>
      <w:r>
        <w:rPr>
          <w:bCs/>
          <w:b/>
        </w:rPr>
        <w:t xml:space="preserve">Download</w:t>
      </w:r>
      <w:r>
        <w:t xml:space="preserve"> </w:t>
      </w:r>
      <w:r>
        <w:t xml:space="preserve">section of MAVIS allows the user to download:</w:t>
      </w:r>
    </w:p>
    <w:p>
      <w:pPr>
        <w:numPr>
          <w:ilvl w:val="0"/>
          <w:numId w:val="1021"/>
        </w:numPr>
        <w:pStyle w:val="Compact"/>
      </w:pPr>
      <w:r>
        <w:t xml:space="preserve">A csv file containing the species accepted by MAVIS.</w:t>
      </w:r>
    </w:p>
    <w:p>
      <w:pPr>
        <w:numPr>
          <w:ilvl w:val="0"/>
          <w:numId w:val="1021"/>
        </w:numPr>
        <w:pStyle w:val="Compact"/>
      </w:pPr>
      <w:r>
        <w:t xml:space="preserve">The data entered into the Survey Table.</w:t>
      </w:r>
    </w:p>
    <w:bookmarkEnd w:id="44"/>
    <w:bookmarkEnd w:id="45"/>
    <w:bookmarkStart w:id="46" w:name="acknowledgemen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Acknowledgements</w:t>
      </w:r>
    </w:p>
    <w:p>
      <w:pPr>
        <w:pStyle w:val="FirstParagraph"/>
      </w:pPr>
      <w:r>
        <w:t xml:space="preserve">We would like to thank…for testing MAVIS.</w:t>
      </w:r>
    </w:p>
    <w:p>
      <w:pPr>
        <w:pStyle w:val="BodyText"/>
      </w:pPr>
      <w:r>
        <w:t xml:space="preserve">We would also like to thank Laurence Jones for providing the Newborough Warren</w:t>
      </w:r>
      <w:r>
        <w:t xml:space="preserve"> </w:t>
      </w:r>
      <w:r>
        <w:t xml:space="preserve">example dataset and Lucy Ridding for providing the Parsonage Down example dataset.</w:t>
      </w:r>
    </w:p>
    <w:bookmarkEnd w:id="46"/>
    <w:bookmarkStart w:id="47" w:name="reccomended-citat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Reccomended Citation</w:t>
      </w:r>
    </w:p>
    <w:p>
      <w:pPr>
        <w:pStyle w:val="FirstParagraph"/>
      </w:pPr>
      <w:r>
        <w:t xml:space="preserve">Marshall, Z., Smart, S., and Harrower, C.. (2024). MAVIS.</w:t>
      </w:r>
    </w:p>
    <w:p>
      <w:pPr>
        <w:pStyle w:val="SourceCode"/>
      </w:pPr>
      <w:r>
        <w:rPr>
          <w:rStyle w:val="VerbatimChar"/>
        </w:rPr>
        <w:t xml:space="preserve">@misc{marshall2024,</w:t>
      </w:r>
      <w:r>
        <w:br/>
      </w:r>
      <w:r>
        <w:rPr>
          <w:rStyle w:val="VerbatimChar"/>
        </w:rPr>
        <w:t xml:space="preserve">  author = {Marshall, Z. and Smart, S. and Harrower, C.},</w:t>
      </w:r>
      <w:r>
        <w:br/>
      </w:r>
      <w:r>
        <w:rPr>
          <w:rStyle w:val="VerbatimChar"/>
        </w:rPr>
        <w:t xml:space="preserve">  title = {MAVIS},</w:t>
      </w:r>
      <w:r>
        <w:br/>
      </w:r>
      <w:r>
        <w:rPr>
          <w:rStyle w:val="VerbatimChar"/>
        </w:rPr>
        <w:t xml:space="preserve">  howpublished = {Available at https://connect-apps.ceh.ac.uk/MAVIS/, version 0.96},</w:t>
      </w:r>
      <w:r>
        <w:br/>
      </w:r>
      <w:r>
        <w:rPr>
          <w:rStyle w:val="VerbatimChar"/>
        </w:rPr>
        <w:t xml:space="preserve">  month = {02},</w:t>
      </w:r>
      <w:r>
        <w:br/>
      </w:r>
      <w:r>
        <w:rPr>
          <w:rStyle w:val="VerbatimChar"/>
        </w:rPr>
        <w:t xml:space="preserve">  year  = {2024},</w:t>
      </w:r>
      <w:r>
        <w:br/>
      </w:r>
      <w:r>
        <w:rPr>
          <w:rStyle w:val="VerbatimChar"/>
        </w:rPr>
        <w:t xml:space="preserve">  note = {A R Shiny application for the assignment of vegetation survey data to National Vegetation Classification (NVC) communities, with additional exploratory analyses.}</w:t>
      </w:r>
      <w:r>
        <w:br/>
      </w:r>
      <w:r>
        <w:rPr>
          <w:rStyle w:val="VerbatimChar"/>
        </w:rPr>
        <w:t xml:space="preserve">}</w:t>
      </w:r>
    </w:p>
    <w:bookmarkEnd w:id="47"/>
    <w:bookmarkStart w:id="48" w:name="release-log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Release Log</w:t>
      </w:r>
    </w:p>
    <w:p>
      <w:pPr>
        <w:pStyle w:val="FirstParagraph"/>
      </w:pPr>
      <w:r>
        <w:t xml:space="preserve">v0.96</w:t>
      </w:r>
    </w:p>
    <w:p>
      <w:pPr>
        <w:pStyle w:val="BodyText"/>
      </w:pPr>
      <w:r>
        <w:t xml:space="preserve">2024/02/XX</w:t>
      </w:r>
    </w:p>
    <w:p>
      <w:pPr>
        <w:numPr>
          <w:ilvl w:val="0"/>
          <w:numId w:val="1022"/>
        </w:numPr>
        <w:pStyle w:val="Compact"/>
      </w:pPr>
      <w:r>
        <w:t xml:space="preserve">Modifications:</w:t>
      </w:r>
    </w:p>
    <w:p>
      <w:pPr>
        <w:numPr>
          <w:ilvl w:val="1"/>
          <w:numId w:val="1023"/>
        </w:numPr>
        <w:pStyle w:val="Compact"/>
      </w:pPr>
      <w:r>
        <w:t xml:space="preserve">Removing site and group Jaccard similarity results.</w:t>
      </w:r>
    </w:p>
    <w:p>
      <w:pPr>
        <w:numPr>
          <w:ilvl w:val="1"/>
          <w:numId w:val="1023"/>
        </w:numPr>
        <w:pStyle w:val="Compact"/>
      </w:pPr>
      <w:r>
        <w:t xml:space="preserve">Moving survey data summary information to Survey Data tab.</w:t>
      </w:r>
    </w:p>
    <w:p>
      <w:pPr>
        <w:numPr>
          <w:ilvl w:val="0"/>
          <w:numId w:val="1022"/>
        </w:numPr>
        <w:pStyle w:val="Compact"/>
      </w:pPr>
      <w:r>
        <w:t xml:space="preserve">Fixes: NA</w:t>
      </w:r>
    </w:p>
    <w:p>
      <w:pPr>
        <w:numPr>
          <w:ilvl w:val="0"/>
          <w:numId w:val="1022"/>
        </w:numPr>
        <w:pStyle w:val="Compact"/>
      </w:pPr>
      <w:r>
        <w:t xml:space="preserve">New Features: NA</w:t>
      </w:r>
    </w:p>
    <w:p>
      <w:pPr>
        <w:pStyle w:val="FirstParagraph"/>
      </w:pPr>
      <w:r>
        <w:t xml:space="preserve">v0.95</w:t>
      </w:r>
    </w:p>
    <w:p>
      <w:pPr>
        <w:pStyle w:val="BodyText"/>
      </w:pPr>
      <w:r>
        <w:t xml:space="preserve">2024/01/24</w:t>
      </w:r>
    </w:p>
    <w:p>
      <w:pPr>
        <w:numPr>
          <w:ilvl w:val="0"/>
          <w:numId w:val="1024"/>
        </w:numPr>
        <w:pStyle w:val="Compact"/>
      </w:pPr>
      <w:r>
        <w:t xml:space="preserve">Modifications:</w:t>
      </w:r>
    </w:p>
    <w:p>
      <w:pPr>
        <w:numPr>
          <w:ilvl w:val="1"/>
          <w:numId w:val="1025"/>
        </w:numPr>
        <w:pStyle w:val="Compact"/>
      </w:pPr>
      <w:r>
        <w:t xml:space="preserve">Removing unnecessary upload data checks.</w:t>
      </w:r>
    </w:p>
    <w:p>
      <w:pPr>
        <w:numPr>
          <w:ilvl w:val="1"/>
          <w:numId w:val="1025"/>
        </w:numPr>
        <w:pStyle w:val="Compact"/>
      </w:pPr>
      <w:r>
        <w:t xml:space="preserve">Making survey data availability table searchable.</w:t>
      </w:r>
    </w:p>
    <w:p>
      <w:pPr>
        <w:numPr>
          <w:ilvl w:val="1"/>
          <w:numId w:val="1025"/>
        </w:numPr>
        <w:pStyle w:val="Compact"/>
      </w:pPr>
      <w:r>
        <w:t xml:space="preserve">Changing nomenclature for releve to plot.</w:t>
      </w:r>
    </w:p>
    <w:p>
      <w:pPr>
        <w:numPr>
          <w:ilvl w:val="0"/>
          <w:numId w:val="1024"/>
        </w:numPr>
        <w:pStyle w:val="Compact"/>
      </w:pPr>
      <w:r>
        <w:t xml:space="preserve">Fixes:</w:t>
      </w:r>
    </w:p>
    <w:p>
      <w:pPr>
        <w:numPr>
          <w:ilvl w:val="1"/>
          <w:numId w:val="1026"/>
        </w:numPr>
        <w:pStyle w:val="Compact"/>
      </w:pPr>
      <w:r>
        <w:t xml:space="preserve">Ensuring report renders correctly using new surveyTableSummary object data.</w:t>
      </w:r>
    </w:p>
    <w:p>
      <w:pPr>
        <w:numPr>
          <w:ilvl w:val="0"/>
          <w:numId w:val="1024"/>
        </w:numPr>
        <w:pStyle w:val="Compact"/>
      </w:pPr>
      <w:r>
        <w:t xml:space="preserve">New Features: NA</w:t>
      </w:r>
    </w:p>
    <w:p>
      <w:pPr>
        <w:pStyle w:val="FirstParagraph"/>
      </w:pPr>
      <w:r>
        <w:t xml:space="preserve">v0.94</w:t>
      </w:r>
    </w:p>
    <w:p>
      <w:pPr>
        <w:pStyle w:val="BodyText"/>
      </w:pPr>
      <w:r>
        <w:t xml:space="preserve">2024/01/18</w:t>
      </w:r>
    </w:p>
    <w:p>
      <w:pPr>
        <w:numPr>
          <w:ilvl w:val="0"/>
          <w:numId w:val="1027"/>
        </w:numPr>
        <w:pStyle w:val="Compact"/>
      </w:pPr>
      <w:r>
        <w:t xml:space="preserve">Modifications: NA</w:t>
      </w:r>
    </w:p>
    <w:p>
      <w:pPr>
        <w:numPr>
          <w:ilvl w:val="0"/>
          <w:numId w:val="1027"/>
        </w:numPr>
        <w:pStyle w:val="Compact"/>
      </w:pPr>
      <w:r>
        <w:t xml:space="preserve">Fixes:</w:t>
      </w:r>
    </w:p>
    <w:p>
      <w:pPr>
        <w:numPr>
          <w:ilvl w:val="1"/>
          <w:numId w:val="1028"/>
        </w:numPr>
        <w:pStyle w:val="Compact"/>
      </w:pPr>
      <w:r>
        <w:t xml:space="preserve">Ensuring the number of quadrats per group is passed to the floristic tables module through the new survey data summary module.</w:t>
      </w:r>
    </w:p>
    <w:p>
      <w:pPr>
        <w:numPr>
          <w:ilvl w:val="0"/>
          <w:numId w:val="1027"/>
        </w:numPr>
        <w:pStyle w:val="Compact"/>
      </w:pPr>
      <w:r>
        <w:t xml:space="preserve">New Features: NA</w:t>
      </w:r>
    </w:p>
    <w:p>
      <w:pPr>
        <w:pStyle w:val="FirstParagraph"/>
      </w:pPr>
      <w:r>
        <w:t xml:space="preserve">v0.93</w:t>
      </w:r>
    </w:p>
    <w:p>
      <w:pPr>
        <w:pStyle w:val="BodyText"/>
      </w:pPr>
      <w:r>
        <w:t xml:space="preserve">2024/01/18</w:t>
      </w:r>
    </w:p>
    <w:p>
      <w:pPr>
        <w:numPr>
          <w:ilvl w:val="0"/>
          <w:numId w:val="1029"/>
        </w:numPr>
        <w:pStyle w:val="Compact"/>
      </w:pPr>
      <w:r>
        <w:t xml:space="preserve">Modifications: NA</w:t>
      </w:r>
    </w:p>
    <w:p>
      <w:pPr>
        <w:numPr>
          <w:ilvl w:val="0"/>
          <w:numId w:val="1029"/>
        </w:numPr>
        <w:pStyle w:val="Compact"/>
      </w:pPr>
      <w:r>
        <w:t xml:space="preserve">Fixes: NA</w:t>
      </w:r>
    </w:p>
    <w:p>
      <w:pPr>
        <w:numPr>
          <w:ilvl w:val="0"/>
          <w:numId w:val="1029"/>
        </w:numPr>
        <w:pStyle w:val="Compact"/>
      </w:pPr>
      <w:r>
        <w:t xml:space="preserve">New Features:</w:t>
      </w:r>
    </w:p>
    <w:p>
      <w:pPr>
        <w:numPr>
          <w:ilvl w:val="1"/>
          <w:numId w:val="1030"/>
        </w:numPr>
        <w:pStyle w:val="Compact"/>
      </w:pPr>
      <w:r>
        <w:t xml:space="preserve">Adding survey data summary module.</w:t>
      </w:r>
    </w:p>
    <w:p>
      <w:pPr>
        <w:numPr>
          <w:ilvl w:val="1"/>
          <w:numId w:val="1030"/>
        </w:numPr>
        <w:pStyle w:val="Compact"/>
      </w:pPr>
      <w:r>
        <w:t xml:space="preserve">Adding quadrat re-grouping tool.</w:t>
      </w:r>
    </w:p>
    <w:p>
      <w:pPr>
        <w:pStyle w:val="FirstParagraph"/>
      </w:pPr>
      <w:r>
        <w:t xml:space="preserve">v0.92</w:t>
      </w:r>
    </w:p>
    <w:p>
      <w:pPr>
        <w:pStyle w:val="BodyText"/>
      </w:pPr>
      <w:r>
        <w:t xml:space="preserve">2024/01/18</w:t>
      </w:r>
    </w:p>
    <w:p>
      <w:pPr>
        <w:numPr>
          <w:ilvl w:val="0"/>
          <w:numId w:val="1031"/>
        </w:numPr>
        <w:pStyle w:val="Compact"/>
      </w:pPr>
      <w:r>
        <w:t xml:space="preserve">Modifications: NA</w:t>
      </w:r>
    </w:p>
    <w:p>
      <w:pPr>
        <w:numPr>
          <w:ilvl w:val="0"/>
          <w:numId w:val="1031"/>
        </w:numPr>
        <w:pStyle w:val="Compact"/>
      </w:pPr>
      <w:r>
        <w:t xml:space="preserve">Fixes: NA</w:t>
      </w:r>
    </w:p>
    <w:p>
      <w:pPr>
        <w:numPr>
          <w:ilvl w:val="0"/>
          <w:numId w:val="1031"/>
        </w:numPr>
        <w:pStyle w:val="Compact"/>
      </w:pPr>
      <w:r>
        <w:t xml:space="preserve">New Features:</w:t>
      </w:r>
    </w:p>
    <w:p>
      <w:pPr>
        <w:numPr>
          <w:ilvl w:val="1"/>
          <w:numId w:val="1032"/>
        </w:numPr>
        <w:pStyle w:val="Compact"/>
      </w:pPr>
      <w:r>
        <w:t xml:space="preserve">Adding Czekanowski index method for Site and Group NVC assignment calculations.</w:t>
      </w:r>
    </w:p>
    <w:p>
      <w:pPr>
        <w:pStyle w:val="FirstParagraph"/>
      </w:pPr>
      <w:r>
        <w:t xml:space="preserve">v0.91</w:t>
      </w:r>
    </w:p>
    <w:p>
      <w:pPr>
        <w:pStyle w:val="BodyText"/>
      </w:pPr>
      <w:r>
        <w:t xml:space="preserve">2024/01/11</w:t>
      </w:r>
    </w:p>
    <w:p>
      <w:pPr>
        <w:numPr>
          <w:ilvl w:val="0"/>
          <w:numId w:val="1033"/>
        </w:numPr>
        <w:pStyle w:val="Compact"/>
      </w:pPr>
      <w:r>
        <w:t xml:space="preserve">Modifications: NA</w:t>
      </w:r>
    </w:p>
    <w:p>
      <w:pPr>
        <w:numPr>
          <w:ilvl w:val="0"/>
          <w:numId w:val="1033"/>
        </w:numPr>
        <w:pStyle w:val="Compact"/>
      </w:pPr>
      <w:r>
        <w:t xml:space="preserve">Fixes: NA</w:t>
      </w:r>
    </w:p>
    <w:p>
      <w:pPr>
        <w:numPr>
          <w:ilvl w:val="0"/>
          <w:numId w:val="1033"/>
        </w:numPr>
        <w:pStyle w:val="Compact"/>
      </w:pPr>
      <w:r>
        <w:t xml:space="preserve">New Features:</w:t>
      </w:r>
    </w:p>
    <w:p>
      <w:pPr>
        <w:numPr>
          <w:ilvl w:val="1"/>
          <w:numId w:val="1034"/>
        </w:numPr>
        <w:pStyle w:val="Compact"/>
      </w:pPr>
      <w:r>
        <w:t xml:space="preserve">Adding privacy policy section</w:t>
      </w:r>
    </w:p>
    <w:p>
      <w:pPr>
        <w:pStyle w:val="FirstParagraph"/>
      </w:pPr>
      <w:r>
        <w:t xml:space="preserve">v0.9</w:t>
      </w:r>
    </w:p>
    <w:p>
      <w:pPr>
        <w:pStyle w:val="BodyText"/>
      </w:pPr>
      <w:r>
        <w:t xml:space="preserve">2024/01/09</w:t>
      </w:r>
    </w:p>
    <w:p>
      <w:pPr>
        <w:numPr>
          <w:ilvl w:val="0"/>
          <w:numId w:val="1035"/>
        </w:numPr>
        <w:pStyle w:val="Compact"/>
      </w:pPr>
      <w:r>
        <w:t xml:space="preserve">First release for user testing.</w:t>
      </w:r>
    </w:p>
    <w:p>
      <w:pPr>
        <w:numPr>
          <w:ilvl w:val="0"/>
          <w:numId w:val="1035"/>
        </w:numPr>
        <w:pStyle w:val="Compact"/>
      </w:pPr>
      <w:r>
        <w:t xml:space="preserve">Modifications: NA</w:t>
      </w:r>
    </w:p>
    <w:p>
      <w:pPr>
        <w:numPr>
          <w:ilvl w:val="0"/>
          <w:numId w:val="1035"/>
        </w:numPr>
        <w:pStyle w:val="Compact"/>
      </w:pPr>
      <w:r>
        <w:t xml:space="preserve">Fixes: NA</w:t>
      </w:r>
    </w:p>
    <w:p>
      <w:pPr>
        <w:numPr>
          <w:ilvl w:val="0"/>
          <w:numId w:val="1035"/>
        </w:numPr>
        <w:pStyle w:val="Compact"/>
      </w:pPr>
      <w:r>
        <w:t xml:space="preserve">New Features: NA</w:t>
      </w:r>
    </w:p>
    <w:bookmarkEnd w:id="48"/>
    <w:bookmarkStart w:id="107" w:name="references"/>
    <w:p>
      <w:pPr>
        <w:pStyle w:val="Heading1"/>
      </w:pPr>
      <w:r>
        <w:t xml:space="preserve">References</w:t>
      </w:r>
    </w:p>
    <w:bookmarkStart w:id="106" w:name="refs"/>
    <w:bookmarkStart w:id="50" w:name="ref-bloom1981"/>
    <w:p>
      <w:pPr>
        <w:pStyle w:val="Bibliography"/>
      </w:pPr>
      <w:r>
        <w:t xml:space="preserve">Bloom, SA. 1981.</w:t>
      </w:r>
      <w:r>
        <w:t xml:space="preserve"> </w:t>
      </w:r>
      <w:r>
        <w:t xml:space="preserve">“Similarity Indices in Community Studies: Potential Pitfalls.”</w:t>
      </w:r>
      <w:r>
        <w:t xml:space="preserve"> </w:t>
      </w:r>
      <w:r>
        <w:rPr>
          <w:iCs/>
          <w:i/>
        </w:rPr>
        <w:t xml:space="preserve">Marine Ecology Progress Series</w:t>
      </w:r>
      <w:r>
        <w:t xml:space="preserve"> </w:t>
      </w:r>
      <w:r>
        <w:t xml:space="preserve">5: 125–28.</w:t>
      </w:r>
      <w:r>
        <w:t xml:space="preserve"> </w:t>
      </w:r>
      <w:hyperlink r:id="rId49">
        <w:r>
          <w:rPr>
            <w:rStyle w:val="Hyperlink"/>
          </w:rPr>
          <w:t xml:space="preserve">https://doi.org/10.3354/meps005125</w:t>
        </w:r>
      </w:hyperlink>
      <w:r>
        <w:t xml:space="preserve">.</w:t>
      </w:r>
    </w:p>
    <w:bookmarkEnd w:id="50"/>
    <w:bookmarkStart w:id="52" w:name="ref-terBraak1986"/>
    <w:p>
      <w:pPr>
        <w:pStyle w:val="Bibliography"/>
      </w:pPr>
      <w:r>
        <w:t xml:space="preserve">Braak, Cajo J. F. ter. 1986.</w:t>
      </w:r>
      <w:r>
        <w:t xml:space="preserve"> </w:t>
      </w:r>
      <w:r>
        <w:t xml:space="preserve">“Canonical Correspondence Analysis: A New Eigenvector Technique for Multivariate Direct Gradient Analysis.”</w:t>
      </w:r>
      <w:r>
        <w:t xml:space="preserve"> </w:t>
      </w:r>
      <w:r>
        <w:rPr>
          <w:iCs/>
          <w:i/>
        </w:rPr>
        <w:t xml:space="preserve">Ecology</w:t>
      </w:r>
      <w:r>
        <w:t xml:space="preserve"> </w:t>
      </w:r>
      <w:r>
        <w:t xml:space="preserve">67 (5): 1167–79.</w:t>
      </w:r>
      <w:r>
        <w:t xml:space="preserve"> </w:t>
      </w:r>
      <w:hyperlink r:id="rId51">
        <w:r>
          <w:rPr>
            <w:rStyle w:val="Hyperlink"/>
          </w:rPr>
          <w:t xml:space="preserve">https://doi.org/10.2307/1938672</w:t>
        </w:r>
      </w:hyperlink>
      <w:r>
        <w:t xml:space="preserve">.</w:t>
      </w:r>
    </w:p>
    <w:bookmarkEnd w:id="52"/>
    <w:bookmarkStart w:id="54" w:name="ref-bsbi2017ellenbergR"/>
    <w:p>
      <w:pPr>
        <w:pStyle w:val="Bibliography"/>
      </w:pPr>
      <w:r>
        <w:t xml:space="preserve">BSBI. 2017a.</w:t>
      </w:r>
      <w:r>
        <w:t xml:space="preserve"> </w:t>
      </w:r>
      <w:r>
        <w:t xml:space="preserve">“Ellenberg Indicator r (Reaction).”</w:t>
      </w:r>
      <w:r>
        <w:t xml:space="preserve"> </w:t>
      </w:r>
      <w:hyperlink r:id="rId53">
        <w:r>
          <w:rPr>
            <w:rStyle w:val="Hyperlink"/>
          </w:rPr>
          <w:t xml:space="preserve">https://database.bsbi.org/object.php?entityid=2cd4p9h.2cg1m1&amp;class=ChecklistInstance</w:t>
        </w:r>
      </w:hyperlink>
      <w:r>
        <w:t xml:space="preserve">.</w:t>
      </w:r>
    </w:p>
    <w:bookmarkEnd w:id="54"/>
    <w:bookmarkStart w:id="56" w:name="ref-bsbi2017ellenbergS"/>
    <w:p>
      <w:pPr>
        <w:pStyle w:val="Bibliography"/>
      </w:pPr>
      <w:r>
        <w:t xml:space="preserve">———. 2017b.</w:t>
      </w:r>
      <w:r>
        <w:t xml:space="preserve"> </w:t>
      </w:r>
      <w:r>
        <w:t xml:space="preserve">“Ellenberg Indicator s (Salt Tolerance).”</w:t>
      </w:r>
      <w:r>
        <w:t xml:space="preserve"> </w:t>
      </w:r>
      <w:hyperlink r:id="rId55">
        <w:r>
          <w:rPr>
            <w:rStyle w:val="Hyperlink"/>
          </w:rPr>
          <w:t xml:space="preserve">https://database.bsbi.org/object.php?entityid=2cd4p9h.2cg1s5&amp;class=ChecklistInstance</w:t>
        </w:r>
      </w:hyperlink>
      <w:r>
        <w:t xml:space="preserve">.</w:t>
      </w:r>
    </w:p>
    <w:bookmarkEnd w:id="56"/>
    <w:bookmarkStart w:id="58" w:name="ref-bsbi2017ellenbergN"/>
    <w:p>
      <w:pPr>
        <w:pStyle w:val="Bibliography"/>
      </w:pPr>
      <w:r>
        <w:t xml:space="preserve">———. 2017c.</w:t>
      </w:r>
      <w:r>
        <w:t xml:space="preserve"> </w:t>
      </w:r>
      <w:r>
        <w:t xml:space="preserve">“Ellenberg Indicator n (Nitrogen).”</w:t>
      </w:r>
      <w:r>
        <w:t xml:space="preserve"> </w:t>
      </w:r>
      <w:hyperlink r:id="rId57">
        <w:r>
          <w:rPr>
            <w:rStyle w:val="Hyperlink"/>
          </w:rPr>
          <w:t xml:space="preserve">https://database.bsbi.org/object.php?entityid=2cd4p9h.2cg1yq&amp;class=ChecklistInstance</w:t>
        </w:r>
      </w:hyperlink>
      <w:r>
        <w:t xml:space="preserve">.</w:t>
      </w:r>
    </w:p>
    <w:bookmarkEnd w:id="58"/>
    <w:bookmarkStart w:id="60" w:name="ref-bsbi2017ellenbergF"/>
    <w:p>
      <w:pPr>
        <w:pStyle w:val="Bibliography"/>
      </w:pPr>
      <w:r>
        <w:t xml:space="preserve">———. 2017d.</w:t>
      </w:r>
      <w:r>
        <w:t xml:space="preserve"> </w:t>
      </w:r>
      <w:r>
        <w:t xml:space="preserve">“Ellenberg Indicator f (Moisture).”</w:t>
      </w:r>
      <w:r>
        <w:t xml:space="preserve"> </w:t>
      </w:r>
      <w:hyperlink r:id="rId59">
        <w:r>
          <w:rPr>
            <w:rStyle w:val="Hyperlink"/>
          </w:rPr>
          <w:t xml:space="preserve">https://database.bsbi.org/object.php?entityid=2cd4p9h.2cg1kd&amp;class=ChecklistInstance</w:t>
        </w:r>
      </w:hyperlink>
      <w:r>
        <w:t xml:space="preserve">.</w:t>
      </w:r>
    </w:p>
    <w:bookmarkEnd w:id="60"/>
    <w:bookmarkStart w:id="62" w:name="ref-bsbi2017ellenbergL"/>
    <w:p>
      <w:pPr>
        <w:pStyle w:val="Bibliography"/>
      </w:pPr>
      <w:r>
        <w:t xml:space="preserve">———. 2017e.</w:t>
      </w:r>
      <w:r>
        <w:t xml:space="preserve"> </w:t>
      </w:r>
      <w:r>
        <w:t xml:space="preserve">“Ellenberg Indicator l (Light).”</w:t>
      </w:r>
      <w:r>
        <w:t xml:space="preserve"> </w:t>
      </w:r>
      <w:hyperlink r:id="rId61">
        <w:r>
          <w:rPr>
            <w:rStyle w:val="Hyperlink"/>
          </w:rPr>
          <w:t xml:space="preserve">https://database.bsbi.org/object.php?entityid=2cd4p9h.2cg1v7&amp;class=ChecklistInstance</w:t>
        </w:r>
      </w:hyperlink>
      <w:r>
        <w:t xml:space="preserve">.</w:t>
      </w:r>
    </w:p>
    <w:bookmarkEnd w:id="62"/>
    <w:bookmarkStart w:id="64" w:name="ref-bsbi2022TaxonLists"/>
    <w:p>
      <w:pPr>
        <w:pStyle w:val="Bibliography"/>
      </w:pPr>
      <w:r>
        <w:t xml:space="preserve">———. 2022.</w:t>
      </w:r>
      <w:r>
        <w:t xml:space="preserve"> </w:t>
      </w:r>
      <w:r>
        <w:t xml:space="preserve">“Taxon Lists Botanical Society of Britain &amp; Ireland.”</w:t>
      </w:r>
      <w:r>
        <w:t xml:space="preserve"> </w:t>
      </w:r>
      <w:hyperlink r:id="rId63">
        <w:r>
          <w:rPr>
            <w:rStyle w:val="Hyperlink"/>
          </w:rPr>
          <w:t xml:space="preserve">https://bsbi.org/taxon-lists</w:t>
        </w:r>
      </w:hyperlink>
      <w:r>
        <w:t xml:space="preserve">.</w:t>
      </w:r>
    </w:p>
    <w:bookmarkEnd w:id="64"/>
    <w:bookmarkStart w:id="65" w:name="ref-butcher2020"/>
    <w:p>
      <w:pPr>
        <w:pStyle w:val="Bibliography"/>
      </w:pPr>
      <w:r>
        <w:t xml:space="preserve">Butcher, B, P Carey, R Edmonds, L Norton, and J Treweek. 2020.</w:t>
      </w:r>
      <w:r>
        <w:t xml:space="preserve"> </w:t>
      </w:r>
      <w:r>
        <w:t xml:space="preserve">“UK Habitats Classification User Manual Version 1.1.”</w:t>
      </w:r>
      <w:r>
        <w:t xml:space="preserve"> </w:t>
      </w:r>
      <w:r>
        <w:t xml:space="preserve">Stockport: UKHab Ltd.</w:t>
      </w:r>
    </w:p>
    <w:bookmarkEnd w:id="65"/>
    <w:bookmarkStart w:id="67" w:name="ref-cieem2022"/>
    <w:p>
      <w:pPr>
        <w:pStyle w:val="Bibliography"/>
      </w:pPr>
      <w:r>
        <w:t xml:space="preserve">CIEEM. 2022.</w:t>
      </w:r>
      <w:r>
        <w:t xml:space="preserve"> </w:t>
      </w:r>
      <w:r>
        <w:t xml:space="preserve">“Guidelines for Ecological Impact Assessment in the UK and Ireland. Terrestrial, Freshwater, Coastal and Marine. September 2018. Version 1.2 - Updates April 2022.”</w:t>
      </w:r>
      <w:r>
        <w:t xml:space="preserve"> </w:t>
      </w:r>
      <w:r>
        <w:t xml:space="preserve">PDF.</w:t>
      </w:r>
      <w:r>
        <w:t xml:space="preserve"> </w:t>
      </w:r>
      <w:hyperlink r:id="rId66">
        <w:r>
          <w:rPr>
            <w:rStyle w:val="Hyperlink"/>
          </w:rPr>
          <w:t xml:space="preserve">https://cieem.net/wp-content/uploads/2018/08/ECIA-Guidelines-2018-Terrestrial-Freshwater-Coastal-and-Marine-V1.2-April-22-Compressed.pdf</w:t>
        </w:r>
      </w:hyperlink>
      <w:r>
        <w:t xml:space="preserve">.</w:t>
      </w:r>
    </w:p>
    <w:bookmarkEnd w:id="67"/>
    <w:bookmarkStart w:id="69" w:name="ref-gann2019"/>
    <w:p>
      <w:pPr>
        <w:pStyle w:val="Bibliography"/>
      </w:pPr>
      <w:r>
        <w:t xml:space="preserve">Gann, George D., Tein McDonald, Bethanie Walder, James Aronson, Cara R. Nelson, Justin Jonson, James G. Hallett, et al. 2019.</w:t>
      </w:r>
      <w:r>
        <w:t xml:space="preserve"> </w:t>
      </w:r>
      <w:r>
        <w:t xml:space="preserve">“International Principles and Standards for the Practice of Ecological Restoration. Second Edition.”</w:t>
      </w:r>
      <w:r>
        <w:t xml:space="preserve"> </w:t>
      </w:r>
      <w:r>
        <w:rPr>
          <w:iCs/>
          <w:i/>
        </w:rPr>
        <w:t xml:space="preserve">Restoration Ecology</w:t>
      </w:r>
      <w:r>
        <w:t xml:space="preserve"> </w:t>
      </w:r>
      <w:r>
        <w:t xml:space="preserve">27 (S1).</w:t>
      </w:r>
      <w:r>
        <w:t xml:space="preserve"> </w:t>
      </w:r>
      <w:hyperlink r:id="rId68">
        <w:r>
          <w:rPr>
            <w:rStyle w:val="Hyperlink"/>
          </w:rPr>
          <w:t xml:space="preserve">https://doi.org/10.1111/rec.13035</w:t>
        </w:r>
      </w:hyperlink>
      <w:r>
        <w:t xml:space="preserve">.</w:t>
      </w:r>
    </w:p>
    <w:bookmarkEnd w:id="69"/>
    <w:bookmarkStart w:id="71" w:name="ref-hill1989"/>
    <w:p>
      <w:pPr>
        <w:pStyle w:val="Bibliography"/>
      </w:pPr>
      <w:r>
        <w:t xml:space="preserve">Hill, M. O. 1989.</w:t>
      </w:r>
      <w:r>
        <w:t xml:space="preserve"> </w:t>
      </w:r>
      <w:r>
        <w:t xml:space="preserve">“Computerized Matching of Releves and Association Tables, with an Application to the British National Vegetation Classification.”</w:t>
      </w:r>
      <w:r>
        <w:t xml:space="preserve"> </w:t>
      </w:r>
      <w:r>
        <w:rPr>
          <w:iCs/>
          <w:i/>
        </w:rPr>
        <w:t xml:space="preserve">Vegetatio</w:t>
      </w:r>
      <w:r>
        <w:t xml:space="preserve"> </w:t>
      </w:r>
      <w:r>
        <w:t xml:space="preserve">83 (1-2): 187–94.</w:t>
      </w:r>
      <w:r>
        <w:t xml:space="preserve"> </w:t>
      </w:r>
      <w:hyperlink r:id="rId70">
        <w:r>
          <w:rPr>
            <w:rStyle w:val="Hyperlink"/>
          </w:rPr>
          <w:t xml:space="preserve">https://doi.org/10.1007/bf00031691</w:t>
        </w:r>
      </w:hyperlink>
      <w:r>
        <w:t xml:space="preserve">.</w:t>
      </w:r>
    </w:p>
    <w:bookmarkEnd w:id="71"/>
    <w:bookmarkStart w:id="73" w:name="ref-hill1980dca"/>
    <w:p>
      <w:pPr>
        <w:pStyle w:val="Bibliography"/>
      </w:pPr>
      <w:r>
        <w:t xml:space="preserve">Hill, M. O., and H. G. Gauch. 1980.</w:t>
      </w:r>
      <w:r>
        <w:t xml:space="preserve"> </w:t>
      </w:r>
      <w:r>
        <w:t xml:space="preserve">“Detrended Correspondence Analysis: An Improved Ordination Technique.”</w:t>
      </w:r>
      <w:r>
        <w:t xml:space="preserve"> </w:t>
      </w:r>
      <w:r>
        <w:rPr>
          <w:iCs/>
          <w:i/>
        </w:rPr>
        <w:t xml:space="preserve">Vegetatio</w:t>
      </w:r>
      <w:r>
        <w:t xml:space="preserve"> </w:t>
      </w:r>
      <w:r>
        <w:t xml:space="preserve">42 (1-3): 47–58.</w:t>
      </w:r>
      <w:r>
        <w:t xml:space="preserve"> </w:t>
      </w:r>
      <w:hyperlink r:id="rId72">
        <w:r>
          <w:rPr>
            <w:rStyle w:val="Hyperlink"/>
          </w:rPr>
          <w:t xml:space="preserve">https://doi.org/10.1007/bf00048870</w:t>
        </w:r>
      </w:hyperlink>
      <w:r>
        <w:t xml:space="preserve">.</w:t>
      </w:r>
    </w:p>
    <w:bookmarkEnd w:id="73"/>
    <w:bookmarkStart w:id="75" w:name="ref-hill2007"/>
    <w:p>
      <w:pPr>
        <w:pStyle w:val="Bibliography"/>
      </w:pPr>
      <w:r>
        <w:t xml:space="preserve">Hill, M. O., Christopher D. Preston, Sam D. S. Bosanquet, and Roy D. B. 2007.</w:t>
      </w:r>
      <w:r>
        <w:t xml:space="preserve"> </w:t>
      </w:r>
      <w:r>
        <w:t xml:space="preserve">“BRYOATT - Attributes of British and Irish Mosses, Liverworts and Hornworts - Spreadsheet.”</w:t>
      </w:r>
      <w:r>
        <w:t xml:space="preserve"> </w:t>
      </w:r>
      <w:r>
        <w:t xml:space="preserve">Huntingdon: Centre for Ecology; Hydrology.</w:t>
      </w:r>
      <w:r>
        <w:t xml:space="preserve"> </w:t>
      </w:r>
      <w:hyperlink r:id="rId74">
        <w:r>
          <w:rPr>
            <w:rStyle w:val="Hyperlink"/>
          </w:rPr>
          <w:t xml:space="preserve">https://www.brc.ac.uk/biblio/bryoatt-attributes-british-and-irish-mosses-liverworts-and-hornworts-spreadsheet</w:t>
        </w:r>
      </w:hyperlink>
      <w:r>
        <w:t xml:space="preserve">.</w:t>
      </w:r>
    </w:p>
    <w:bookmarkEnd w:id="75"/>
    <w:bookmarkStart w:id="77" w:name="ref-jncc2008"/>
    <w:p>
      <w:pPr>
        <w:pStyle w:val="Bibliography"/>
      </w:pPr>
      <w:r>
        <w:t xml:space="preserve">JNCC. 2008.</w:t>
      </w:r>
      <w:r>
        <w:t xml:space="preserve"> </w:t>
      </w:r>
      <w:r>
        <w:rPr>
          <w:iCs/>
          <w:i/>
        </w:rPr>
        <w:t xml:space="preserve">Spreadsheet of Habitat Correspondences</w:t>
      </w:r>
      <w:r>
        <w:t xml:space="preserve">.</w:t>
      </w:r>
      <w:r>
        <w:t xml:space="preserve"> </w:t>
      </w:r>
      <w:hyperlink r:id="rId76">
        <w:r>
          <w:rPr>
            <w:rStyle w:val="Hyperlink"/>
          </w:rPr>
          <w:t xml:space="preserve">https://hub.jncc.gov.uk/assets/9e70531b-5467-4136-88f6-3b3dd905b56d</w:t>
        </w:r>
      </w:hyperlink>
      <w:r>
        <w:t xml:space="preserve">.</w:t>
      </w:r>
    </w:p>
    <w:bookmarkEnd w:id="77"/>
    <w:bookmarkStart w:id="79" w:name="ref-maciejewski2020"/>
    <w:p>
      <w:pPr>
        <w:pStyle w:val="Bibliography"/>
      </w:pPr>
      <w:r>
        <w:t xml:space="preserve">Maciejewski, Lise, Paulina E. Pinto, Stéphanie Wurpillot, Jacques Drapier, Serge Cadet, Serge Muller, Pierre Agou, Benoît Renaux, and Jean‐Claude Gégout. 2020.</w:t>
      </w:r>
      <w:r>
        <w:t xml:space="preserve"> </w:t>
      </w:r>
      <w:r>
        <w:t xml:space="preserve">“Vegetation Unit Assignments: Phytosociology Experts and Classification Programs Show Similar Performance but Low Convergence.”</w:t>
      </w:r>
      <w:r>
        <w:t xml:space="preserve"> </w:t>
      </w:r>
      <w:r>
        <w:t xml:space="preserve">Edited by Borja Jiménez-Alfaro.</w:t>
      </w:r>
      <w:r>
        <w:t xml:space="preserve"> </w:t>
      </w:r>
      <w:r>
        <w:rPr>
          <w:iCs/>
          <w:i/>
        </w:rPr>
        <w:t xml:space="preserve">Applied Vegetation Science</w:t>
      </w:r>
      <w:r>
        <w:t xml:space="preserve"> </w:t>
      </w:r>
      <w:r>
        <w:t xml:space="preserve">23 (4): 698–709.</w:t>
      </w:r>
      <w:r>
        <w:t xml:space="preserve"> </w:t>
      </w:r>
      <w:hyperlink r:id="rId78">
        <w:r>
          <w:rPr>
            <w:rStyle w:val="Hyperlink"/>
          </w:rPr>
          <w:t xml:space="preserve">https://doi.org/10.1111/avsc.12516</w:t>
        </w:r>
      </w:hyperlink>
      <w:r>
        <w:t xml:space="preserve">.</w:t>
      </w:r>
    </w:p>
    <w:bookmarkEnd w:id="79"/>
    <w:bookmarkStart w:id="81" w:name="ref-marrs2019"/>
    <w:p>
      <w:pPr>
        <w:pStyle w:val="Bibliography"/>
      </w:pPr>
      <w:r>
        <w:t xml:space="preserve">Marrs, RH. 2019.</w:t>
      </w:r>
      <w:r>
        <w:t xml:space="preserve"> </w:t>
      </w:r>
      <w:r>
        <w:t xml:space="preserve">“TABLEFIT v. 3.0 &amp; v. 4, Programs for the Identification of Vegetation Types According to the British National Vegetation Classification Includes Software.”</w:t>
      </w:r>
      <w:r>
        <w:t xml:space="preserve"> </w:t>
      </w:r>
      <w:hyperlink r:id="rId80">
        <w:r>
          <w:rPr>
            <w:rStyle w:val="Hyperlink"/>
          </w:rPr>
          <w:t xml:space="preserve">https://livrepository.liverpool.ac.uk/3052158/</w:t>
        </w:r>
      </w:hyperlink>
      <w:r>
        <w:t xml:space="preserve">.</w:t>
      </w:r>
    </w:p>
    <w:bookmarkEnd w:id="81"/>
    <w:bookmarkStart w:id="83" w:name="ref-pescott2019"/>
    <w:p>
      <w:pPr>
        <w:pStyle w:val="Bibliography"/>
      </w:pPr>
      <w:r>
        <w:t xml:space="preserve">Pescott, Oliver, Kevin Walker, Felicity Harris, Hayley New, Christine Cheffings, Niki Newton, Mark Jitlal, John Redhead, Simon Smart, and D. B. Roy. 2019.</w:t>
      </w:r>
      <w:r>
        <w:t xml:space="preserve"> </w:t>
      </w:r>
      <w:r>
        <w:t xml:space="preserve">“S1 File.”</w:t>
      </w:r>
      <w:r>
        <w:t xml:space="preserve"> </w:t>
      </w:r>
      <w:hyperlink r:id="rId82">
        <w:r>
          <w:rPr>
            <w:rStyle w:val="Hyperlink"/>
          </w:rPr>
          <w:t xml:space="preserve">https://www.researchgate.net/publication/333011121_S1_File</w:t>
        </w:r>
      </w:hyperlink>
      <w:r>
        <w:t xml:space="preserve">.</w:t>
      </w:r>
    </w:p>
    <w:bookmarkEnd w:id="83"/>
    <w:bookmarkStart w:id="85" w:name="ref-prosser2023"/>
    <w:p>
      <w:pPr>
        <w:pStyle w:val="Bibliography"/>
      </w:pPr>
      <w:r>
        <w:t xml:space="preserve">Prosser, Michael, Hilary Wallace, and David Gowing. 2023.</w:t>
      </w:r>
      <w:r>
        <w:t xml:space="preserve"> </w:t>
      </w:r>
      <w:r>
        <w:t xml:space="preserve">“Phytosociology Informs the Conservation of Species-Rich Meadows in Hydrologically Dynamic Habitats: An Example from British Floodplains in a Wider European Context.”</w:t>
      </w:r>
      <w:r>
        <w:t xml:space="preserve"> </w:t>
      </w:r>
      <w:r>
        <w:rPr>
          <w:iCs/>
          <w:i/>
        </w:rPr>
        <w:t xml:space="preserve">British &amp; Irish Botany</w:t>
      </w:r>
      <w:r>
        <w:t xml:space="preserve"> </w:t>
      </w:r>
      <w:r>
        <w:t xml:space="preserve">5 (1).</w:t>
      </w:r>
      <w:r>
        <w:t xml:space="preserve"> </w:t>
      </w:r>
      <w:hyperlink r:id="rId84">
        <w:r>
          <w:rPr>
            <w:rStyle w:val="Hyperlink"/>
          </w:rPr>
          <w:t xml:space="preserve">https://doi.org/10.33928/bib.2023.05.001</w:t>
        </w:r>
      </w:hyperlink>
      <w:r>
        <w:t xml:space="preserve">.</w:t>
      </w:r>
    </w:p>
    <w:bookmarkEnd w:id="85"/>
    <w:bookmarkStart w:id="87" w:name="ref-ridding2020"/>
    <w:p>
      <w:pPr>
        <w:pStyle w:val="Bibliography"/>
      </w:pPr>
      <w:r>
        <w:t xml:space="preserve">Ridding, Lucy E., James M. Bullock, Oliver L. Pescott, Peter Hawes, Robin Walls, M. Glória Pereira, Sarah A. Thacker, Patrick O. Keenan, Ulrike Dragosits, and Richard F. Pywell. 2020.</w:t>
      </w:r>
      <w:r>
        <w:t xml:space="preserve"> </w:t>
      </w:r>
      <w:r>
        <w:t xml:space="preserve">“Long-Term Change in Calcareous Grassland Vegetation and Drivers over Three Time Periods Between 1970 and 2016.”</w:t>
      </w:r>
      <w:r>
        <w:t xml:space="preserve"> </w:t>
      </w:r>
      <w:r>
        <w:rPr>
          <w:iCs/>
          <w:i/>
        </w:rPr>
        <w:t xml:space="preserve">Plant Ecology</w:t>
      </w:r>
      <w:r>
        <w:t xml:space="preserve"> </w:t>
      </w:r>
      <w:r>
        <w:t xml:space="preserve">221 (5): 377–94.</w:t>
      </w:r>
      <w:r>
        <w:t xml:space="preserve"> </w:t>
      </w:r>
      <w:hyperlink r:id="rId86">
        <w:r>
          <w:rPr>
            <w:rStyle w:val="Hyperlink"/>
          </w:rPr>
          <w:t xml:space="preserve">https://doi.org/10.1007/s11258-020-01016-1</w:t>
        </w:r>
      </w:hyperlink>
      <w:r>
        <w:t xml:space="preserve">.</w:t>
      </w:r>
    </w:p>
    <w:bookmarkEnd w:id="87"/>
    <w:bookmarkStart w:id="89" w:name="ref-rodwell2006national"/>
    <w:p>
      <w:pPr>
        <w:pStyle w:val="Bibliography"/>
      </w:pPr>
      <w:r>
        <w:t xml:space="preserve">Rodwell, J. S. 2006.</w:t>
      </w:r>
      <w:r>
        <w:t xml:space="preserve"> </w:t>
      </w:r>
      <w:r>
        <w:rPr>
          <w:iCs/>
          <w:i/>
        </w:rPr>
        <w:t xml:space="preserve">National Vegetation Classification: Users’ Handbook</w:t>
      </w:r>
      <w:r>
        <w:t xml:space="preserve">. Joint Nature Conservation Committee (JNCC) Peterborough.</w:t>
      </w:r>
      <w:r>
        <w:t xml:space="preserve"> </w:t>
      </w:r>
      <w:hyperlink r:id="rId88">
        <w:r>
          <w:rPr>
            <w:rStyle w:val="Hyperlink"/>
          </w:rPr>
          <w:t xml:space="preserve">https://data.jncc.gov.uk/data/a407ebfc-2859-49cf-9710-1bde9c8e28c7/JNCC-NVC-UsersHandbook-2006.pdf</w:t>
        </w:r>
      </w:hyperlink>
      <w:r>
        <w:t xml:space="preserve">.</w:t>
      </w:r>
    </w:p>
    <w:bookmarkEnd w:id="89"/>
    <w:bookmarkStart w:id="90" w:name="ref-rodwell2000"/>
    <w:p>
      <w:pPr>
        <w:pStyle w:val="Bibliography"/>
      </w:pPr>
      <w:r>
        <w:t xml:space="preserve">Rodwell, J. S., Nature Conservancy Council (Great Britain)), and Joint Nature Conservation Committee (Great Britain). 2000.</w:t>
      </w:r>
      <w:r>
        <w:t xml:space="preserve"> </w:t>
      </w:r>
      <w:r>
        <w:rPr>
          <w:iCs/>
          <w:i/>
        </w:rPr>
        <w:t xml:space="preserve">British Plant Communities Set of Volumes 1 to 5</w:t>
      </w:r>
      <w:r>
        <w:t xml:space="preserve">. Cambridge University Press.</w:t>
      </w:r>
    </w:p>
    <w:bookmarkEnd w:id="90"/>
    <w:bookmarkStart w:id="92" w:name="ref-smart2000"/>
    <w:p>
      <w:pPr>
        <w:pStyle w:val="Bibliography"/>
      </w:pPr>
      <w:r>
        <w:t xml:space="preserve">Smart, S. M. 2000.</w:t>
      </w:r>
      <w:r>
        <w:t xml:space="preserve"> </w:t>
      </w:r>
      <w:r>
        <w:rPr>
          <w:iCs/>
          <w:i/>
        </w:rPr>
        <w:t xml:space="preserve">Biodiversity and Conservation</w:t>
      </w:r>
      <w:r>
        <w:t xml:space="preserve"> </w:t>
      </w:r>
      <w:r>
        <w:t xml:space="preserve">9 (6): 811–32.</w:t>
      </w:r>
      <w:r>
        <w:t xml:space="preserve"> </w:t>
      </w:r>
      <w:hyperlink r:id="rId91">
        <w:r>
          <w:rPr>
            <w:rStyle w:val="Hyperlink"/>
          </w:rPr>
          <w:t xml:space="preserve">https://doi.org/10.1023/a:1008948602316</w:t>
        </w:r>
      </w:hyperlink>
      <w:r>
        <w:t xml:space="preserve">.</w:t>
      </w:r>
    </w:p>
    <w:bookmarkEnd w:id="92"/>
    <w:bookmarkStart w:id="94" w:name="ref-smart2024"/>
    <w:p>
      <w:pPr>
        <w:pStyle w:val="Bibliography"/>
      </w:pPr>
      <w:r>
        <w:t xml:space="preserve">Smart, S. M., C. M. Wood, F. M. Seaton, A. McMullen, S. E. Ward, R. Ward, J. O’Reilly, et al. 2024.</w:t>
      </w:r>
      <w:r>
        <w:t xml:space="preserve"> </w:t>
      </w:r>
      <w:r>
        <w:t xml:space="preserve">“Broadleaved Woodland Survey of Great Britain, 2020-2022.”</w:t>
      </w:r>
      <w:r>
        <w:t xml:space="preserve"> </w:t>
      </w:r>
      <w:r>
        <w:t xml:space="preserve">NERC EDS Environmental Information Data Centre.</w:t>
      </w:r>
      <w:r>
        <w:t xml:space="preserve"> </w:t>
      </w:r>
      <w:hyperlink r:id="rId93">
        <w:r>
          <w:rPr>
            <w:rStyle w:val="Hyperlink"/>
          </w:rPr>
          <w:t xml:space="preserve">https://doi.org/10.5285/42C203C8-44DE-40E2-A694-B1E8CBD4C8E1</w:t>
        </w:r>
      </w:hyperlink>
      <w:r>
        <w:t xml:space="preserve">.</w:t>
      </w:r>
    </w:p>
    <w:bookmarkEnd w:id="94"/>
    <w:bookmarkStart w:id="95" w:name="ref-smart2016mavis"/>
    <w:p>
      <w:pPr>
        <w:pStyle w:val="Bibliography"/>
      </w:pPr>
      <w:r>
        <w:t xml:space="preserve">Smart, S., A. Goodwin, and H. Wallace. 2016.</w:t>
      </w:r>
      <w:r>
        <w:t xml:space="preserve"> </w:t>
      </w:r>
      <w:r>
        <w:rPr>
          <w:iCs/>
          <w:i/>
        </w:rPr>
        <w:t xml:space="preserve">MAVIS (Ver 1.03) User Manual</w:t>
      </w:r>
      <w:r>
        <w:t xml:space="preserve">. Edited by S. Smart.</w:t>
      </w:r>
    </w:p>
    <w:bookmarkEnd w:id="95"/>
    <w:bookmarkStart w:id="97" w:name="ref-smart2014"/>
    <w:p>
      <w:pPr>
        <w:pStyle w:val="Bibliography"/>
      </w:pPr>
      <w:r>
        <w:t xml:space="preserve">Smart, Simon M., Aaron M. Ellison, Robert G. H. Bunce, Robert H. Marrs, Keith J. Kirby, Adam Kimberley, Andy W. Scott, and David R. Foster. 2014.</w:t>
      </w:r>
      <w:r>
        <w:t xml:space="preserve"> </w:t>
      </w:r>
      <w:r>
        <w:t xml:space="preserve">“Quantifying the Impact of an Extreme Climate Event on Species Diversity in Fragmented Temperate Forests: The Effect of the October 1987 Storm on British Broadleaved Woodlands.”</w:t>
      </w:r>
      <w:r>
        <w:t xml:space="preserve"> </w:t>
      </w:r>
      <w:r>
        <w:t xml:space="preserve">Edited by Frank Gilliam.</w:t>
      </w:r>
      <w:r>
        <w:t xml:space="preserve"> </w:t>
      </w:r>
      <w:r>
        <w:rPr>
          <w:iCs/>
          <w:i/>
        </w:rPr>
        <w:t xml:space="preserve">Journal of Ecology</w:t>
      </w:r>
      <w:r>
        <w:t xml:space="preserve"> </w:t>
      </w:r>
      <w:r>
        <w:t xml:space="preserve">102 (5): 1273–87.</w:t>
      </w:r>
      <w:r>
        <w:t xml:space="preserve"> </w:t>
      </w:r>
      <w:hyperlink r:id="rId96">
        <w:r>
          <w:rPr>
            <w:rStyle w:val="Hyperlink"/>
          </w:rPr>
          <w:t xml:space="preserve">https://doi.org/10.1111/1365-2745.12291</w:t>
        </w:r>
      </w:hyperlink>
      <w:r>
        <w:t xml:space="preserve">.</w:t>
      </w:r>
    </w:p>
    <w:bookmarkEnd w:id="97"/>
    <w:bookmarkStart w:id="99" w:name="ref-tipping2013"/>
    <w:p>
      <w:pPr>
        <w:pStyle w:val="Bibliography"/>
      </w:pPr>
      <w:r>
        <w:t xml:space="preserve">Tipping, E, PA Henrys, LC Maskell, and SM Smart. 2013.</w:t>
      </w:r>
      <w:r>
        <w:t xml:space="preserve"> </w:t>
      </w:r>
      <w:r>
        <w:t xml:space="preserve">“Nitrogen Deposition Effects on Plant Species Diversity; Threshold Loads from Field Data.”</w:t>
      </w:r>
      <w:r>
        <w:t xml:space="preserve"> </w:t>
      </w:r>
      <w:r>
        <w:rPr>
          <w:iCs/>
          <w:i/>
        </w:rPr>
        <w:t xml:space="preserve">Environmental Pollution</w:t>
      </w:r>
      <w:r>
        <w:t xml:space="preserve"> </w:t>
      </w:r>
      <w:r>
        <w:t xml:space="preserve">179: 218–23.</w:t>
      </w:r>
      <w:r>
        <w:t xml:space="preserve"> </w:t>
      </w:r>
      <w:hyperlink r:id="rId98">
        <w:r>
          <w:rPr>
            <w:rStyle w:val="Hyperlink"/>
          </w:rPr>
          <w:t xml:space="preserve">https://doi.org/10.1016/j.envpol.2013.04.008</w:t>
        </w:r>
      </w:hyperlink>
      <w:r>
        <w:t xml:space="preserve">.</w:t>
      </w:r>
    </w:p>
    <w:bookmarkEnd w:id="99"/>
    <w:bookmarkStart w:id="101" w:name="ref-wallace2018"/>
    <w:p>
      <w:pPr>
        <w:pStyle w:val="Bibliography"/>
      </w:pPr>
      <w:r>
        <w:t xml:space="preserve">Wallace, Hillary, and Laurence Jones. 2018.</w:t>
      </w:r>
      <w:r>
        <w:t xml:space="preserve"> </w:t>
      </w:r>
      <w:r>
        <w:t xml:space="preserve">“Monitoring of Forest Removal and Groundworks to Rejuvenate Dunes at Newborough Warren - Ynys Llanddwyn SSSI. Vegetation Change, Third Year Results for 2017.”</w:t>
      </w:r>
      <w:r>
        <w:t xml:space="preserve"> </w:t>
      </w:r>
      <w:r>
        <w:t xml:space="preserve">Bangor, Wales: NERC/Centre for Ecology &amp; Hydrology.</w:t>
      </w:r>
      <w:r>
        <w:t xml:space="preserve"> </w:t>
      </w:r>
      <w:hyperlink r:id="rId100">
        <w:r>
          <w:rPr>
            <w:rStyle w:val="Hyperlink"/>
          </w:rPr>
          <w:t xml:space="preserve">http://nora.nerc.ac.uk/id/eprint/524094/</w:t>
        </w:r>
      </w:hyperlink>
      <w:r>
        <w:t xml:space="preserve">.</w:t>
      </w:r>
    </w:p>
    <w:bookmarkEnd w:id="101"/>
    <w:bookmarkStart w:id="103" w:name="ref-wallace2017"/>
    <w:p>
      <w:pPr>
        <w:pStyle w:val="Bibliography"/>
      </w:pPr>
      <w:r>
        <w:t xml:space="preserve">Wallace, Hillary, and Mike Prosser. 2017.</w:t>
      </w:r>
      <w:r>
        <w:t xml:space="preserve"> </w:t>
      </w:r>
      <w:r>
        <w:t xml:space="preserve">“A Review of the National Vegetation Classification for the Calthion Group of Plant Communities in England and Wales (JP021).”</w:t>
      </w:r>
      <w:r>
        <w:t xml:space="preserve"> </w:t>
      </w:r>
      <w:r>
        <w:t xml:space="preserve">Natural England.</w:t>
      </w:r>
      <w:r>
        <w:t xml:space="preserve"> </w:t>
      </w:r>
      <w:hyperlink r:id="rId102">
        <w:r>
          <w:rPr>
            <w:rStyle w:val="Hyperlink"/>
          </w:rPr>
          <w:t xml:space="preserve">https://publications.naturalengland.org.uk/publication/5839929072943104</w:t>
        </w:r>
      </w:hyperlink>
      <w:r>
        <w:t xml:space="preserve">.</w:t>
      </w:r>
    </w:p>
    <w:bookmarkEnd w:id="103"/>
    <w:bookmarkStart w:id="105" w:name="ref-wood2015"/>
    <w:p>
      <w:pPr>
        <w:pStyle w:val="Bibliography"/>
      </w:pPr>
      <w:r>
        <w:t xml:space="preserve">Wood, C. M., S. M. Smart, and R. G. H. Bunce. 2015.</w:t>
      </w:r>
      <w:r>
        <w:t xml:space="preserve"> </w:t>
      </w:r>
      <w:r>
        <w:t xml:space="preserve">“Woodland Survey of Great Britain 1971-2001.”</w:t>
      </w:r>
      <w:r>
        <w:t xml:space="preserve"> </w:t>
      </w:r>
      <w:r>
        <w:rPr>
          <w:iCs/>
          <w:i/>
        </w:rPr>
        <w:t xml:space="preserve">Earth System Science Data</w:t>
      </w:r>
      <w:r>
        <w:t xml:space="preserve"> </w:t>
      </w:r>
      <w:r>
        <w:t xml:space="preserve">7 (2): 203–14.</w:t>
      </w:r>
      <w:r>
        <w:t xml:space="preserve"> </w:t>
      </w:r>
      <w:hyperlink r:id="rId104">
        <w:r>
          <w:rPr>
            <w:rStyle w:val="Hyperlink"/>
          </w:rPr>
          <w:t xml:space="preserve">https://doi.org/10.5194/essd-7-203-2015</w:t>
        </w:r>
      </w:hyperlink>
      <w:r>
        <w:t xml:space="preserve">.</w:t>
      </w:r>
    </w:p>
    <w:bookmarkEnd w:id="105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0" Target="http://nora.nerc.ac.uk/id/eprint/524094/" TargetMode="External" /><Relationship Type="http://schemas.openxmlformats.org/officeDocument/2006/relationships/hyperlink" Id="rId63" Target="https://bsbi.org/taxon-lists" TargetMode="External" /><Relationship Type="http://schemas.openxmlformats.org/officeDocument/2006/relationships/hyperlink" Id="rId66" Target="https://cieem.net/wp-content/uploads/2018/08/ECIA-Guidelines-2018-Terrestrial-Freshwater-Coastal-and-Marine-V1.2-April-22-Compressed.pdf" TargetMode="External" /><Relationship Type="http://schemas.openxmlformats.org/officeDocument/2006/relationships/hyperlink" Id="rId88" Target="https://data.jncc.gov.uk/data/a407ebfc-2859-49cf-9710-1bde9c8e28c7/JNCC-NVC-UsersHandbook-2006.pdf" TargetMode="External" /><Relationship Type="http://schemas.openxmlformats.org/officeDocument/2006/relationships/hyperlink" Id="rId59" Target="https://database.bsbi.org/object.php?entityid=2cd4p9h.2cg1kd&amp;class=ChecklistInstance" TargetMode="External" /><Relationship Type="http://schemas.openxmlformats.org/officeDocument/2006/relationships/hyperlink" Id="rId53" Target="https://database.bsbi.org/object.php?entityid=2cd4p9h.2cg1m1&amp;class=ChecklistInstance" TargetMode="External" /><Relationship Type="http://schemas.openxmlformats.org/officeDocument/2006/relationships/hyperlink" Id="rId55" Target="https://database.bsbi.org/object.php?entityid=2cd4p9h.2cg1s5&amp;class=ChecklistInstance" TargetMode="External" /><Relationship Type="http://schemas.openxmlformats.org/officeDocument/2006/relationships/hyperlink" Id="rId61" Target="https://database.bsbi.org/object.php?entityid=2cd4p9h.2cg1v7&amp;class=ChecklistInstance" TargetMode="External" /><Relationship Type="http://schemas.openxmlformats.org/officeDocument/2006/relationships/hyperlink" Id="rId57" Target="https://database.bsbi.org/object.php?entityid=2cd4p9h.2cg1yq&amp;class=ChecklistInstance" TargetMode="External" /><Relationship Type="http://schemas.openxmlformats.org/officeDocument/2006/relationships/hyperlink" Id="rId70" Target="https://doi.org/10.1007/bf00031691" TargetMode="External" /><Relationship Type="http://schemas.openxmlformats.org/officeDocument/2006/relationships/hyperlink" Id="rId72" Target="https://doi.org/10.1007/bf00048870" TargetMode="External" /><Relationship Type="http://schemas.openxmlformats.org/officeDocument/2006/relationships/hyperlink" Id="rId86" Target="https://doi.org/10.1007/s11258-020-01016-1" TargetMode="External" /><Relationship Type="http://schemas.openxmlformats.org/officeDocument/2006/relationships/hyperlink" Id="rId98" Target="https://doi.org/10.1016/j.envpol.2013.04.008" TargetMode="External" /><Relationship Type="http://schemas.openxmlformats.org/officeDocument/2006/relationships/hyperlink" Id="rId91" Target="https://doi.org/10.1023/a:1008948602316" TargetMode="External" /><Relationship Type="http://schemas.openxmlformats.org/officeDocument/2006/relationships/hyperlink" Id="rId96" Target="https://doi.org/10.1111/1365-2745.12291" TargetMode="External" /><Relationship Type="http://schemas.openxmlformats.org/officeDocument/2006/relationships/hyperlink" Id="rId78" Target="https://doi.org/10.1111/avsc.12516" TargetMode="External" /><Relationship Type="http://schemas.openxmlformats.org/officeDocument/2006/relationships/hyperlink" Id="rId68" Target="https://doi.org/10.1111/rec.13035" TargetMode="External" /><Relationship Type="http://schemas.openxmlformats.org/officeDocument/2006/relationships/hyperlink" Id="rId51" Target="https://doi.org/10.2307/1938672" TargetMode="External" /><Relationship Type="http://schemas.openxmlformats.org/officeDocument/2006/relationships/hyperlink" Id="rId49" Target="https://doi.org/10.3354/meps005125" TargetMode="External" /><Relationship Type="http://schemas.openxmlformats.org/officeDocument/2006/relationships/hyperlink" Id="rId84" Target="https://doi.org/10.33928/bib.2023.05.001" TargetMode="External" /><Relationship Type="http://schemas.openxmlformats.org/officeDocument/2006/relationships/hyperlink" Id="rId104" Target="https://doi.org/10.5194/essd-7-203-2015" TargetMode="External" /><Relationship Type="http://schemas.openxmlformats.org/officeDocument/2006/relationships/hyperlink" Id="rId93" Target="https://doi.org/10.5285/42C203C8-44DE-40E2-A694-B1E8CBD4C8E1" TargetMode="External" /><Relationship Type="http://schemas.openxmlformats.org/officeDocument/2006/relationships/hyperlink" Id="rId76" Target="https://hub.jncc.gov.uk/assets/9e70531b-5467-4136-88f6-3b3dd905b56d" TargetMode="External" /><Relationship Type="http://schemas.openxmlformats.org/officeDocument/2006/relationships/hyperlink" Id="rId80" Target="https://livrepository.liverpool.ac.uk/3052158/" TargetMode="External" /><Relationship Type="http://schemas.openxmlformats.org/officeDocument/2006/relationships/hyperlink" Id="rId102" Target="https://publications.naturalengland.org.uk/publication/5839929072943104" TargetMode="External" /><Relationship Type="http://schemas.openxmlformats.org/officeDocument/2006/relationships/hyperlink" Id="rId74" Target="https://www.brc.ac.uk/biblio/bryoatt-attributes-british-and-irish-mosses-liverworts-and-hornworts-spreadsheet" TargetMode="External" /><Relationship Type="http://schemas.openxmlformats.org/officeDocument/2006/relationships/hyperlink" Id="rId82" Target="https://www.researchgate.net/publication/333011121_S1_Fi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0" Target="http://nora.nerc.ac.uk/id/eprint/524094/" TargetMode="External" /><Relationship Type="http://schemas.openxmlformats.org/officeDocument/2006/relationships/hyperlink" Id="rId63" Target="https://bsbi.org/taxon-lists" TargetMode="External" /><Relationship Type="http://schemas.openxmlformats.org/officeDocument/2006/relationships/hyperlink" Id="rId66" Target="https://cieem.net/wp-content/uploads/2018/08/ECIA-Guidelines-2018-Terrestrial-Freshwater-Coastal-and-Marine-V1.2-April-22-Compressed.pdf" TargetMode="External" /><Relationship Type="http://schemas.openxmlformats.org/officeDocument/2006/relationships/hyperlink" Id="rId88" Target="https://data.jncc.gov.uk/data/a407ebfc-2859-49cf-9710-1bde9c8e28c7/JNCC-NVC-UsersHandbook-2006.pdf" TargetMode="External" /><Relationship Type="http://schemas.openxmlformats.org/officeDocument/2006/relationships/hyperlink" Id="rId59" Target="https://database.bsbi.org/object.php?entityid=2cd4p9h.2cg1kd&amp;class=ChecklistInstance" TargetMode="External" /><Relationship Type="http://schemas.openxmlformats.org/officeDocument/2006/relationships/hyperlink" Id="rId53" Target="https://database.bsbi.org/object.php?entityid=2cd4p9h.2cg1m1&amp;class=ChecklistInstance" TargetMode="External" /><Relationship Type="http://schemas.openxmlformats.org/officeDocument/2006/relationships/hyperlink" Id="rId55" Target="https://database.bsbi.org/object.php?entityid=2cd4p9h.2cg1s5&amp;class=ChecklistInstance" TargetMode="External" /><Relationship Type="http://schemas.openxmlformats.org/officeDocument/2006/relationships/hyperlink" Id="rId61" Target="https://database.bsbi.org/object.php?entityid=2cd4p9h.2cg1v7&amp;class=ChecklistInstance" TargetMode="External" /><Relationship Type="http://schemas.openxmlformats.org/officeDocument/2006/relationships/hyperlink" Id="rId57" Target="https://database.bsbi.org/object.php?entityid=2cd4p9h.2cg1yq&amp;class=ChecklistInstance" TargetMode="External" /><Relationship Type="http://schemas.openxmlformats.org/officeDocument/2006/relationships/hyperlink" Id="rId70" Target="https://doi.org/10.1007/bf00031691" TargetMode="External" /><Relationship Type="http://schemas.openxmlformats.org/officeDocument/2006/relationships/hyperlink" Id="rId72" Target="https://doi.org/10.1007/bf00048870" TargetMode="External" /><Relationship Type="http://schemas.openxmlformats.org/officeDocument/2006/relationships/hyperlink" Id="rId86" Target="https://doi.org/10.1007/s11258-020-01016-1" TargetMode="External" /><Relationship Type="http://schemas.openxmlformats.org/officeDocument/2006/relationships/hyperlink" Id="rId98" Target="https://doi.org/10.1016/j.envpol.2013.04.008" TargetMode="External" /><Relationship Type="http://schemas.openxmlformats.org/officeDocument/2006/relationships/hyperlink" Id="rId91" Target="https://doi.org/10.1023/a:1008948602316" TargetMode="External" /><Relationship Type="http://schemas.openxmlformats.org/officeDocument/2006/relationships/hyperlink" Id="rId96" Target="https://doi.org/10.1111/1365-2745.12291" TargetMode="External" /><Relationship Type="http://schemas.openxmlformats.org/officeDocument/2006/relationships/hyperlink" Id="rId78" Target="https://doi.org/10.1111/avsc.12516" TargetMode="External" /><Relationship Type="http://schemas.openxmlformats.org/officeDocument/2006/relationships/hyperlink" Id="rId68" Target="https://doi.org/10.1111/rec.13035" TargetMode="External" /><Relationship Type="http://schemas.openxmlformats.org/officeDocument/2006/relationships/hyperlink" Id="rId51" Target="https://doi.org/10.2307/1938672" TargetMode="External" /><Relationship Type="http://schemas.openxmlformats.org/officeDocument/2006/relationships/hyperlink" Id="rId49" Target="https://doi.org/10.3354/meps005125" TargetMode="External" /><Relationship Type="http://schemas.openxmlformats.org/officeDocument/2006/relationships/hyperlink" Id="rId84" Target="https://doi.org/10.33928/bib.2023.05.001" TargetMode="External" /><Relationship Type="http://schemas.openxmlformats.org/officeDocument/2006/relationships/hyperlink" Id="rId104" Target="https://doi.org/10.5194/essd-7-203-2015" TargetMode="External" /><Relationship Type="http://schemas.openxmlformats.org/officeDocument/2006/relationships/hyperlink" Id="rId93" Target="https://doi.org/10.5285/42C203C8-44DE-40E2-A694-B1E8CBD4C8E1" TargetMode="External" /><Relationship Type="http://schemas.openxmlformats.org/officeDocument/2006/relationships/hyperlink" Id="rId76" Target="https://hub.jncc.gov.uk/assets/9e70531b-5467-4136-88f6-3b3dd905b56d" TargetMode="External" /><Relationship Type="http://schemas.openxmlformats.org/officeDocument/2006/relationships/hyperlink" Id="rId80" Target="https://livrepository.liverpool.ac.uk/3052158/" TargetMode="External" /><Relationship Type="http://schemas.openxmlformats.org/officeDocument/2006/relationships/hyperlink" Id="rId102" Target="https://publications.naturalengland.org.uk/publication/5839929072943104" TargetMode="External" /><Relationship Type="http://schemas.openxmlformats.org/officeDocument/2006/relationships/hyperlink" Id="rId74" Target="https://www.brc.ac.uk/biblio/bryoatt-attributes-british-and-irish-mosses-liverworts-and-hornworts-spreadsheet" TargetMode="External" /><Relationship Type="http://schemas.openxmlformats.org/officeDocument/2006/relationships/hyperlink" Id="rId82" Target="https://www.researchgate.net/publication/333011121_S1_Fi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MAVIS - Documentation</dc:title>
  <dc:creator/>
  <cp:keywords/>
  <dcterms:created xsi:type="dcterms:W3CDTF">2024-02-05T10:59:59Z</dcterms:created>
  <dcterms:modified xsi:type="dcterms:W3CDTF">2024-02-05T10:59:59Z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references.bib</vt:lpwstr>
  </property>
  <property fmtid="{D5CDD505-2E9C-101B-9397-08002B2CF9AE}" pid="4" name="editor_options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subtitle">
    <vt:lpwstr>v0.96</vt:lpwstr>
  </property>
</Properties>
</file>