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77A748C" w14:textId="77777777" w:rsidR="002B5862" w:rsidRDefault="00000000">
      <w:pPr>
        <w:pStyle w:val="Title"/>
        <w:spacing w:after="80"/>
      </w:pPr>
      <w:r>
        <w:t>Graph RAG MVP Evaluation Questions and Benchmarking</w:t>
      </w:r>
    </w:p>
    <w:p w14:paraId="5FD5FDDE" w14:textId="77777777" w:rsidR="002B5862" w:rsidRDefault="00000000">
      <w:pPr>
        <w:spacing w:after="40"/>
      </w:pPr>
      <w:r>
        <w:rPr>
          <w:b/>
          <w:color w:val="245B78"/>
          <w:sz w:val="26"/>
        </w:rPr>
        <w:t>Basal neuronal macroautophagy and neuronal health in aging</w:t>
      </w:r>
    </w:p>
    <w:p w14:paraId="2F7913C7" w14:textId="77777777" w:rsidR="002B5862" w:rsidRDefault="00000000">
      <w:pPr>
        <w:spacing w:after="280"/>
      </w:pPr>
      <w:r>
        <w:rPr>
          <w:color w:val="6B737A"/>
          <w:sz w:val="18"/>
        </w:rPr>
        <w:t>Evaluation specification  |  7 October 2026</w:t>
      </w:r>
    </w:p>
    <w:p w14:paraId="687EBF32" w14:textId="77777777" w:rsidR="00F149B1" w:rsidRDefault="00F149B1" w:rsidP="00F149B1"/>
    <w:p w14:paraId="795179AA" w14:textId="7A5DA9CF" w:rsidR="00F149B1" w:rsidRDefault="00F149B1" w:rsidP="00F149B1">
      <w:pPr>
        <w:pStyle w:val="Heading1"/>
      </w:pPr>
      <w:r>
        <w:t xml:space="preserve">Document </w:t>
      </w:r>
      <w:r>
        <w:t>History</w:t>
      </w:r>
    </w:p>
    <w:tbl>
      <w:tblPr>
        <w:tblStyle w:val="TableGrid"/>
        <w:tblW w:w="0" w:type="auto"/>
        <w:tblLook w:val="04A0" w:firstRow="1" w:lastRow="0" w:firstColumn="1" w:lastColumn="0" w:noHBand="0" w:noVBand="1"/>
      </w:tblPr>
      <w:tblGrid>
        <w:gridCol w:w="1008"/>
        <w:gridCol w:w="1170"/>
        <w:gridCol w:w="1260"/>
        <w:gridCol w:w="7060"/>
      </w:tblGrid>
      <w:tr w:rsidR="00F149B1" w14:paraId="184697B1" w14:textId="77777777" w:rsidTr="00F149B1">
        <w:tc>
          <w:tcPr>
            <w:tcW w:w="1008" w:type="dxa"/>
          </w:tcPr>
          <w:p w14:paraId="2BACCFC6" w14:textId="7C4ACEF2" w:rsidR="00F149B1" w:rsidRPr="00F149B1" w:rsidRDefault="00F149B1" w:rsidP="00F149B1">
            <w:pPr>
              <w:jc w:val="center"/>
              <w:rPr>
                <w:b/>
                <w:bCs/>
              </w:rPr>
            </w:pPr>
            <w:r w:rsidRPr="00F149B1">
              <w:rPr>
                <w:b/>
                <w:bCs/>
              </w:rPr>
              <w:t>Version</w:t>
            </w:r>
          </w:p>
        </w:tc>
        <w:tc>
          <w:tcPr>
            <w:tcW w:w="1170" w:type="dxa"/>
          </w:tcPr>
          <w:p w14:paraId="1FABA42A" w14:textId="5A8313B3" w:rsidR="00F149B1" w:rsidRPr="00F149B1" w:rsidRDefault="00F149B1" w:rsidP="00F149B1">
            <w:pPr>
              <w:jc w:val="center"/>
              <w:rPr>
                <w:b/>
                <w:bCs/>
              </w:rPr>
            </w:pPr>
            <w:r w:rsidRPr="00F149B1">
              <w:rPr>
                <w:b/>
                <w:bCs/>
              </w:rPr>
              <w:t>Author</w:t>
            </w:r>
          </w:p>
        </w:tc>
        <w:tc>
          <w:tcPr>
            <w:tcW w:w="1260" w:type="dxa"/>
          </w:tcPr>
          <w:p w14:paraId="16C5B2CE" w14:textId="796050ED" w:rsidR="00F149B1" w:rsidRPr="00F149B1" w:rsidRDefault="00F149B1" w:rsidP="00F149B1">
            <w:pPr>
              <w:jc w:val="center"/>
              <w:rPr>
                <w:b/>
                <w:bCs/>
              </w:rPr>
            </w:pPr>
            <w:r w:rsidRPr="00F149B1">
              <w:rPr>
                <w:b/>
                <w:bCs/>
              </w:rPr>
              <w:t>Date</w:t>
            </w:r>
          </w:p>
        </w:tc>
        <w:tc>
          <w:tcPr>
            <w:tcW w:w="7060" w:type="dxa"/>
          </w:tcPr>
          <w:p w14:paraId="3969509E" w14:textId="04EF196A" w:rsidR="00F149B1" w:rsidRPr="00F149B1" w:rsidRDefault="00F149B1" w:rsidP="00F149B1">
            <w:pPr>
              <w:jc w:val="center"/>
              <w:rPr>
                <w:b/>
                <w:bCs/>
              </w:rPr>
            </w:pPr>
            <w:r w:rsidRPr="00F149B1">
              <w:rPr>
                <w:b/>
                <w:bCs/>
              </w:rPr>
              <w:t>Notes</w:t>
            </w:r>
          </w:p>
        </w:tc>
      </w:tr>
      <w:tr w:rsidR="00F149B1" w14:paraId="28A255EB" w14:textId="77777777" w:rsidTr="00F149B1">
        <w:tc>
          <w:tcPr>
            <w:tcW w:w="1008" w:type="dxa"/>
          </w:tcPr>
          <w:p w14:paraId="6736100E" w14:textId="1E2B38A3" w:rsidR="00F149B1" w:rsidRDefault="00F149B1" w:rsidP="00F149B1">
            <w:pPr>
              <w:jc w:val="center"/>
            </w:pPr>
            <w:r>
              <w:t>1</w:t>
            </w:r>
          </w:p>
        </w:tc>
        <w:tc>
          <w:tcPr>
            <w:tcW w:w="1170" w:type="dxa"/>
          </w:tcPr>
          <w:p w14:paraId="2012D01D" w14:textId="373AB14B" w:rsidR="00F149B1" w:rsidRDefault="00F149B1" w:rsidP="00F149B1">
            <w:pPr>
              <w:jc w:val="center"/>
            </w:pPr>
            <w:r>
              <w:t>JMB</w:t>
            </w:r>
          </w:p>
        </w:tc>
        <w:tc>
          <w:tcPr>
            <w:tcW w:w="1260" w:type="dxa"/>
          </w:tcPr>
          <w:p w14:paraId="0CC6B903" w14:textId="165AF0AB" w:rsidR="00F149B1" w:rsidRDefault="00F149B1" w:rsidP="00F149B1">
            <w:pPr>
              <w:jc w:val="center"/>
            </w:pPr>
            <w:r>
              <w:t>2026.10.07</w:t>
            </w:r>
          </w:p>
        </w:tc>
        <w:tc>
          <w:tcPr>
            <w:tcW w:w="7060" w:type="dxa"/>
          </w:tcPr>
          <w:p w14:paraId="3EB45EB7" w14:textId="6BE3E274" w:rsidR="00F149B1" w:rsidRDefault="00F149B1" w:rsidP="00F149B1">
            <w:r>
              <w:t>Initial document</w:t>
            </w:r>
          </w:p>
        </w:tc>
      </w:tr>
      <w:tr w:rsidR="00F149B1" w14:paraId="7423D83B" w14:textId="77777777" w:rsidTr="00F149B1">
        <w:tc>
          <w:tcPr>
            <w:tcW w:w="1008" w:type="dxa"/>
          </w:tcPr>
          <w:p w14:paraId="27ACC0FE" w14:textId="5D4977E4" w:rsidR="00F149B1" w:rsidRDefault="00F149B1" w:rsidP="00F149B1">
            <w:pPr>
              <w:jc w:val="center"/>
            </w:pPr>
            <w:r>
              <w:t>2</w:t>
            </w:r>
          </w:p>
        </w:tc>
        <w:tc>
          <w:tcPr>
            <w:tcW w:w="1170" w:type="dxa"/>
          </w:tcPr>
          <w:p w14:paraId="29749F06" w14:textId="5B3A0E75" w:rsidR="00F149B1" w:rsidRDefault="00F149B1" w:rsidP="00F149B1">
            <w:pPr>
              <w:jc w:val="center"/>
            </w:pPr>
            <w:r>
              <w:t>JMB</w:t>
            </w:r>
          </w:p>
        </w:tc>
        <w:tc>
          <w:tcPr>
            <w:tcW w:w="1260" w:type="dxa"/>
          </w:tcPr>
          <w:p w14:paraId="7A057F58" w14:textId="126799AC" w:rsidR="00F149B1" w:rsidRDefault="00F149B1" w:rsidP="00F149B1">
            <w:pPr>
              <w:jc w:val="center"/>
            </w:pPr>
            <w:r>
              <w:t>2026.10.07</w:t>
            </w:r>
          </w:p>
        </w:tc>
        <w:tc>
          <w:tcPr>
            <w:tcW w:w="7060" w:type="dxa"/>
          </w:tcPr>
          <w:p w14:paraId="3FF34ED3" w14:textId="66828623" w:rsidR="00F149B1" w:rsidRDefault="00F149B1" w:rsidP="00F149B1">
            <w:r>
              <w:t>Added document history and summary, pointers to JATS and details about BM25.</w:t>
            </w:r>
          </w:p>
        </w:tc>
      </w:tr>
    </w:tbl>
    <w:p w14:paraId="115997F1" w14:textId="77777777" w:rsidR="00F149B1" w:rsidRDefault="00F149B1" w:rsidP="00F149B1">
      <w:pPr>
        <w:rPr>
          <w:b/>
          <w:bCs/>
        </w:rPr>
      </w:pPr>
    </w:p>
    <w:p w14:paraId="56A454AE" w14:textId="6CABAEB0" w:rsidR="00F149B1" w:rsidRDefault="00F149B1" w:rsidP="00F149B1">
      <w:r w:rsidRPr="00F149B1">
        <w:rPr>
          <w:b/>
          <w:bCs/>
        </w:rPr>
        <w:t>Note:</w:t>
      </w:r>
      <w:r>
        <w:t xml:space="preserve"> It is </w:t>
      </w:r>
      <w:r>
        <w:t>recommend</w:t>
      </w:r>
      <w:r>
        <w:t>ed</w:t>
      </w:r>
      <w:r>
        <w:t xml:space="preserve"> to </w:t>
      </w:r>
      <w:r>
        <w:t xml:space="preserve">“Enable </w:t>
      </w:r>
      <w:r w:rsidRPr="00F149B1">
        <w:rPr>
          <w:i/>
          <w:iCs/>
        </w:rPr>
        <w:t xml:space="preserve">View </w:t>
      </w:r>
      <w:r w:rsidRPr="00F149B1">
        <w:rPr>
          <w:i/>
          <w:iCs/>
        </w:rPr>
        <w:sym w:font="Wingdings" w:char="F0E0"/>
      </w:r>
      <w:r w:rsidRPr="00F149B1">
        <w:rPr>
          <w:i/>
          <w:iCs/>
        </w:rPr>
        <w:t xml:space="preserve"> </w:t>
      </w:r>
      <w:r w:rsidRPr="00F149B1">
        <w:rPr>
          <w:i/>
          <w:iCs/>
        </w:rPr>
        <w:t>Navigation Pane</w:t>
      </w:r>
      <w:r>
        <w:t xml:space="preserve">” to more easily navigate </w:t>
      </w:r>
      <w:r>
        <w:t xml:space="preserve">between the different sections of </w:t>
      </w:r>
      <w:r>
        <w:t>the document.</w:t>
      </w:r>
    </w:p>
    <w:p w14:paraId="5C116E53" w14:textId="77777777" w:rsidR="00F149B1" w:rsidRDefault="00F149B1" w:rsidP="00F149B1"/>
    <w:p w14:paraId="287CD063" w14:textId="77777777" w:rsidR="00F149B1" w:rsidRDefault="00F149B1" w:rsidP="00F149B1"/>
    <w:p w14:paraId="4CBE0D4A" w14:textId="511E7AA6" w:rsidR="00F149B1" w:rsidRDefault="00F149B1" w:rsidP="00F149B1">
      <w:pPr>
        <w:pStyle w:val="Heading1"/>
      </w:pPr>
      <w:r>
        <w:t>Document Summary</w:t>
      </w:r>
    </w:p>
    <w:p w14:paraId="1C22A495" w14:textId="77777777" w:rsidR="00F149B1" w:rsidRDefault="00F149B1" w:rsidP="00F149B1">
      <w:pPr>
        <w:spacing w:after="140" w:line="269" w:lineRule="auto"/>
      </w:pPr>
      <w:r>
        <w:t xml:space="preserve">This document defines a </w:t>
      </w:r>
      <w:r w:rsidRPr="002A42EB">
        <w:rPr>
          <w:b/>
          <w:bCs/>
        </w:rPr>
        <w:t>nine-question evaluation set</w:t>
      </w:r>
      <w:r>
        <w:t xml:space="preserve"> for the five-paper Graph RAG MVP. </w:t>
      </w:r>
    </w:p>
    <w:p w14:paraId="7810BA9F" w14:textId="77777777" w:rsidR="00F149B1" w:rsidRDefault="00F149B1" w:rsidP="00F149B1">
      <w:pPr>
        <w:spacing w:after="140" w:line="269" w:lineRule="auto"/>
      </w:pPr>
      <w:r w:rsidRPr="002A42EB">
        <w:rPr>
          <w:b/>
          <w:bCs/>
        </w:rPr>
        <w:t>Three questions test atomic retrieval from a single supporting sentence</w:t>
      </w:r>
      <w:r>
        <w:t xml:space="preserve">. </w:t>
      </w:r>
    </w:p>
    <w:p w14:paraId="34D46571" w14:textId="77777777" w:rsidR="00F149B1" w:rsidRDefault="00F149B1" w:rsidP="00F149B1">
      <w:pPr>
        <w:spacing w:after="140" w:line="269" w:lineRule="auto"/>
      </w:pPr>
      <w:r w:rsidRPr="002A42EB">
        <w:rPr>
          <w:b/>
          <w:bCs/>
        </w:rPr>
        <w:t>Six questions test synthesis across multiple passages and at least two papers</w:t>
      </w:r>
      <w:r>
        <w:t xml:space="preserve">. </w:t>
      </w:r>
    </w:p>
    <w:p w14:paraId="5344674F" w14:textId="77777777" w:rsidR="00F149B1" w:rsidRDefault="00F149B1" w:rsidP="00F149B1">
      <w:pPr>
        <w:spacing w:after="140" w:line="269" w:lineRule="auto"/>
      </w:pPr>
      <w:r w:rsidRPr="00F149B1">
        <w:rPr>
          <w:b/>
          <w:bCs/>
        </w:rPr>
        <w:t>Reference answers, scoring criteria, diagnostic metrics, and comparator systems</w:t>
      </w:r>
      <w:r>
        <w:t xml:space="preserve"> are also included so that performance can be evaluated consistently (these constitute a first attempt, they may be discussed and further refined). Not all comparator systems should be used for our imminent </w:t>
      </w:r>
      <w:proofErr w:type="gramStart"/>
      <w:r>
        <w:t>deadlines,</w:t>
      </w:r>
      <w:proofErr w:type="gramEnd"/>
      <w:r>
        <w:t xml:space="preserve"> they are provided for completeness. </w:t>
      </w:r>
    </w:p>
    <w:p w14:paraId="023C1194" w14:textId="77777777" w:rsidR="00F149B1" w:rsidRDefault="00F149B1" w:rsidP="00F149B1">
      <w:pPr>
        <w:spacing w:line="269" w:lineRule="auto"/>
      </w:pPr>
      <w:r>
        <w:t xml:space="preserve">The primary comparison should be a conventional vector RAG system built from </w:t>
      </w:r>
      <w:proofErr w:type="gramStart"/>
      <w:r>
        <w:t>exactly the same</w:t>
      </w:r>
      <w:proofErr w:type="gramEnd"/>
      <w:r>
        <w:t xml:space="preserve"> five papers and using the same document representation, generator model, prompt, and evidence budget. The evaluation should </w:t>
      </w:r>
      <w:proofErr w:type="gramStart"/>
      <w:r>
        <w:t>reward</w:t>
      </w:r>
      <w:proofErr w:type="gramEnd"/>
      <w:r>
        <w:t xml:space="preserve"> scientific accuracy, traceable evidence, preservation of experimental context, and calibrated causal claims rather than fluency alone.</w:t>
      </w:r>
    </w:p>
    <w:p w14:paraId="557B0001" w14:textId="77777777" w:rsidR="00F149B1" w:rsidRDefault="00F149B1" w:rsidP="00F149B1">
      <w:pPr>
        <w:spacing w:line="269" w:lineRule="auto"/>
      </w:pPr>
      <w:r>
        <w:t xml:space="preserve">Pointers/links to the </w:t>
      </w:r>
      <w:proofErr w:type="gramStart"/>
      <w:r>
        <w:t>papers</w:t>
      </w:r>
      <w:proofErr w:type="gramEnd"/>
      <w:r>
        <w:t xml:space="preserve"> sources (and their JATS if available) are provided.</w:t>
      </w:r>
    </w:p>
    <w:p w14:paraId="6ABC0AC4" w14:textId="16EEF837" w:rsidR="00F149B1" w:rsidRDefault="00F149B1" w:rsidP="00F149B1">
      <w:pPr>
        <w:spacing w:line="269" w:lineRule="auto"/>
      </w:pPr>
      <w:r>
        <w:t>Finally, some details about the BM25 comparator are included.</w:t>
      </w:r>
      <w:r>
        <w:t xml:space="preserve"> </w:t>
      </w:r>
    </w:p>
    <w:p w14:paraId="4737C690" w14:textId="77777777" w:rsidR="00F149B1" w:rsidRPr="00F149B1" w:rsidRDefault="00F149B1" w:rsidP="00F149B1"/>
    <w:p w14:paraId="27B79D25" w14:textId="41C9624C" w:rsidR="00F149B1" w:rsidRDefault="00F149B1">
      <w:r>
        <w:br w:type="page"/>
      </w:r>
    </w:p>
    <w:p w14:paraId="65CCCB3C" w14:textId="77777777" w:rsidR="00F149B1" w:rsidRDefault="00F149B1">
      <w:pPr>
        <w:spacing w:after="140" w:line="269" w:lineRule="auto"/>
      </w:pPr>
    </w:p>
    <w:p w14:paraId="436E00FA" w14:textId="77777777" w:rsidR="00F149B1" w:rsidRDefault="00F149B1">
      <w:pPr>
        <w:spacing w:line="269" w:lineRule="auto"/>
      </w:pPr>
    </w:p>
    <w:p w14:paraId="764E6A4B" w14:textId="77777777" w:rsidR="002B5862" w:rsidRDefault="00000000">
      <w:pPr>
        <w:pStyle w:val="Heading1"/>
      </w:pPr>
      <w:r>
        <w:t>Five Paper Evidence Corpus</w:t>
      </w:r>
    </w:p>
    <w:p w14:paraId="3950AF44" w14:textId="77777777" w:rsidR="002B5862" w:rsidRDefault="00000000">
      <w:pPr>
        <w:spacing w:after="100" w:line="269" w:lineRule="auto"/>
      </w:pPr>
      <w:r>
        <w:t>Each paper serves a distinct evidence function in the MVP.</w:t>
      </w:r>
    </w:p>
    <w:tbl>
      <w:tblPr>
        <w:tblW w:w="0" w:type="auto"/>
        <w:jc w:val="center"/>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Layout w:type="fixed"/>
        <w:tblLook w:val="04A0" w:firstRow="1" w:lastRow="0" w:firstColumn="1" w:lastColumn="0" w:noHBand="0" w:noVBand="1"/>
      </w:tblPr>
      <w:tblGrid>
        <w:gridCol w:w="2232"/>
        <w:gridCol w:w="2951"/>
        <w:gridCol w:w="5112"/>
      </w:tblGrid>
      <w:tr w:rsidR="002B5862" w14:paraId="43BE7929" w14:textId="77777777">
        <w:trPr>
          <w:cantSplit/>
          <w:tblHeader/>
          <w:jc w:val="center"/>
        </w:trPr>
        <w:tc>
          <w:tcPr>
            <w:tcW w:w="2232" w:type="dxa"/>
            <w:shd w:val="clear" w:color="auto" w:fill="18324A"/>
            <w:tcMar>
              <w:top w:w="100" w:type="dxa"/>
              <w:left w:w="110" w:type="dxa"/>
              <w:bottom w:w="100" w:type="dxa"/>
              <w:right w:w="110" w:type="dxa"/>
            </w:tcMar>
            <w:vAlign w:val="center"/>
          </w:tcPr>
          <w:p w14:paraId="67608C75" w14:textId="77777777" w:rsidR="002B5862" w:rsidRDefault="00000000">
            <w:pPr>
              <w:spacing w:after="0" w:line="252" w:lineRule="auto"/>
              <w:jc w:val="center"/>
            </w:pPr>
            <w:r>
              <w:rPr>
                <w:b/>
                <w:color w:val="FFFFFF"/>
                <w:sz w:val="17"/>
              </w:rPr>
              <w:t>Paper</w:t>
            </w:r>
          </w:p>
        </w:tc>
        <w:tc>
          <w:tcPr>
            <w:tcW w:w="2951" w:type="dxa"/>
            <w:shd w:val="clear" w:color="auto" w:fill="18324A"/>
            <w:tcMar>
              <w:top w:w="100" w:type="dxa"/>
              <w:left w:w="110" w:type="dxa"/>
              <w:bottom w:w="100" w:type="dxa"/>
              <w:right w:w="110" w:type="dxa"/>
            </w:tcMar>
            <w:vAlign w:val="center"/>
          </w:tcPr>
          <w:p w14:paraId="7DF94CA7" w14:textId="77777777" w:rsidR="002B5862" w:rsidRDefault="00000000">
            <w:pPr>
              <w:spacing w:after="0" w:line="252" w:lineRule="auto"/>
              <w:jc w:val="center"/>
            </w:pPr>
            <w:r>
              <w:rPr>
                <w:b/>
                <w:color w:val="FFFFFF"/>
                <w:sz w:val="17"/>
              </w:rPr>
              <w:t>Primary experiment</w:t>
            </w:r>
          </w:p>
        </w:tc>
        <w:tc>
          <w:tcPr>
            <w:tcW w:w="5112" w:type="dxa"/>
            <w:shd w:val="clear" w:color="auto" w:fill="18324A"/>
            <w:tcMar>
              <w:top w:w="100" w:type="dxa"/>
              <w:left w:w="110" w:type="dxa"/>
              <w:bottom w:w="100" w:type="dxa"/>
              <w:right w:w="110" w:type="dxa"/>
            </w:tcMar>
            <w:vAlign w:val="center"/>
          </w:tcPr>
          <w:p w14:paraId="5FFE8EF0" w14:textId="77777777" w:rsidR="002B5862" w:rsidRDefault="00000000">
            <w:pPr>
              <w:spacing w:after="0" w:line="252" w:lineRule="auto"/>
              <w:jc w:val="center"/>
            </w:pPr>
            <w:r>
              <w:rPr>
                <w:b/>
                <w:color w:val="FFFFFF"/>
                <w:sz w:val="17"/>
              </w:rPr>
              <w:t>MVP evidence function</w:t>
            </w:r>
          </w:p>
        </w:tc>
      </w:tr>
      <w:tr w:rsidR="002B5862" w14:paraId="5AA8B394" w14:textId="77777777">
        <w:trPr>
          <w:cantSplit/>
          <w:jc w:val="center"/>
        </w:trPr>
        <w:tc>
          <w:tcPr>
            <w:tcW w:w="2232" w:type="dxa"/>
            <w:shd w:val="clear" w:color="auto" w:fill="FFFFFF"/>
            <w:tcMar>
              <w:top w:w="100" w:type="dxa"/>
              <w:left w:w="110" w:type="dxa"/>
              <w:bottom w:w="100" w:type="dxa"/>
              <w:right w:w="110" w:type="dxa"/>
            </w:tcMar>
            <w:vAlign w:val="center"/>
          </w:tcPr>
          <w:p w14:paraId="7D3AE9EA" w14:textId="77777777" w:rsidR="002B5862" w:rsidRDefault="00000000">
            <w:pPr>
              <w:spacing w:after="0" w:line="252" w:lineRule="auto"/>
            </w:pPr>
            <w:r>
              <w:rPr>
                <w:b/>
                <w:sz w:val="17"/>
              </w:rPr>
              <w:t>Hara et al. 2006</w:t>
            </w:r>
          </w:p>
        </w:tc>
        <w:tc>
          <w:tcPr>
            <w:tcW w:w="2951" w:type="dxa"/>
            <w:shd w:val="clear" w:color="auto" w:fill="FFFFFF"/>
            <w:tcMar>
              <w:top w:w="100" w:type="dxa"/>
              <w:left w:w="110" w:type="dxa"/>
              <w:bottom w:w="100" w:type="dxa"/>
              <w:right w:w="110" w:type="dxa"/>
            </w:tcMar>
            <w:vAlign w:val="center"/>
          </w:tcPr>
          <w:p w14:paraId="582CB5E9" w14:textId="77777777" w:rsidR="002B5862" w:rsidRDefault="00000000">
            <w:pPr>
              <w:spacing w:after="0" w:line="252" w:lineRule="auto"/>
            </w:pPr>
            <w:r>
              <w:rPr>
                <w:sz w:val="17"/>
              </w:rPr>
              <w:t>Atg5 neural deletion</w:t>
            </w:r>
          </w:p>
        </w:tc>
        <w:tc>
          <w:tcPr>
            <w:tcW w:w="5112" w:type="dxa"/>
            <w:shd w:val="clear" w:color="auto" w:fill="FFFFFF"/>
            <w:tcMar>
              <w:top w:w="100" w:type="dxa"/>
              <w:left w:w="110" w:type="dxa"/>
              <w:bottom w:w="100" w:type="dxa"/>
              <w:right w:w="110" w:type="dxa"/>
            </w:tcMar>
            <w:vAlign w:val="center"/>
          </w:tcPr>
          <w:p w14:paraId="464B87E2" w14:textId="77777777" w:rsidR="002B5862" w:rsidRDefault="00000000">
            <w:pPr>
              <w:spacing w:after="0" w:line="252" w:lineRule="auto"/>
            </w:pPr>
            <w:r>
              <w:rPr>
                <w:sz w:val="17"/>
              </w:rPr>
              <w:t>Genetic necessity and neurodegenerative phenotype</w:t>
            </w:r>
          </w:p>
        </w:tc>
      </w:tr>
      <w:tr w:rsidR="002B5862" w14:paraId="2A5DF5E2" w14:textId="77777777">
        <w:trPr>
          <w:cantSplit/>
          <w:jc w:val="center"/>
        </w:trPr>
        <w:tc>
          <w:tcPr>
            <w:tcW w:w="2232" w:type="dxa"/>
            <w:shd w:val="clear" w:color="auto" w:fill="EAF2F6"/>
            <w:tcMar>
              <w:top w:w="100" w:type="dxa"/>
              <w:left w:w="110" w:type="dxa"/>
              <w:bottom w:w="100" w:type="dxa"/>
              <w:right w:w="110" w:type="dxa"/>
            </w:tcMar>
            <w:vAlign w:val="center"/>
          </w:tcPr>
          <w:p w14:paraId="14FE23BD" w14:textId="77777777" w:rsidR="002B5862" w:rsidRDefault="00000000">
            <w:pPr>
              <w:spacing w:after="0" w:line="252" w:lineRule="auto"/>
            </w:pPr>
            <w:r>
              <w:rPr>
                <w:b/>
                <w:sz w:val="17"/>
              </w:rPr>
              <w:t>Komatsu et al. 2006</w:t>
            </w:r>
          </w:p>
        </w:tc>
        <w:tc>
          <w:tcPr>
            <w:tcW w:w="2951" w:type="dxa"/>
            <w:shd w:val="clear" w:color="auto" w:fill="EAF2F6"/>
            <w:tcMar>
              <w:top w:w="100" w:type="dxa"/>
              <w:left w:w="110" w:type="dxa"/>
              <w:bottom w:w="100" w:type="dxa"/>
              <w:right w:w="110" w:type="dxa"/>
            </w:tcMar>
            <w:vAlign w:val="center"/>
          </w:tcPr>
          <w:p w14:paraId="74ADBD82" w14:textId="77777777" w:rsidR="002B5862" w:rsidRDefault="00000000">
            <w:pPr>
              <w:spacing w:after="0" w:line="252" w:lineRule="auto"/>
            </w:pPr>
            <w:r>
              <w:rPr>
                <w:sz w:val="17"/>
              </w:rPr>
              <w:t>Atg7 CNS deletion</w:t>
            </w:r>
          </w:p>
        </w:tc>
        <w:tc>
          <w:tcPr>
            <w:tcW w:w="5112" w:type="dxa"/>
            <w:shd w:val="clear" w:color="auto" w:fill="EAF2F6"/>
            <w:tcMar>
              <w:top w:w="100" w:type="dxa"/>
              <w:left w:w="110" w:type="dxa"/>
              <w:bottom w:w="100" w:type="dxa"/>
              <w:right w:w="110" w:type="dxa"/>
            </w:tcMar>
            <w:vAlign w:val="center"/>
          </w:tcPr>
          <w:p w14:paraId="484C18BD" w14:textId="77777777" w:rsidR="002B5862" w:rsidRDefault="00000000">
            <w:pPr>
              <w:spacing w:after="0" w:line="252" w:lineRule="auto"/>
            </w:pPr>
            <w:r>
              <w:rPr>
                <w:sz w:val="17"/>
              </w:rPr>
              <w:t>Independent genetic replication</w:t>
            </w:r>
          </w:p>
        </w:tc>
      </w:tr>
      <w:tr w:rsidR="002B5862" w14:paraId="4FB168AD" w14:textId="77777777">
        <w:trPr>
          <w:cantSplit/>
          <w:jc w:val="center"/>
        </w:trPr>
        <w:tc>
          <w:tcPr>
            <w:tcW w:w="2232" w:type="dxa"/>
            <w:shd w:val="clear" w:color="auto" w:fill="FFFFFF"/>
            <w:tcMar>
              <w:top w:w="100" w:type="dxa"/>
              <w:left w:w="110" w:type="dxa"/>
              <w:bottom w:w="100" w:type="dxa"/>
              <w:right w:w="110" w:type="dxa"/>
            </w:tcMar>
            <w:vAlign w:val="center"/>
          </w:tcPr>
          <w:p w14:paraId="71AEB62A" w14:textId="77777777" w:rsidR="002B5862" w:rsidRDefault="00000000">
            <w:pPr>
              <w:spacing w:after="0" w:line="252" w:lineRule="auto"/>
            </w:pPr>
            <w:r>
              <w:rPr>
                <w:b/>
                <w:sz w:val="17"/>
              </w:rPr>
              <w:t>Maday et al. 2012</w:t>
            </w:r>
          </w:p>
        </w:tc>
        <w:tc>
          <w:tcPr>
            <w:tcW w:w="2951" w:type="dxa"/>
            <w:shd w:val="clear" w:color="auto" w:fill="FFFFFF"/>
            <w:tcMar>
              <w:top w:w="100" w:type="dxa"/>
              <w:left w:w="110" w:type="dxa"/>
              <w:bottom w:w="100" w:type="dxa"/>
              <w:right w:w="110" w:type="dxa"/>
            </w:tcMar>
            <w:vAlign w:val="center"/>
          </w:tcPr>
          <w:p w14:paraId="568F6C02" w14:textId="77777777" w:rsidR="002B5862" w:rsidRDefault="00000000">
            <w:pPr>
              <w:spacing w:after="0" w:line="252" w:lineRule="auto"/>
            </w:pPr>
            <w:r>
              <w:rPr>
                <w:sz w:val="17"/>
              </w:rPr>
              <w:t>Axonal autophagosome dynamics</w:t>
            </w:r>
          </w:p>
        </w:tc>
        <w:tc>
          <w:tcPr>
            <w:tcW w:w="5112" w:type="dxa"/>
            <w:shd w:val="clear" w:color="auto" w:fill="FFFFFF"/>
            <w:tcMar>
              <w:top w:w="100" w:type="dxa"/>
              <w:left w:w="110" w:type="dxa"/>
              <w:bottom w:w="100" w:type="dxa"/>
              <w:right w:w="110" w:type="dxa"/>
            </w:tcMar>
            <w:vAlign w:val="center"/>
          </w:tcPr>
          <w:p w14:paraId="572F6137" w14:textId="77777777" w:rsidR="002B5862" w:rsidRDefault="00000000">
            <w:pPr>
              <w:spacing w:after="0" w:line="252" w:lineRule="auto"/>
            </w:pPr>
            <w:r>
              <w:rPr>
                <w:sz w:val="17"/>
              </w:rPr>
              <w:t>Spatial formation, transport, maturation, and acidification</w:t>
            </w:r>
          </w:p>
        </w:tc>
      </w:tr>
      <w:tr w:rsidR="002B5862" w14:paraId="18F9FCEE" w14:textId="77777777">
        <w:trPr>
          <w:cantSplit/>
          <w:jc w:val="center"/>
        </w:trPr>
        <w:tc>
          <w:tcPr>
            <w:tcW w:w="2232" w:type="dxa"/>
            <w:shd w:val="clear" w:color="auto" w:fill="EAF2F6"/>
            <w:tcMar>
              <w:top w:w="100" w:type="dxa"/>
              <w:left w:w="110" w:type="dxa"/>
              <w:bottom w:w="100" w:type="dxa"/>
              <w:right w:w="110" w:type="dxa"/>
            </w:tcMar>
            <w:vAlign w:val="center"/>
          </w:tcPr>
          <w:p w14:paraId="64098BB0" w14:textId="77777777" w:rsidR="002B5862" w:rsidRDefault="00000000">
            <w:pPr>
              <w:spacing w:after="0" w:line="252" w:lineRule="auto"/>
            </w:pPr>
            <w:r>
              <w:rPr>
                <w:b/>
                <w:sz w:val="17"/>
              </w:rPr>
              <w:t>Inoue et al. 2012</w:t>
            </w:r>
          </w:p>
        </w:tc>
        <w:tc>
          <w:tcPr>
            <w:tcW w:w="2951" w:type="dxa"/>
            <w:shd w:val="clear" w:color="auto" w:fill="EAF2F6"/>
            <w:tcMar>
              <w:top w:w="100" w:type="dxa"/>
              <w:left w:w="110" w:type="dxa"/>
              <w:bottom w:w="100" w:type="dxa"/>
              <w:right w:w="110" w:type="dxa"/>
            </w:tcMar>
            <w:vAlign w:val="center"/>
          </w:tcPr>
          <w:p w14:paraId="5D40CCC8" w14:textId="77777777" w:rsidR="002B5862" w:rsidRDefault="00000000">
            <w:pPr>
              <w:spacing w:after="0" w:line="252" w:lineRule="auto"/>
            </w:pPr>
            <w:r>
              <w:rPr>
                <w:sz w:val="17"/>
              </w:rPr>
              <w:t>Postnatal forebrain Atg7 deletion</w:t>
            </w:r>
          </w:p>
        </w:tc>
        <w:tc>
          <w:tcPr>
            <w:tcW w:w="5112" w:type="dxa"/>
            <w:shd w:val="clear" w:color="auto" w:fill="EAF2F6"/>
            <w:tcMar>
              <w:top w:w="100" w:type="dxa"/>
              <w:left w:w="110" w:type="dxa"/>
              <w:bottom w:w="100" w:type="dxa"/>
              <w:right w:w="110" w:type="dxa"/>
            </w:tcMar>
            <w:vAlign w:val="center"/>
          </w:tcPr>
          <w:p w14:paraId="19FCF970" w14:textId="77777777" w:rsidR="002B5862" w:rsidRDefault="00000000">
            <w:pPr>
              <w:spacing w:after="0" w:line="252" w:lineRule="auto"/>
            </w:pPr>
            <w:r>
              <w:rPr>
                <w:sz w:val="17"/>
              </w:rPr>
              <w:t>Age-dependent phenotype, phospho-tau mechanism, and rescue</w:t>
            </w:r>
          </w:p>
        </w:tc>
      </w:tr>
      <w:tr w:rsidR="002B5862" w14:paraId="4F4E2CEB" w14:textId="77777777">
        <w:trPr>
          <w:cantSplit/>
          <w:jc w:val="center"/>
        </w:trPr>
        <w:tc>
          <w:tcPr>
            <w:tcW w:w="2232" w:type="dxa"/>
            <w:shd w:val="clear" w:color="auto" w:fill="FFFFFF"/>
            <w:tcMar>
              <w:top w:w="100" w:type="dxa"/>
              <w:left w:w="110" w:type="dxa"/>
              <w:bottom w:w="100" w:type="dxa"/>
              <w:right w:w="110" w:type="dxa"/>
            </w:tcMar>
            <w:vAlign w:val="center"/>
          </w:tcPr>
          <w:p w14:paraId="4968F5A0" w14:textId="77777777" w:rsidR="002B5862" w:rsidRDefault="00000000">
            <w:pPr>
              <w:spacing w:after="0" w:line="252" w:lineRule="auto"/>
            </w:pPr>
            <w:r>
              <w:rPr>
                <w:b/>
                <w:sz w:val="17"/>
              </w:rPr>
              <w:t>Tsong et al. 2023</w:t>
            </w:r>
          </w:p>
        </w:tc>
        <w:tc>
          <w:tcPr>
            <w:tcW w:w="2951" w:type="dxa"/>
            <w:shd w:val="clear" w:color="auto" w:fill="FFFFFF"/>
            <w:tcMar>
              <w:top w:w="100" w:type="dxa"/>
              <w:left w:w="110" w:type="dxa"/>
              <w:bottom w:w="100" w:type="dxa"/>
              <w:right w:w="110" w:type="dxa"/>
            </w:tcMar>
            <w:vAlign w:val="center"/>
          </w:tcPr>
          <w:p w14:paraId="5AA3D9AF" w14:textId="77777777" w:rsidR="002B5862" w:rsidRDefault="00000000">
            <w:pPr>
              <w:spacing w:after="0" w:line="252" w:lineRule="auto"/>
            </w:pPr>
            <w:r>
              <w:rPr>
                <w:sz w:val="17"/>
              </w:rPr>
              <w:t>Axonal autophagy across age</w:t>
            </w:r>
          </w:p>
        </w:tc>
        <w:tc>
          <w:tcPr>
            <w:tcW w:w="5112" w:type="dxa"/>
            <w:shd w:val="clear" w:color="auto" w:fill="FFFFFF"/>
            <w:tcMar>
              <w:top w:w="100" w:type="dxa"/>
              <w:left w:w="110" w:type="dxa"/>
              <w:bottom w:w="100" w:type="dxa"/>
              <w:right w:w="110" w:type="dxa"/>
            </w:tcMar>
            <w:vAlign w:val="center"/>
          </w:tcPr>
          <w:p w14:paraId="5AE2F141" w14:textId="77777777" w:rsidR="002B5862" w:rsidRDefault="00000000">
            <w:pPr>
              <w:spacing w:after="0" w:line="252" w:lineRule="auto"/>
            </w:pPr>
            <w:r>
              <w:rPr>
                <w:sz w:val="17"/>
              </w:rPr>
              <w:t>Stage-specific effects of aging</w:t>
            </w:r>
          </w:p>
        </w:tc>
      </w:tr>
    </w:tbl>
    <w:p w14:paraId="051E1934" w14:textId="273091BD" w:rsidR="002B5862" w:rsidRDefault="00000000">
      <w:pPr>
        <w:pStyle w:val="Heading1"/>
      </w:pPr>
      <w:r>
        <w:t>Question</w:t>
      </w:r>
      <w:r w:rsidR="00F149B1">
        <w:t>(s)</w:t>
      </w:r>
      <w:r>
        <w:t xml:space="preserve"> Architecture</w:t>
      </w:r>
    </w:p>
    <w:p w14:paraId="6EB98D98" w14:textId="1211ADA3" w:rsidR="002B5862" w:rsidRDefault="00F149B1">
      <w:pPr>
        <w:spacing w:after="100" w:line="269" w:lineRule="auto"/>
      </w:pPr>
      <w:r>
        <w:t>T</w:t>
      </w:r>
      <w:r w:rsidR="00000000">
        <w:t xml:space="preserve">wo question classes should be reported separately. A system can perform well on atomic retrieval </w:t>
      </w:r>
      <w:r>
        <w:t xml:space="preserve">(labeled </w:t>
      </w:r>
      <w:r w:rsidRPr="00F149B1">
        <w:rPr>
          <w:i/>
          <w:iCs/>
        </w:rPr>
        <w:t>Type A</w:t>
      </w:r>
      <w:r>
        <w:t xml:space="preserve">) </w:t>
      </w:r>
      <w:r w:rsidR="00000000">
        <w:t>while failing to combine compatible evidence, preserve qualifiers, or recognize the limits of causal claims.</w:t>
      </w:r>
    </w:p>
    <w:tbl>
      <w:tblPr>
        <w:tblW w:w="0" w:type="auto"/>
        <w:jc w:val="center"/>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Layout w:type="fixed"/>
        <w:tblLook w:val="04A0" w:firstRow="1" w:lastRow="0" w:firstColumn="1" w:lastColumn="0" w:noHBand="0" w:noVBand="1"/>
      </w:tblPr>
      <w:tblGrid>
        <w:gridCol w:w="1512"/>
        <w:gridCol w:w="2448"/>
        <w:gridCol w:w="3384"/>
        <w:gridCol w:w="2951"/>
      </w:tblGrid>
      <w:tr w:rsidR="002B5862" w14:paraId="6BD09B6F" w14:textId="77777777">
        <w:trPr>
          <w:cantSplit/>
          <w:tblHeader/>
          <w:jc w:val="center"/>
        </w:trPr>
        <w:tc>
          <w:tcPr>
            <w:tcW w:w="1512" w:type="dxa"/>
            <w:shd w:val="clear" w:color="auto" w:fill="18324A"/>
            <w:tcMar>
              <w:top w:w="100" w:type="dxa"/>
              <w:left w:w="110" w:type="dxa"/>
              <w:bottom w:w="100" w:type="dxa"/>
              <w:right w:w="110" w:type="dxa"/>
            </w:tcMar>
            <w:vAlign w:val="center"/>
          </w:tcPr>
          <w:p w14:paraId="5F79F8C7" w14:textId="77777777" w:rsidR="002B5862" w:rsidRDefault="00000000">
            <w:pPr>
              <w:spacing w:after="0" w:line="252" w:lineRule="auto"/>
              <w:jc w:val="center"/>
            </w:pPr>
            <w:r>
              <w:rPr>
                <w:b/>
                <w:color w:val="FFFFFF"/>
                <w:sz w:val="17"/>
              </w:rPr>
              <w:t>Type</w:t>
            </w:r>
          </w:p>
        </w:tc>
        <w:tc>
          <w:tcPr>
            <w:tcW w:w="2448" w:type="dxa"/>
            <w:shd w:val="clear" w:color="auto" w:fill="18324A"/>
            <w:tcMar>
              <w:top w:w="100" w:type="dxa"/>
              <w:left w:w="110" w:type="dxa"/>
              <w:bottom w:w="100" w:type="dxa"/>
              <w:right w:w="110" w:type="dxa"/>
            </w:tcMar>
            <w:vAlign w:val="center"/>
          </w:tcPr>
          <w:p w14:paraId="6549CE2C" w14:textId="77777777" w:rsidR="002B5862" w:rsidRDefault="00000000">
            <w:pPr>
              <w:spacing w:after="0" w:line="252" w:lineRule="auto"/>
              <w:jc w:val="center"/>
            </w:pPr>
            <w:r>
              <w:rPr>
                <w:b/>
                <w:color w:val="FFFFFF"/>
                <w:sz w:val="17"/>
              </w:rPr>
              <w:t>Purpose</w:t>
            </w:r>
          </w:p>
        </w:tc>
        <w:tc>
          <w:tcPr>
            <w:tcW w:w="3384" w:type="dxa"/>
            <w:shd w:val="clear" w:color="auto" w:fill="18324A"/>
            <w:tcMar>
              <w:top w:w="100" w:type="dxa"/>
              <w:left w:w="110" w:type="dxa"/>
              <w:bottom w:w="100" w:type="dxa"/>
              <w:right w:w="110" w:type="dxa"/>
            </w:tcMar>
            <w:vAlign w:val="center"/>
          </w:tcPr>
          <w:p w14:paraId="5B774CB1" w14:textId="77777777" w:rsidR="002B5862" w:rsidRDefault="00000000">
            <w:pPr>
              <w:spacing w:after="0" w:line="252" w:lineRule="auto"/>
              <w:jc w:val="center"/>
            </w:pPr>
            <w:r>
              <w:rPr>
                <w:b/>
                <w:color w:val="FFFFFF"/>
                <w:sz w:val="17"/>
              </w:rPr>
              <w:t>Evidence requirement</w:t>
            </w:r>
          </w:p>
        </w:tc>
        <w:tc>
          <w:tcPr>
            <w:tcW w:w="2951" w:type="dxa"/>
            <w:shd w:val="clear" w:color="auto" w:fill="18324A"/>
            <w:tcMar>
              <w:top w:w="100" w:type="dxa"/>
              <w:left w:w="110" w:type="dxa"/>
              <w:bottom w:w="100" w:type="dxa"/>
              <w:right w:w="110" w:type="dxa"/>
            </w:tcMar>
            <w:vAlign w:val="center"/>
          </w:tcPr>
          <w:p w14:paraId="0AC612EC" w14:textId="77777777" w:rsidR="002B5862" w:rsidRDefault="00000000">
            <w:pPr>
              <w:spacing w:after="0" w:line="252" w:lineRule="auto"/>
              <w:jc w:val="center"/>
            </w:pPr>
            <w:r>
              <w:rPr>
                <w:b/>
                <w:color w:val="FFFFFF"/>
                <w:sz w:val="17"/>
              </w:rPr>
              <w:t>Primary failure signal</w:t>
            </w:r>
          </w:p>
        </w:tc>
      </w:tr>
      <w:tr w:rsidR="002B5862" w14:paraId="70AA66EB" w14:textId="77777777">
        <w:trPr>
          <w:cantSplit/>
          <w:jc w:val="center"/>
        </w:trPr>
        <w:tc>
          <w:tcPr>
            <w:tcW w:w="1512" w:type="dxa"/>
            <w:shd w:val="clear" w:color="auto" w:fill="FFFFFF"/>
            <w:tcMar>
              <w:top w:w="100" w:type="dxa"/>
              <w:left w:w="110" w:type="dxa"/>
              <w:bottom w:w="100" w:type="dxa"/>
              <w:right w:w="110" w:type="dxa"/>
            </w:tcMar>
            <w:vAlign w:val="center"/>
          </w:tcPr>
          <w:p w14:paraId="3CE7D7E7" w14:textId="77777777" w:rsidR="002B5862" w:rsidRDefault="00000000">
            <w:pPr>
              <w:spacing w:after="0" w:line="252" w:lineRule="auto"/>
              <w:jc w:val="center"/>
            </w:pPr>
            <w:r>
              <w:rPr>
                <w:b/>
                <w:sz w:val="17"/>
              </w:rPr>
              <w:t>A</w:t>
            </w:r>
            <w:r>
              <w:rPr>
                <w:b/>
                <w:sz w:val="17"/>
              </w:rPr>
              <w:br/>
              <w:t>Atomic retrieval</w:t>
            </w:r>
          </w:p>
        </w:tc>
        <w:tc>
          <w:tcPr>
            <w:tcW w:w="2448" w:type="dxa"/>
            <w:shd w:val="clear" w:color="auto" w:fill="FFFFFF"/>
            <w:tcMar>
              <w:top w:w="100" w:type="dxa"/>
              <w:left w:w="110" w:type="dxa"/>
              <w:bottom w:w="100" w:type="dxa"/>
              <w:right w:w="110" w:type="dxa"/>
            </w:tcMar>
            <w:vAlign w:val="center"/>
          </w:tcPr>
          <w:p w14:paraId="25528605" w14:textId="77777777" w:rsidR="002B5862" w:rsidRDefault="00000000">
            <w:pPr>
              <w:spacing w:after="0" w:line="252" w:lineRule="auto"/>
            </w:pPr>
            <w:r>
              <w:rPr>
                <w:sz w:val="17"/>
              </w:rPr>
              <w:t>Find one explicit fact</w:t>
            </w:r>
          </w:p>
        </w:tc>
        <w:tc>
          <w:tcPr>
            <w:tcW w:w="3384" w:type="dxa"/>
            <w:shd w:val="clear" w:color="auto" w:fill="FFFFFF"/>
            <w:tcMar>
              <w:top w:w="100" w:type="dxa"/>
              <w:left w:w="110" w:type="dxa"/>
              <w:bottom w:w="100" w:type="dxa"/>
              <w:right w:w="110" w:type="dxa"/>
            </w:tcMar>
            <w:vAlign w:val="center"/>
          </w:tcPr>
          <w:p w14:paraId="69EC4422" w14:textId="77777777" w:rsidR="002B5862" w:rsidRDefault="00000000">
            <w:pPr>
              <w:spacing w:after="0" w:line="252" w:lineRule="auto"/>
            </w:pPr>
            <w:r>
              <w:rPr>
                <w:sz w:val="17"/>
              </w:rPr>
              <w:t>One sentence or tightly bounded passage from one paper</w:t>
            </w:r>
          </w:p>
        </w:tc>
        <w:tc>
          <w:tcPr>
            <w:tcW w:w="2951" w:type="dxa"/>
            <w:shd w:val="clear" w:color="auto" w:fill="FFFFFF"/>
            <w:tcMar>
              <w:top w:w="100" w:type="dxa"/>
              <w:left w:w="110" w:type="dxa"/>
              <w:bottom w:w="100" w:type="dxa"/>
              <w:right w:w="110" w:type="dxa"/>
            </w:tcMar>
            <w:vAlign w:val="center"/>
          </w:tcPr>
          <w:p w14:paraId="27FEAFC8" w14:textId="77777777" w:rsidR="002B5862" w:rsidRDefault="00000000">
            <w:pPr>
              <w:spacing w:after="0" w:line="252" w:lineRule="auto"/>
            </w:pPr>
            <w:r>
              <w:rPr>
                <w:sz w:val="17"/>
              </w:rPr>
              <w:t>Wrong entity, relation, value, or citation</w:t>
            </w:r>
          </w:p>
        </w:tc>
      </w:tr>
      <w:tr w:rsidR="002B5862" w14:paraId="6BDA7701" w14:textId="77777777">
        <w:trPr>
          <w:cantSplit/>
          <w:jc w:val="center"/>
        </w:trPr>
        <w:tc>
          <w:tcPr>
            <w:tcW w:w="1512" w:type="dxa"/>
            <w:shd w:val="clear" w:color="auto" w:fill="EAF2F6"/>
            <w:tcMar>
              <w:top w:w="100" w:type="dxa"/>
              <w:left w:w="110" w:type="dxa"/>
              <w:bottom w:w="100" w:type="dxa"/>
              <w:right w:w="110" w:type="dxa"/>
            </w:tcMar>
            <w:vAlign w:val="center"/>
          </w:tcPr>
          <w:p w14:paraId="543B285A" w14:textId="77777777" w:rsidR="002B5862" w:rsidRDefault="00000000">
            <w:pPr>
              <w:spacing w:after="0" w:line="252" w:lineRule="auto"/>
              <w:jc w:val="center"/>
            </w:pPr>
            <w:r>
              <w:rPr>
                <w:b/>
                <w:sz w:val="17"/>
              </w:rPr>
              <w:t>B</w:t>
            </w:r>
            <w:r>
              <w:rPr>
                <w:b/>
                <w:sz w:val="17"/>
              </w:rPr>
              <w:br/>
              <w:t>Multi-paper synthesis</w:t>
            </w:r>
          </w:p>
        </w:tc>
        <w:tc>
          <w:tcPr>
            <w:tcW w:w="2448" w:type="dxa"/>
            <w:shd w:val="clear" w:color="auto" w:fill="EAF2F6"/>
            <w:tcMar>
              <w:top w:w="100" w:type="dxa"/>
              <w:left w:w="110" w:type="dxa"/>
              <w:bottom w:w="100" w:type="dxa"/>
              <w:right w:w="110" w:type="dxa"/>
            </w:tcMar>
            <w:vAlign w:val="center"/>
          </w:tcPr>
          <w:p w14:paraId="7C87DC95" w14:textId="77777777" w:rsidR="002B5862" w:rsidRDefault="00000000">
            <w:pPr>
              <w:spacing w:after="0" w:line="252" w:lineRule="auto"/>
            </w:pPr>
            <w:r>
              <w:rPr>
                <w:sz w:val="17"/>
              </w:rPr>
              <w:t>Construct and qualify a scientific conclusion</w:t>
            </w:r>
          </w:p>
        </w:tc>
        <w:tc>
          <w:tcPr>
            <w:tcW w:w="3384" w:type="dxa"/>
            <w:shd w:val="clear" w:color="auto" w:fill="EAF2F6"/>
            <w:tcMar>
              <w:top w:w="100" w:type="dxa"/>
              <w:left w:w="110" w:type="dxa"/>
              <w:bottom w:w="100" w:type="dxa"/>
              <w:right w:w="110" w:type="dxa"/>
            </w:tcMar>
            <w:vAlign w:val="center"/>
          </w:tcPr>
          <w:p w14:paraId="032642CF" w14:textId="77777777" w:rsidR="002B5862" w:rsidRDefault="00000000">
            <w:pPr>
              <w:spacing w:after="0" w:line="252" w:lineRule="auto"/>
            </w:pPr>
            <w:r>
              <w:rPr>
                <w:sz w:val="17"/>
              </w:rPr>
              <w:t>Multiple evidence units spanning at least two papers</w:t>
            </w:r>
          </w:p>
        </w:tc>
        <w:tc>
          <w:tcPr>
            <w:tcW w:w="2951" w:type="dxa"/>
            <w:shd w:val="clear" w:color="auto" w:fill="EAF2F6"/>
            <w:tcMar>
              <w:top w:w="100" w:type="dxa"/>
              <w:left w:w="110" w:type="dxa"/>
              <w:bottom w:w="100" w:type="dxa"/>
              <w:right w:w="110" w:type="dxa"/>
            </w:tcMar>
            <w:vAlign w:val="center"/>
          </w:tcPr>
          <w:p w14:paraId="6DDDAA48" w14:textId="77777777" w:rsidR="002B5862" w:rsidRDefault="00000000">
            <w:pPr>
              <w:spacing w:after="0" w:line="252" w:lineRule="auto"/>
            </w:pPr>
            <w:r>
              <w:rPr>
                <w:sz w:val="17"/>
              </w:rPr>
              <w:t>Incomplete synthesis, lost context, or unsupported generalization</w:t>
            </w:r>
          </w:p>
        </w:tc>
      </w:tr>
    </w:tbl>
    <w:p w14:paraId="37145308" w14:textId="77777777" w:rsidR="002B5862" w:rsidRDefault="00000000">
      <w:r>
        <w:br w:type="page"/>
      </w:r>
    </w:p>
    <w:p w14:paraId="21C22284" w14:textId="5644BE34" w:rsidR="002B5862" w:rsidRDefault="00000000">
      <w:pPr>
        <w:pStyle w:val="Heading1"/>
      </w:pPr>
      <w:r>
        <w:lastRenderedPageBreak/>
        <w:t>Type A</w:t>
      </w:r>
      <w:r w:rsidR="00616F51">
        <w:t>:</w:t>
      </w:r>
      <w:r>
        <w:t xml:space="preserve"> Atomic Retrieval Questions</w:t>
      </w:r>
    </w:p>
    <w:p w14:paraId="2FB2D5CE" w14:textId="77777777" w:rsidR="002B5862" w:rsidRDefault="00000000">
      <w:pPr>
        <w:spacing w:after="100" w:line="269" w:lineRule="auto"/>
      </w:pPr>
      <w:r>
        <w:t>Each question can be answered from one explicit sentence or result statement. Full credit requires the exact fact, the correct source, and no unnecessary extrapolation.</w:t>
      </w:r>
    </w:p>
    <w:p w14:paraId="7AC10DFC" w14:textId="77777777" w:rsidR="002B5862" w:rsidRDefault="00000000">
      <w:pPr>
        <w:keepNext/>
        <w:spacing w:before="60" w:after="80"/>
      </w:pPr>
      <w:r>
        <w:rPr>
          <w:b/>
          <w:color w:val="18324A"/>
          <w:sz w:val="18"/>
        </w:rPr>
        <w:t>Table 1  Single sentence retrieval questions and reference answers</w:t>
      </w:r>
    </w:p>
    <w:tbl>
      <w:tblPr>
        <w:tblW w:w="0" w:type="auto"/>
        <w:jc w:val="center"/>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Layout w:type="fixed"/>
        <w:tblLook w:val="04A0" w:firstRow="1" w:lastRow="0" w:firstColumn="1" w:lastColumn="0" w:noHBand="0" w:noVBand="1"/>
      </w:tblPr>
      <w:tblGrid>
        <w:gridCol w:w="604"/>
        <w:gridCol w:w="3096"/>
        <w:gridCol w:w="3816"/>
        <w:gridCol w:w="2779"/>
      </w:tblGrid>
      <w:tr w:rsidR="002B5862" w14:paraId="19D9A12B" w14:textId="77777777">
        <w:trPr>
          <w:cantSplit/>
          <w:tblHeader/>
          <w:jc w:val="center"/>
        </w:trPr>
        <w:tc>
          <w:tcPr>
            <w:tcW w:w="604" w:type="dxa"/>
            <w:shd w:val="clear" w:color="auto" w:fill="18324A"/>
            <w:tcMar>
              <w:top w:w="100" w:type="dxa"/>
              <w:left w:w="110" w:type="dxa"/>
              <w:bottom w:w="100" w:type="dxa"/>
              <w:right w:w="110" w:type="dxa"/>
            </w:tcMar>
            <w:vAlign w:val="center"/>
          </w:tcPr>
          <w:p w14:paraId="5B4267B1" w14:textId="77777777" w:rsidR="002B5862" w:rsidRDefault="00000000">
            <w:pPr>
              <w:spacing w:after="0" w:line="252" w:lineRule="auto"/>
              <w:jc w:val="center"/>
            </w:pPr>
            <w:r>
              <w:rPr>
                <w:b/>
                <w:color w:val="FFFFFF"/>
                <w:sz w:val="17"/>
              </w:rPr>
              <w:t>ID</w:t>
            </w:r>
          </w:p>
        </w:tc>
        <w:tc>
          <w:tcPr>
            <w:tcW w:w="3096" w:type="dxa"/>
            <w:shd w:val="clear" w:color="auto" w:fill="18324A"/>
            <w:tcMar>
              <w:top w:w="100" w:type="dxa"/>
              <w:left w:w="110" w:type="dxa"/>
              <w:bottom w:w="100" w:type="dxa"/>
              <w:right w:w="110" w:type="dxa"/>
            </w:tcMar>
            <w:vAlign w:val="center"/>
          </w:tcPr>
          <w:p w14:paraId="1D90E7EA" w14:textId="77777777" w:rsidR="002B5862" w:rsidRDefault="00000000">
            <w:pPr>
              <w:spacing w:after="0" w:line="252" w:lineRule="auto"/>
              <w:jc w:val="center"/>
            </w:pPr>
            <w:r>
              <w:rPr>
                <w:b/>
                <w:color w:val="FFFFFF"/>
                <w:sz w:val="17"/>
              </w:rPr>
              <w:t>Question</w:t>
            </w:r>
          </w:p>
        </w:tc>
        <w:tc>
          <w:tcPr>
            <w:tcW w:w="3816" w:type="dxa"/>
            <w:shd w:val="clear" w:color="auto" w:fill="18324A"/>
            <w:tcMar>
              <w:top w:w="100" w:type="dxa"/>
              <w:left w:w="110" w:type="dxa"/>
              <w:bottom w:w="100" w:type="dxa"/>
              <w:right w:w="110" w:type="dxa"/>
            </w:tcMar>
            <w:vAlign w:val="center"/>
          </w:tcPr>
          <w:p w14:paraId="5B1DC416" w14:textId="77777777" w:rsidR="002B5862" w:rsidRDefault="00000000">
            <w:pPr>
              <w:spacing w:after="0" w:line="252" w:lineRule="auto"/>
              <w:jc w:val="center"/>
            </w:pPr>
            <w:r>
              <w:rPr>
                <w:b/>
                <w:color w:val="FFFFFF"/>
                <w:sz w:val="17"/>
              </w:rPr>
              <w:t>Reference answer</w:t>
            </w:r>
          </w:p>
        </w:tc>
        <w:tc>
          <w:tcPr>
            <w:tcW w:w="2779" w:type="dxa"/>
            <w:shd w:val="clear" w:color="auto" w:fill="18324A"/>
            <w:tcMar>
              <w:top w:w="100" w:type="dxa"/>
              <w:left w:w="110" w:type="dxa"/>
              <w:bottom w:w="100" w:type="dxa"/>
              <w:right w:w="110" w:type="dxa"/>
            </w:tcMar>
            <w:vAlign w:val="center"/>
          </w:tcPr>
          <w:p w14:paraId="1FF87628" w14:textId="77777777" w:rsidR="002B5862" w:rsidRDefault="00000000">
            <w:pPr>
              <w:spacing w:after="0" w:line="252" w:lineRule="auto"/>
              <w:jc w:val="center"/>
            </w:pPr>
            <w:r>
              <w:rPr>
                <w:b/>
                <w:color w:val="FFFFFF"/>
                <w:sz w:val="17"/>
              </w:rPr>
              <w:t>Single source evidence</w:t>
            </w:r>
          </w:p>
        </w:tc>
      </w:tr>
      <w:tr w:rsidR="002B5862" w14:paraId="385D986F" w14:textId="77777777">
        <w:trPr>
          <w:cantSplit/>
          <w:jc w:val="center"/>
        </w:trPr>
        <w:tc>
          <w:tcPr>
            <w:tcW w:w="604" w:type="dxa"/>
            <w:shd w:val="clear" w:color="auto" w:fill="FFFFFF"/>
            <w:tcMar>
              <w:top w:w="100" w:type="dxa"/>
              <w:left w:w="110" w:type="dxa"/>
              <w:bottom w:w="100" w:type="dxa"/>
              <w:right w:w="110" w:type="dxa"/>
            </w:tcMar>
            <w:vAlign w:val="center"/>
          </w:tcPr>
          <w:p w14:paraId="4D08B0C8" w14:textId="77777777" w:rsidR="002B5862" w:rsidRDefault="00000000">
            <w:pPr>
              <w:spacing w:after="0" w:line="252" w:lineRule="auto"/>
              <w:jc w:val="center"/>
            </w:pPr>
            <w:r>
              <w:rPr>
                <w:b/>
                <w:sz w:val="17"/>
              </w:rPr>
              <w:t>A1</w:t>
            </w:r>
          </w:p>
        </w:tc>
        <w:tc>
          <w:tcPr>
            <w:tcW w:w="3096" w:type="dxa"/>
            <w:shd w:val="clear" w:color="auto" w:fill="FFFFFF"/>
            <w:tcMar>
              <w:top w:w="100" w:type="dxa"/>
              <w:left w:w="110" w:type="dxa"/>
              <w:bottom w:w="100" w:type="dxa"/>
              <w:right w:w="110" w:type="dxa"/>
            </w:tcMar>
            <w:vAlign w:val="center"/>
          </w:tcPr>
          <w:p w14:paraId="6172D167" w14:textId="77777777" w:rsidR="002B5862" w:rsidRDefault="00000000">
            <w:pPr>
              <w:spacing w:after="0" w:line="252" w:lineRule="auto"/>
            </w:pPr>
            <w:r>
              <w:rPr>
                <w:sz w:val="17"/>
              </w:rPr>
              <w:t>Which autophagy-related gene was conditionally deleted in neural cells in the Hara et al. study?</w:t>
            </w:r>
          </w:p>
        </w:tc>
        <w:tc>
          <w:tcPr>
            <w:tcW w:w="3816" w:type="dxa"/>
            <w:shd w:val="clear" w:color="auto" w:fill="FFFFFF"/>
            <w:tcMar>
              <w:top w:w="100" w:type="dxa"/>
              <w:left w:w="110" w:type="dxa"/>
              <w:bottom w:w="100" w:type="dxa"/>
              <w:right w:w="110" w:type="dxa"/>
            </w:tcMar>
            <w:vAlign w:val="center"/>
          </w:tcPr>
          <w:p w14:paraId="0CD85A13" w14:textId="77777777" w:rsidR="002B5862" w:rsidRDefault="00000000">
            <w:pPr>
              <w:spacing w:after="0" w:line="252" w:lineRule="auto"/>
            </w:pPr>
            <w:r>
              <w:rPr>
                <w:sz w:val="17"/>
              </w:rPr>
              <w:t>Atg5 was deleted in neural cells.</w:t>
            </w:r>
          </w:p>
        </w:tc>
        <w:tc>
          <w:tcPr>
            <w:tcW w:w="2779" w:type="dxa"/>
            <w:shd w:val="clear" w:color="auto" w:fill="FFFFFF"/>
            <w:tcMar>
              <w:top w:w="100" w:type="dxa"/>
              <w:left w:w="110" w:type="dxa"/>
              <w:bottom w:w="100" w:type="dxa"/>
              <w:right w:w="110" w:type="dxa"/>
            </w:tcMar>
            <w:vAlign w:val="center"/>
          </w:tcPr>
          <w:p w14:paraId="630455D4" w14:textId="77777777" w:rsidR="002B5862" w:rsidRDefault="00000000">
            <w:pPr>
              <w:spacing w:after="0" w:line="252" w:lineRule="auto"/>
            </w:pPr>
            <w:r>
              <w:rPr>
                <w:sz w:val="17"/>
              </w:rPr>
              <w:t>Hara et al. 2006 abstract and title-level study description.</w:t>
            </w:r>
          </w:p>
        </w:tc>
      </w:tr>
      <w:tr w:rsidR="002B5862" w14:paraId="68F649F4" w14:textId="77777777">
        <w:trPr>
          <w:cantSplit/>
          <w:jc w:val="center"/>
        </w:trPr>
        <w:tc>
          <w:tcPr>
            <w:tcW w:w="604" w:type="dxa"/>
            <w:shd w:val="clear" w:color="auto" w:fill="EAF2F6"/>
            <w:tcMar>
              <w:top w:w="100" w:type="dxa"/>
              <w:left w:w="110" w:type="dxa"/>
              <w:bottom w:w="100" w:type="dxa"/>
              <w:right w:w="110" w:type="dxa"/>
            </w:tcMar>
            <w:vAlign w:val="center"/>
          </w:tcPr>
          <w:p w14:paraId="79AD9BCF" w14:textId="77777777" w:rsidR="002B5862" w:rsidRDefault="00000000">
            <w:pPr>
              <w:spacing w:after="0" w:line="252" w:lineRule="auto"/>
              <w:jc w:val="center"/>
            </w:pPr>
            <w:r>
              <w:rPr>
                <w:b/>
                <w:sz w:val="17"/>
              </w:rPr>
              <w:t>A2</w:t>
            </w:r>
          </w:p>
        </w:tc>
        <w:tc>
          <w:tcPr>
            <w:tcW w:w="3096" w:type="dxa"/>
            <w:shd w:val="clear" w:color="auto" w:fill="EAF2F6"/>
            <w:tcMar>
              <w:top w:w="100" w:type="dxa"/>
              <w:left w:w="110" w:type="dxa"/>
              <w:bottom w:w="100" w:type="dxa"/>
              <w:right w:w="110" w:type="dxa"/>
            </w:tcMar>
            <w:vAlign w:val="center"/>
          </w:tcPr>
          <w:p w14:paraId="143F4AF7" w14:textId="77777777" w:rsidR="002B5862" w:rsidRDefault="00000000">
            <w:pPr>
              <w:spacing w:after="0" w:line="252" w:lineRule="auto"/>
            </w:pPr>
            <w:r>
              <w:rPr>
                <w:sz w:val="17"/>
              </w:rPr>
              <w:t>Where do autophagosomes preferentially initiate in the primary-neuron system studied by Maday et al.?</w:t>
            </w:r>
          </w:p>
        </w:tc>
        <w:tc>
          <w:tcPr>
            <w:tcW w:w="3816" w:type="dxa"/>
            <w:shd w:val="clear" w:color="auto" w:fill="EAF2F6"/>
            <w:tcMar>
              <w:top w:w="100" w:type="dxa"/>
              <w:left w:w="110" w:type="dxa"/>
              <w:bottom w:w="100" w:type="dxa"/>
              <w:right w:w="110" w:type="dxa"/>
            </w:tcMar>
            <w:vAlign w:val="center"/>
          </w:tcPr>
          <w:p w14:paraId="5B2B9575" w14:textId="77777777" w:rsidR="002B5862" w:rsidRDefault="00000000">
            <w:pPr>
              <w:spacing w:after="0" w:line="252" w:lineRule="auto"/>
            </w:pPr>
            <w:r>
              <w:rPr>
                <w:sz w:val="17"/>
              </w:rPr>
              <w:t>They preferentially initiate in the distal axon, near the neurite or axonal tip.</w:t>
            </w:r>
          </w:p>
        </w:tc>
        <w:tc>
          <w:tcPr>
            <w:tcW w:w="2779" w:type="dxa"/>
            <w:shd w:val="clear" w:color="auto" w:fill="EAF2F6"/>
            <w:tcMar>
              <w:top w:w="100" w:type="dxa"/>
              <w:left w:w="110" w:type="dxa"/>
              <w:bottom w:w="100" w:type="dxa"/>
              <w:right w:w="110" w:type="dxa"/>
            </w:tcMar>
            <w:vAlign w:val="center"/>
          </w:tcPr>
          <w:p w14:paraId="32119E65" w14:textId="77777777" w:rsidR="002B5862" w:rsidRDefault="00000000">
            <w:pPr>
              <w:spacing w:after="0" w:line="252" w:lineRule="auto"/>
            </w:pPr>
            <w:r>
              <w:rPr>
                <w:sz w:val="17"/>
              </w:rPr>
              <w:t>Maday et al. 2012 summary statement describing distal initiation.</w:t>
            </w:r>
          </w:p>
        </w:tc>
      </w:tr>
      <w:tr w:rsidR="002B5862" w14:paraId="373B5399" w14:textId="77777777">
        <w:trPr>
          <w:cantSplit/>
          <w:jc w:val="center"/>
        </w:trPr>
        <w:tc>
          <w:tcPr>
            <w:tcW w:w="604" w:type="dxa"/>
            <w:shd w:val="clear" w:color="auto" w:fill="FFFFFF"/>
            <w:tcMar>
              <w:top w:w="100" w:type="dxa"/>
              <w:left w:w="110" w:type="dxa"/>
              <w:bottom w:w="100" w:type="dxa"/>
              <w:right w:w="110" w:type="dxa"/>
            </w:tcMar>
            <w:vAlign w:val="center"/>
          </w:tcPr>
          <w:p w14:paraId="4B7FF77F" w14:textId="77777777" w:rsidR="002B5862" w:rsidRDefault="00000000">
            <w:pPr>
              <w:spacing w:after="0" w:line="252" w:lineRule="auto"/>
              <w:jc w:val="center"/>
            </w:pPr>
            <w:r>
              <w:rPr>
                <w:b/>
                <w:sz w:val="17"/>
              </w:rPr>
              <w:t>A3</w:t>
            </w:r>
          </w:p>
        </w:tc>
        <w:tc>
          <w:tcPr>
            <w:tcW w:w="3096" w:type="dxa"/>
            <w:shd w:val="clear" w:color="auto" w:fill="FFFFFF"/>
            <w:tcMar>
              <w:top w:w="100" w:type="dxa"/>
              <w:left w:w="110" w:type="dxa"/>
              <w:bottom w:w="100" w:type="dxa"/>
              <w:right w:w="110" w:type="dxa"/>
            </w:tcMar>
            <w:vAlign w:val="center"/>
          </w:tcPr>
          <w:p w14:paraId="0746A585" w14:textId="77777777" w:rsidR="002B5862" w:rsidRDefault="00000000">
            <w:pPr>
              <w:spacing w:after="0" w:line="252" w:lineRule="auto"/>
            </w:pPr>
            <w:r>
              <w:rPr>
                <w:sz w:val="17"/>
              </w:rPr>
              <w:t>How did the rate of autophagosome formation change between young and advanced-aged neurons in Tsong et al.?</w:t>
            </w:r>
          </w:p>
        </w:tc>
        <w:tc>
          <w:tcPr>
            <w:tcW w:w="3816" w:type="dxa"/>
            <w:shd w:val="clear" w:color="auto" w:fill="FFFFFF"/>
            <w:tcMar>
              <w:top w:w="100" w:type="dxa"/>
              <w:left w:w="110" w:type="dxa"/>
              <w:bottom w:w="100" w:type="dxa"/>
              <w:right w:w="110" w:type="dxa"/>
            </w:tcMar>
            <w:vAlign w:val="center"/>
          </w:tcPr>
          <w:p w14:paraId="3C48A5C0" w14:textId="77777777" w:rsidR="002B5862" w:rsidRDefault="00000000">
            <w:pPr>
              <w:spacing w:after="0" w:line="252" w:lineRule="auto"/>
            </w:pPr>
            <w:r>
              <w:rPr>
                <w:sz w:val="17"/>
              </w:rPr>
              <w:t>It decreased markedly, with an approximately 70 percent reduction between neurons from young and advanced-aged mice in the reported DRG-neuron assay.</w:t>
            </w:r>
          </w:p>
        </w:tc>
        <w:tc>
          <w:tcPr>
            <w:tcW w:w="2779" w:type="dxa"/>
            <w:shd w:val="clear" w:color="auto" w:fill="FFFFFF"/>
            <w:tcMar>
              <w:top w:w="100" w:type="dxa"/>
              <w:left w:w="110" w:type="dxa"/>
              <w:bottom w:w="100" w:type="dxa"/>
              <w:right w:w="110" w:type="dxa"/>
            </w:tcMar>
            <w:vAlign w:val="center"/>
          </w:tcPr>
          <w:p w14:paraId="4A0B86B3" w14:textId="77777777" w:rsidR="002B5862" w:rsidRDefault="00000000">
            <w:pPr>
              <w:spacing w:after="0" w:line="252" w:lineRule="auto"/>
            </w:pPr>
            <w:r>
              <w:rPr>
                <w:sz w:val="17"/>
              </w:rPr>
              <w:t>Tsong et al. 2023 results statement for distal autophagosome biogenesis.</w:t>
            </w:r>
          </w:p>
        </w:tc>
      </w:tr>
    </w:tbl>
    <w:p w14:paraId="7A02F4DD" w14:textId="2641ADF4" w:rsidR="002B5862" w:rsidRPr="002A42EB" w:rsidRDefault="00000000">
      <w:pPr>
        <w:pStyle w:val="Heading1"/>
        <w:rPr>
          <w:lang w:val="fr-FR"/>
        </w:rPr>
      </w:pPr>
      <w:r w:rsidRPr="002A42EB">
        <w:rPr>
          <w:lang w:val="fr-FR"/>
        </w:rPr>
        <w:t xml:space="preserve">Type </w:t>
      </w:r>
      <w:proofErr w:type="gramStart"/>
      <w:r w:rsidRPr="002A42EB">
        <w:rPr>
          <w:lang w:val="fr-FR"/>
        </w:rPr>
        <w:t>B</w:t>
      </w:r>
      <w:r w:rsidR="00616F51">
        <w:rPr>
          <w:lang w:val="fr-FR"/>
        </w:rPr>
        <w:t>:</w:t>
      </w:r>
      <w:proofErr w:type="gramEnd"/>
      <w:r w:rsidRPr="002A42EB">
        <w:rPr>
          <w:lang w:val="fr-FR"/>
        </w:rPr>
        <w:t xml:space="preserve"> Multi Paper Synthesis Questions</w:t>
      </w:r>
    </w:p>
    <w:p w14:paraId="5E78ABC8" w14:textId="77777777" w:rsidR="002B5862" w:rsidRDefault="00000000">
      <w:pPr>
        <w:spacing w:after="100" w:line="269" w:lineRule="auto"/>
      </w:pPr>
      <w:r>
        <w:t>These questions require several evidence units and a valid reasoning path across papers. A correct fragment from one paper is not a complete answer.</w:t>
      </w:r>
    </w:p>
    <w:p w14:paraId="56630E44" w14:textId="77777777" w:rsidR="002B5862" w:rsidRDefault="00000000">
      <w:pPr>
        <w:keepNext/>
        <w:spacing w:before="60" w:after="80"/>
      </w:pPr>
      <w:r>
        <w:rPr>
          <w:b/>
          <w:color w:val="18324A"/>
          <w:sz w:val="18"/>
        </w:rPr>
        <w:t>Table 2  Multi-paper synthesis questions and reference answers</w:t>
      </w:r>
    </w:p>
    <w:tbl>
      <w:tblPr>
        <w:tblW w:w="0" w:type="auto"/>
        <w:jc w:val="center"/>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Layout w:type="fixed"/>
        <w:tblLook w:val="04A0" w:firstRow="1" w:lastRow="0" w:firstColumn="1" w:lastColumn="0" w:noHBand="0" w:noVBand="1"/>
      </w:tblPr>
      <w:tblGrid>
        <w:gridCol w:w="604"/>
        <w:gridCol w:w="3067"/>
        <w:gridCol w:w="6623"/>
      </w:tblGrid>
      <w:tr w:rsidR="002B5862" w14:paraId="3EE89E13" w14:textId="77777777">
        <w:trPr>
          <w:cantSplit/>
          <w:tblHeader/>
          <w:jc w:val="center"/>
        </w:trPr>
        <w:tc>
          <w:tcPr>
            <w:tcW w:w="604" w:type="dxa"/>
            <w:shd w:val="clear" w:color="auto" w:fill="18324A"/>
            <w:tcMar>
              <w:top w:w="100" w:type="dxa"/>
              <w:left w:w="110" w:type="dxa"/>
              <w:bottom w:w="100" w:type="dxa"/>
              <w:right w:w="110" w:type="dxa"/>
            </w:tcMar>
            <w:vAlign w:val="center"/>
          </w:tcPr>
          <w:p w14:paraId="31273526" w14:textId="77777777" w:rsidR="002B5862" w:rsidRDefault="00000000">
            <w:pPr>
              <w:spacing w:after="0" w:line="252" w:lineRule="auto"/>
              <w:jc w:val="center"/>
            </w:pPr>
            <w:r>
              <w:rPr>
                <w:b/>
                <w:color w:val="FFFFFF"/>
                <w:sz w:val="17"/>
              </w:rPr>
              <w:t>ID</w:t>
            </w:r>
          </w:p>
        </w:tc>
        <w:tc>
          <w:tcPr>
            <w:tcW w:w="3067" w:type="dxa"/>
            <w:shd w:val="clear" w:color="auto" w:fill="18324A"/>
            <w:tcMar>
              <w:top w:w="100" w:type="dxa"/>
              <w:left w:w="110" w:type="dxa"/>
              <w:bottom w:w="100" w:type="dxa"/>
              <w:right w:w="110" w:type="dxa"/>
            </w:tcMar>
            <w:vAlign w:val="center"/>
          </w:tcPr>
          <w:p w14:paraId="482EC29A" w14:textId="77777777" w:rsidR="002B5862" w:rsidRDefault="00000000">
            <w:pPr>
              <w:spacing w:after="0" w:line="252" w:lineRule="auto"/>
              <w:jc w:val="center"/>
            </w:pPr>
            <w:r>
              <w:rPr>
                <w:b/>
                <w:color w:val="FFFFFF"/>
                <w:sz w:val="17"/>
              </w:rPr>
              <w:t>Question</w:t>
            </w:r>
          </w:p>
        </w:tc>
        <w:tc>
          <w:tcPr>
            <w:tcW w:w="6623" w:type="dxa"/>
            <w:shd w:val="clear" w:color="auto" w:fill="18324A"/>
            <w:tcMar>
              <w:top w:w="100" w:type="dxa"/>
              <w:left w:w="110" w:type="dxa"/>
              <w:bottom w:w="100" w:type="dxa"/>
              <w:right w:w="110" w:type="dxa"/>
            </w:tcMar>
            <w:vAlign w:val="center"/>
          </w:tcPr>
          <w:p w14:paraId="44EC78F1" w14:textId="77777777" w:rsidR="002B5862" w:rsidRDefault="00000000">
            <w:pPr>
              <w:spacing w:after="0" w:line="252" w:lineRule="auto"/>
              <w:jc w:val="center"/>
            </w:pPr>
            <w:r>
              <w:rPr>
                <w:b/>
                <w:color w:val="FFFFFF"/>
                <w:sz w:val="17"/>
              </w:rPr>
              <w:t>Reference answer and evidence path</w:t>
            </w:r>
          </w:p>
        </w:tc>
      </w:tr>
      <w:tr w:rsidR="002B5862" w14:paraId="1A7FC823" w14:textId="77777777">
        <w:trPr>
          <w:cantSplit/>
          <w:jc w:val="center"/>
        </w:trPr>
        <w:tc>
          <w:tcPr>
            <w:tcW w:w="604" w:type="dxa"/>
            <w:shd w:val="clear" w:color="auto" w:fill="FFFFFF"/>
            <w:tcMar>
              <w:top w:w="100" w:type="dxa"/>
              <w:left w:w="110" w:type="dxa"/>
              <w:bottom w:w="100" w:type="dxa"/>
              <w:right w:w="110" w:type="dxa"/>
            </w:tcMar>
            <w:vAlign w:val="center"/>
          </w:tcPr>
          <w:p w14:paraId="7D0527A6" w14:textId="77777777" w:rsidR="002B5862" w:rsidRDefault="00000000">
            <w:pPr>
              <w:spacing w:after="0" w:line="252" w:lineRule="auto"/>
              <w:jc w:val="center"/>
            </w:pPr>
            <w:r>
              <w:rPr>
                <w:b/>
                <w:sz w:val="17"/>
              </w:rPr>
              <w:t>B1</w:t>
            </w:r>
          </w:p>
        </w:tc>
        <w:tc>
          <w:tcPr>
            <w:tcW w:w="3067" w:type="dxa"/>
            <w:shd w:val="clear" w:color="auto" w:fill="FFFFFF"/>
            <w:tcMar>
              <w:top w:w="100" w:type="dxa"/>
              <w:left w:w="110" w:type="dxa"/>
              <w:bottom w:w="100" w:type="dxa"/>
              <w:right w:w="110" w:type="dxa"/>
            </w:tcMar>
            <w:vAlign w:val="center"/>
          </w:tcPr>
          <w:p w14:paraId="49CF08F6" w14:textId="77777777" w:rsidR="002B5862" w:rsidRDefault="00000000">
            <w:pPr>
              <w:spacing w:after="0" w:line="252" w:lineRule="auto"/>
            </w:pPr>
            <w:r>
              <w:rPr>
                <w:sz w:val="17"/>
              </w:rPr>
              <w:t>Across the Atg5 and Atg7 models, what evidence supports the conclusion that basal macroautophagy is required for neuronal maintenance in vivo?</w:t>
            </w:r>
          </w:p>
        </w:tc>
        <w:tc>
          <w:tcPr>
            <w:tcW w:w="6623" w:type="dxa"/>
            <w:shd w:val="clear" w:color="auto" w:fill="FFFFFF"/>
            <w:tcMar>
              <w:top w:w="100" w:type="dxa"/>
              <w:left w:w="110" w:type="dxa"/>
              <w:bottom w:w="100" w:type="dxa"/>
              <w:right w:w="110" w:type="dxa"/>
            </w:tcMar>
            <w:vAlign w:val="center"/>
          </w:tcPr>
          <w:p w14:paraId="2697905F" w14:textId="77777777" w:rsidR="002B5862" w:rsidRDefault="00000000">
            <w:pPr>
              <w:spacing w:after="0" w:line="252" w:lineRule="auto"/>
            </w:pPr>
            <w:r>
              <w:rPr>
                <w:sz w:val="17"/>
              </w:rPr>
              <w:t>Neural or CNS-specific deletion of either Atg5 or Atg7 impaired basal autophagy and produced progressive neurological dysfunction, accumulation of ubiquitinated proteins or inclusions, and neuronal degeneration without requiring a disease-associated mutant protein. Independent perturbation of two essential autophagy genes therefore provides convergent genetic evidence in the studied mouse systems.</w:t>
            </w:r>
          </w:p>
          <w:p w14:paraId="1F8A5F89" w14:textId="77777777" w:rsidR="002B5862" w:rsidRDefault="00000000">
            <w:pPr>
              <w:spacing w:after="0" w:line="252" w:lineRule="auto"/>
            </w:pPr>
            <w:r>
              <w:rPr>
                <w:b/>
                <w:sz w:val="17"/>
              </w:rPr>
              <w:t xml:space="preserve">Evidence path: </w:t>
            </w:r>
            <w:r>
              <w:rPr>
                <w:i/>
                <w:sz w:val="17"/>
              </w:rPr>
              <w:t>Hara 2006 plus Komatsu 2006; Inoue 2012 provides a later, postnatal-neuron confirmation for Atg7.</w:t>
            </w:r>
          </w:p>
        </w:tc>
      </w:tr>
      <w:tr w:rsidR="002B5862" w14:paraId="57E1D8FA" w14:textId="77777777">
        <w:trPr>
          <w:cantSplit/>
          <w:jc w:val="center"/>
        </w:trPr>
        <w:tc>
          <w:tcPr>
            <w:tcW w:w="604" w:type="dxa"/>
            <w:shd w:val="clear" w:color="auto" w:fill="EAF2F6"/>
            <w:tcMar>
              <w:top w:w="100" w:type="dxa"/>
              <w:left w:w="110" w:type="dxa"/>
              <w:bottom w:w="100" w:type="dxa"/>
              <w:right w:w="110" w:type="dxa"/>
            </w:tcMar>
            <w:vAlign w:val="center"/>
          </w:tcPr>
          <w:p w14:paraId="332DB77D" w14:textId="77777777" w:rsidR="002B5862" w:rsidRDefault="00000000">
            <w:pPr>
              <w:spacing w:after="0" w:line="252" w:lineRule="auto"/>
              <w:jc w:val="center"/>
            </w:pPr>
            <w:r>
              <w:rPr>
                <w:b/>
                <w:sz w:val="17"/>
              </w:rPr>
              <w:t>B2</w:t>
            </w:r>
          </w:p>
        </w:tc>
        <w:tc>
          <w:tcPr>
            <w:tcW w:w="3067" w:type="dxa"/>
            <w:shd w:val="clear" w:color="auto" w:fill="EAF2F6"/>
            <w:tcMar>
              <w:top w:w="100" w:type="dxa"/>
              <w:left w:w="110" w:type="dxa"/>
              <w:bottom w:w="100" w:type="dxa"/>
              <w:right w:w="110" w:type="dxa"/>
            </w:tcMar>
            <w:vAlign w:val="center"/>
          </w:tcPr>
          <w:p w14:paraId="7BE508E7" w14:textId="77777777" w:rsidR="002B5862" w:rsidRDefault="00000000">
            <w:pPr>
              <w:spacing w:after="0" w:line="252" w:lineRule="auto"/>
            </w:pPr>
            <w:r>
              <w:rPr>
                <w:sz w:val="17"/>
              </w:rPr>
              <w:t>Which phenotypes converge across Atg5-deficient and Atg7-deficient neural systems, and which aspects depend on model design?</w:t>
            </w:r>
          </w:p>
        </w:tc>
        <w:tc>
          <w:tcPr>
            <w:tcW w:w="6623" w:type="dxa"/>
            <w:shd w:val="clear" w:color="auto" w:fill="EAF2F6"/>
            <w:tcMar>
              <w:top w:w="100" w:type="dxa"/>
              <w:left w:w="110" w:type="dxa"/>
              <w:bottom w:w="100" w:type="dxa"/>
              <w:right w:w="110" w:type="dxa"/>
            </w:tcMar>
            <w:vAlign w:val="center"/>
          </w:tcPr>
          <w:p w14:paraId="1C938599" w14:textId="77777777" w:rsidR="002B5862" w:rsidRDefault="00000000">
            <w:pPr>
              <w:spacing w:after="0" w:line="252" w:lineRule="auto"/>
            </w:pPr>
            <w:r>
              <w:rPr>
                <w:sz w:val="17"/>
              </w:rPr>
              <w:t>Shared findings include impaired basal autophagy, ubiquitinated protein or inclusion accumulation, progressive motor or behavioral abnormalities, and neuronal loss. Anatomical distribution, onset, progression, and affected neuronal populations vary because the studies used different deleted genes, Cre drivers, developmental timing, and target regions. The evidence supports convergence, not experimental identity.</w:t>
            </w:r>
          </w:p>
          <w:p w14:paraId="627905D6" w14:textId="77777777" w:rsidR="002B5862" w:rsidRDefault="00000000">
            <w:pPr>
              <w:spacing w:after="0" w:line="252" w:lineRule="auto"/>
            </w:pPr>
            <w:r>
              <w:rPr>
                <w:b/>
                <w:sz w:val="17"/>
              </w:rPr>
              <w:t xml:space="preserve">Evidence path: </w:t>
            </w:r>
            <w:r>
              <w:rPr>
                <w:i/>
                <w:sz w:val="17"/>
              </w:rPr>
              <w:t>Hara 2006, Komatsu 2006, and Inoue 2012.</w:t>
            </w:r>
          </w:p>
        </w:tc>
      </w:tr>
      <w:tr w:rsidR="002B5862" w14:paraId="3180047D" w14:textId="77777777">
        <w:trPr>
          <w:cantSplit/>
          <w:jc w:val="center"/>
        </w:trPr>
        <w:tc>
          <w:tcPr>
            <w:tcW w:w="604" w:type="dxa"/>
            <w:shd w:val="clear" w:color="auto" w:fill="FFFFFF"/>
            <w:tcMar>
              <w:top w:w="100" w:type="dxa"/>
              <w:left w:w="110" w:type="dxa"/>
              <w:bottom w:w="100" w:type="dxa"/>
              <w:right w:w="110" w:type="dxa"/>
            </w:tcMar>
            <w:vAlign w:val="center"/>
          </w:tcPr>
          <w:p w14:paraId="0E4DE0CA" w14:textId="77777777" w:rsidR="002B5862" w:rsidRDefault="00000000">
            <w:pPr>
              <w:spacing w:after="0" w:line="252" w:lineRule="auto"/>
              <w:jc w:val="center"/>
            </w:pPr>
            <w:r>
              <w:rPr>
                <w:b/>
                <w:sz w:val="17"/>
              </w:rPr>
              <w:t>B3</w:t>
            </w:r>
          </w:p>
        </w:tc>
        <w:tc>
          <w:tcPr>
            <w:tcW w:w="3067" w:type="dxa"/>
            <w:shd w:val="clear" w:color="auto" w:fill="FFFFFF"/>
            <w:tcMar>
              <w:top w:w="100" w:type="dxa"/>
              <w:left w:w="110" w:type="dxa"/>
              <w:bottom w:w="100" w:type="dxa"/>
              <w:right w:w="110" w:type="dxa"/>
            </w:tcMar>
            <w:vAlign w:val="center"/>
          </w:tcPr>
          <w:p w14:paraId="5CB5636C" w14:textId="77777777" w:rsidR="002B5862" w:rsidRDefault="00000000">
            <w:pPr>
              <w:spacing w:after="0" w:line="252" w:lineRule="auto"/>
            </w:pPr>
            <w:r>
              <w:rPr>
                <w:sz w:val="17"/>
              </w:rPr>
              <w:t>How does the normal spatial organization of axonal autophagy help explain neuronal vulnerability after genetic disruption and during aging?</w:t>
            </w:r>
          </w:p>
        </w:tc>
        <w:tc>
          <w:tcPr>
            <w:tcW w:w="6623" w:type="dxa"/>
            <w:shd w:val="clear" w:color="auto" w:fill="FFFFFF"/>
            <w:tcMar>
              <w:top w:w="100" w:type="dxa"/>
              <w:left w:w="110" w:type="dxa"/>
              <w:bottom w:w="100" w:type="dxa"/>
              <w:right w:w="110" w:type="dxa"/>
            </w:tcMar>
            <w:vAlign w:val="center"/>
          </w:tcPr>
          <w:p w14:paraId="35B40F5C" w14:textId="77777777" w:rsidR="002B5862" w:rsidRDefault="00000000">
            <w:pPr>
              <w:spacing w:after="0" w:line="252" w:lineRule="auto"/>
            </w:pPr>
            <w:r>
              <w:rPr>
                <w:sz w:val="17"/>
              </w:rPr>
              <w:t>Maday et al. describe a spatially organized pathway in which autophagosomes form distally, mature during retrograde transport, become increasingly acidified, and move toward the soma. Genetic loss of core autophagy machinery prevents effective autophagosome formation and is associated with proteostatic failure and degeneration. Aging reduces distal autophagosome formation and eventually compromises transport efficiency, which can reduce delivery of axonal cargo to somatic degradative compartments. The last connection is a cross-study mechanistic interpretation, not a directly tested universal causal chain.</w:t>
            </w:r>
          </w:p>
          <w:p w14:paraId="57BE1031" w14:textId="77777777" w:rsidR="002B5862" w:rsidRDefault="00000000">
            <w:pPr>
              <w:spacing w:after="0" w:line="252" w:lineRule="auto"/>
            </w:pPr>
            <w:r>
              <w:rPr>
                <w:b/>
                <w:sz w:val="17"/>
              </w:rPr>
              <w:t xml:space="preserve">Evidence path: </w:t>
            </w:r>
            <w:r>
              <w:rPr>
                <w:i/>
                <w:sz w:val="17"/>
              </w:rPr>
              <w:t>Maday 2012 plus Hara 2006 and Komatsu 2006, interpreted alongside Tsong 2023.</w:t>
            </w:r>
          </w:p>
        </w:tc>
      </w:tr>
      <w:tr w:rsidR="002B5862" w14:paraId="32B7E6AA" w14:textId="77777777">
        <w:trPr>
          <w:cantSplit/>
          <w:jc w:val="center"/>
        </w:trPr>
        <w:tc>
          <w:tcPr>
            <w:tcW w:w="604" w:type="dxa"/>
            <w:shd w:val="clear" w:color="auto" w:fill="EAF2F6"/>
            <w:tcMar>
              <w:top w:w="100" w:type="dxa"/>
              <w:left w:w="110" w:type="dxa"/>
              <w:bottom w:w="100" w:type="dxa"/>
              <w:right w:w="110" w:type="dxa"/>
            </w:tcMar>
            <w:vAlign w:val="center"/>
          </w:tcPr>
          <w:p w14:paraId="1738FD57" w14:textId="77777777" w:rsidR="002B5862" w:rsidRDefault="00000000">
            <w:pPr>
              <w:spacing w:after="0" w:line="252" w:lineRule="auto"/>
              <w:jc w:val="center"/>
            </w:pPr>
            <w:r>
              <w:rPr>
                <w:b/>
                <w:sz w:val="17"/>
              </w:rPr>
              <w:lastRenderedPageBreak/>
              <w:t>B4</w:t>
            </w:r>
          </w:p>
        </w:tc>
        <w:tc>
          <w:tcPr>
            <w:tcW w:w="3067" w:type="dxa"/>
            <w:shd w:val="clear" w:color="auto" w:fill="EAF2F6"/>
            <w:tcMar>
              <w:top w:w="100" w:type="dxa"/>
              <w:left w:w="110" w:type="dxa"/>
              <w:bottom w:w="100" w:type="dxa"/>
              <w:right w:w="110" w:type="dxa"/>
            </w:tcMar>
            <w:vAlign w:val="center"/>
          </w:tcPr>
          <w:p w14:paraId="005BA27D" w14:textId="77777777" w:rsidR="002B5862" w:rsidRDefault="00000000">
            <w:pPr>
              <w:spacing w:after="0" w:line="252" w:lineRule="auto"/>
            </w:pPr>
            <w:r>
              <w:rPr>
                <w:sz w:val="17"/>
              </w:rPr>
              <w:t>Relative to the normal axonal pathway, which stages of neuronal autophagy are altered by aging and which remain comparatively preserved?</w:t>
            </w:r>
          </w:p>
        </w:tc>
        <w:tc>
          <w:tcPr>
            <w:tcW w:w="6623" w:type="dxa"/>
            <w:shd w:val="clear" w:color="auto" w:fill="EAF2F6"/>
            <w:tcMar>
              <w:top w:w="100" w:type="dxa"/>
              <w:left w:w="110" w:type="dxa"/>
              <w:bottom w:w="100" w:type="dxa"/>
              <w:right w:w="110" w:type="dxa"/>
            </w:tcMar>
            <w:vAlign w:val="center"/>
          </w:tcPr>
          <w:p w14:paraId="56754B82" w14:textId="77777777" w:rsidR="002B5862" w:rsidRDefault="00000000">
            <w:pPr>
              <w:spacing w:after="0" w:line="252" w:lineRule="auto"/>
            </w:pPr>
            <w:r>
              <w:rPr>
                <w:sz w:val="17"/>
              </w:rPr>
              <w:t>Normal axonal autophagy involves distal formation, retrograde transport, maturation, and progressive acidification. Aging reduces autophagosome formation and therefore lowers autophagosome density and transport flux. During early aging, maturation and transport remain preserved and may become more efficient; during advanced aging, transport efficiency declines and acidified vesicles are reduced in the distal axon. Aging therefore affects distinct stages differently rather than causing a uniform pathway collapse.</w:t>
            </w:r>
          </w:p>
          <w:p w14:paraId="6CDE999C" w14:textId="77777777" w:rsidR="002B5862" w:rsidRDefault="00000000">
            <w:pPr>
              <w:spacing w:after="0" w:line="252" w:lineRule="auto"/>
            </w:pPr>
            <w:r>
              <w:rPr>
                <w:b/>
                <w:sz w:val="17"/>
              </w:rPr>
              <w:t xml:space="preserve">Evidence path: </w:t>
            </w:r>
            <w:r>
              <w:rPr>
                <w:i/>
                <w:sz w:val="17"/>
              </w:rPr>
              <w:t>Maday 2012 establishes the baseline pathway; Tsong 2023 provides the age-dependent comparison.</w:t>
            </w:r>
          </w:p>
        </w:tc>
      </w:tr>
      <w:tr w:rsidR="002B5862" w14:paraId="7F64075E" w14:textId="77777777">
        <w:trPr>
          <w:cantSplit/>
          <w:jc w:val="center"/>
        </w:trPr>
        <w:tc>
          <w:tcPr>
            <w:tcW w:w="604" w:type="dxa"/>
            <w:shd w:val="clear" w:color="auto" w:fill="FFFFFF"/>
            <w:tcMar>
              <w:top w:w="100" w:type="dxa"/>
              <w:left w:w="110" w:type="dxa"/>
              <w:bottom w:w="100" w:type="dxa"/>
              <w:right w:w="110" w:type="dxa"/>
            </w:tcMar>
            <w:vAlign w:val="center"/>
          </w:tcPr>
          <w:p w14:paraId="5418DE4D" w14:textId="77777777" w:rsidR="002B5862" w:rsidRDefault="00000000">
            <w:pPr>
              <w:spacing w:after="0" w:line="252" w:lineRule="auto"/>
              <w:jc w:val="center"/>
            </w:pPr>
            <w:r>
              <w:rPr>
                <w:b/>
                <w:sz w:val="17"/>
              </w:rPr>
              <w:t>B5</w:t>
            </w:r>
          </w:p>
        </w:tc>
        <w:tc>
          <w:tcPr>
            <w:tcW w:w="3067" w:type="dxa"/>
            <w:shd w:val="clear" w:color="auto" w:fill="FFFFFF"/>
            <w:tcMar>
              <w:top w:w="100" w:type="dxa"/>
              <w:left w:w="110" w:type="dxa"/>
              <w:bottom w:w="100" w:type="dxa"/>
              <w:right w:w="110" w:type="dxa"/>
            </w:tcMar>
            <w:vAlign w:val="center"/>
          </w:tcPr>
          <w:p w14:paraId="591501F1" w14:textId="77777777" w:rsidR="002B5862" w:rsidRDefault="00000000">
            <w:pPr>
              <w:spacing w:after="0" w:line="252" w:lineRule="auto"/>
            </w:pPr>
            <w:r>
              <w:rPr>
                <w:sz w:val="17"/>
              </w:rPr>
              <w:t>Do ubiquitin- and p62-positive inclusions mediate neuronal degeneration, or are they markers of impaired proteostasis?</w:t>
            </w:r>
          </w:p>
        </w:tc>
        <w:tc>
          <w:tcPr>
            <w:tcW w:w="6623" w:type="dxa"/>
            <w:shd w:val="clear" w:color="auto" w:fill="FFFFFF"/>
            <w:tcMar>
              <w:top w:w="100" w:type="dxa"/>
              <w:left w:w="110" w:type="dxa"/>
              <w:bottom w:w="100" w:type="dxa"/>
              <w:right w:w="110" w:type="dxa"/>
            </w:tcMar>
            <w:vAlign w:val="center"/>
          </w:tcPr>
          <w:p w14:paraId="15F86FD1" w14:textId="77777777" w:rsidR="002B5862" w:rsidRDefault="00000000">
            <w:pPr>
              <w:spacing w:after="0" w:line="252" w:lineRule="auto"/>
            </w:pPr>
            <w:r>
              <w:rPr>
                <w:sz w:val="17"/>
              </w:rPr>
              <w:t>The genetic studies associate autophagy deficiency, inclusion accumulation, and neuronal degeneration, but association alone does not establish that inclusions cause cell death. In the postnatal forebrain Atg7 model, pharmacological suppression of tau phosphorylation or genetic tau deletion rescued neurodegeneration while ubiquitin- and p62-positive inclusions persisted. The evidence therefore supports inclusions as markers of impaired proteostasis but does not establish them as sufficient causal mediators.</w:t>
            </w:r>
          </w:p>
          <w:p w14:paraId="76E662AA" w14:textId="77777777" w:rsidR="002B5862" w:rsidRDefault="00000000">
            <w:pPr>
              <w:spacing w:after="0" w:line="252" w:lineRule="auto"/>
            </w:pPr>
            <w:r>
              <w:rPr>
                <w:b/>
                <w:sz w:val="17"/>
              </w:rPr>
              <w:t xml:space="preserve">Evidence path: </w:t>
            </w:r>
            <w:r>
              <w:rPr>
                <w:i/>
                <w:sz w:val="17"/>
              </w:rPr>
              <w:t>Hara 2006 and Komatsu 2006 establish co-occurrence; Inoue 2012 provides the decisive rescue evidence.</w:t>
            </w:r>
          </w:p>
        </w:tc>
      </w:tr>
      <w:tr w:rsidR="002B5862" w14:paraId="59B05709" w14:textId="77777777">
        <w:trPr>
          <w:cantSplit/>
          <w:jc w:val="center"/>
        </w:trPr>
        <w:tc>
          <w:tcPr>
            <w:tcW w:w="604" w:type="dxa"/>
            <w:shd w:val="clear" w:color="auto" w:fill="EAF2F6"/>
            <w:tcMar>
              <w:top w:w="100" w:type="dxa"/>
              <w:left w:w="110" w:type="dxa"/>
              <w:bottom w:w="100" w:type="dxa"/>
              <w:right w:w="110" w:type="dxa"/>
            </w:tcMar>
            <w:vAlign w:val="center"/>
          </w:tcPr>
          <w:p w14:paraId="3B7BABD7" w14:textId="77777777" w:rsidR="002B5862" w:rsidRDefault="00000000">
            <w:pPr>
              <w:spacing w:after="0" w:line="252" w:lineRule="auto"/>
              <w:jc w:val="center"/>
            </w:pPr>
            <w:r>
              <w:rPr>
                <w:b/>
                <w:sz w:val="17"/>
              </w:rPr>
              <w:t>B6</w:t>
            </w:r>
          </w:p>
        </w:tc>
        <w:tc>
          <w:tcPr>
            <w:tcW w:w="3067" w:type="dxa"/>
            <w:shd w:val="clear" w:color="auto" w:fill="EAF2F6"/>
            <w:tcMar>
              <w:top w:w="100" w:type="dxa"/>
              <w:left w:w="110" w:type="dxa"/>
              <w:bottom w:w="100" w:type="dxa"/>
              <w:right w:w="110" w:type="dxa"/>
            </w:tcMar>
            <w:vAlign w:val="center"/>
          </w:tcPr>
          <w:p w14:paraId="127C3957" w14:textId="77777777" w:rsidR="002B5862" w:rsidRDefault="00000000">
            <w:pPr>
              <w:spacing w:after="0" w:line="252" w:lineRule="auto"/>
            </w:pPr>
            <w:r>
              <w:rPr>
                <w:sz w:val="17"/>
              </w:rPr>
              <w:t>Which conclusions from the five-paper corpus are robust, which are model-specific, and which claims are not justified?</w:t>
            </w:r>
          </w:p>
        </w:tc>
        <w:tc>
          <w:tcPr>
            <w:tcW w:w="6623" w:type="dxa"/>
            <w:shd w:val="clear" w:color="auto" w:fill="EAF2F6"/>
            <w:tcMar>
              <w:top w:w="100" w:type="dxa"/>
              <w:left w:w="110" w:type="dxa"/>
              <w:bottom w:w="100" w:type="dxa"/>
              <w:right w:w="110" w:type="dxa"/>
            </w:tcMar>
            <w:vAlign w:val="center"/>
          </w:tcPr>
          <w:p w14:paraId="42B0771A" w14:textId="77777777" w:rsidR="002B5862" w:rsidRDefault="00000000">
            <w:pPr>
              <w:spacing w:after="0" w:line="252" w:lineRule="auto"/>
            </w:pPr>
            <w:r>
              <w:rPr>
                <w:sz w:val="17"/>
              </w:rPr>
              <w:t>The most robust conclusion is that basal autophagy is required for neuronal maintenance in the studied mouse neural systems. Distal autophagosome formation and maturation during retrograde transport are supported in primary mouse neurons. Reduced formation and late-stage transport changes with age are supported in mouse DRG neurons. Phospho-tau and GSK3 beta mediation are supported specifically in a postnatal forebrain Atg7-deficient model. The corpus does not establish that autophagy failure universally causes normal human brain aging, that tau mediates every form of autophagy-related neurodegeneration, or that increasing autophagy is necessarily therapeutic.</w:t>
            </w:r>
          </w:p>
          <w:p w14:paraId="06D5F8A4" w14:textId="77777777" w:rsidR="002B5862" w:rsidRDefault="00000000">
            <w:pPr>
              <w:spacing w:after="0" w:line="252" w:lineRule="auto"/>
            </w:pPr>
            <w:r>
              <w:rPr>
                <w:b/>
                <w:sz w:val="17"/>
              </w:rPr>
              <w:t xml:space="preserve">Evidence path: </w:t>
            </w:r>
            <w:r>
              <w:rPr>
                <w:i/>
                <w:sz w:val="17"/>
              </w:rPr>
              <w:t>All five papers, with model, species, cell-type, and age qualifiers retained.</w:t>
            </w:r>
          </w:p>
        </w:tc>
      </w:tr>
    </w:tbl>
    <w:p w14:paraId="5D07DB98" w14:textId="77777777" w:rsidR="002B5862" w:rsidRDefault="00000000">
      <w:pPr>
        <w:pStyle w:val="Heading2"/>
      </w:pPr>
      <w:r>
        <w:t>Required Answer Output</w:t>
      </w:r>
    </w:p>
    <w:p w14:paraId="11804291" w14:textId="77777777" w:rsidR="002B5862" w:rsidRDefault="00000000">
      <w:pPr>
        <w:spacing w:after="60" w:line="269" w:lineRule="auto"/>
      </w:pPr>
      <w:r>
        <w:t>Every evaluated response should expose enough structure to verify both the answer and the retrieval process.</w:t>
      </w:r>
    </w:p>
    <w:p w14:paraId="0086812F" w14:textId="77777777" w:rsidR="002B5862" w:rsidRDefault="00000000">
      <w:pPr>
        <w:pStyle w:val="ListBullet"/>
        <w:spacing w:after="20" w:line="259" w:lineRule="auto"/>
        <w:ind w:left="331" w:hanging="216"/>
      </w:pPr>
      <w:r>
        <w:t>A concise natural-language answer matched to the question type.</w:t>
      </w:r>
    </w:p>
    <w:p w14:paraId="431686A5" w14:textId="77777777" w:rsidR="002B5862" w:rsidRDefault="00000000">
      <w:pPr>
        <w:pStyle w:val="ListBullet"/>
        <w:spacing w:after="20" w:line="259" w:lineRule="auto"/>
        <w:ind w:left="331" w:hanging="216"/>
      </w:pPr>
      <w:r>
        <w:t>Claim-level citations linked to the retrieved sentence, passage, figure, or experiment.</w:t>
      </w:r>
    </w:p>
    <w:p w14:paraId="523845FA" w14:textId="77777777" w:rsidR="002B5862" w:rsidRDefault="00000000">
      <w:pPr>
        <w:pStyle w:val="ListBullet"/>
        <w:spacing w:after="20" w:line="259" w:lineRule="auto"/>
        <w:ind w:left="331" w:hanging="216"/>
      </w:pPr>
      <w:r>
        <w:t>For Type B questions, the graph path or ordered evidence chain used for synthesis.</w:t>
      </w:r>
    </w:p>
    <w:p w14:paraId="53E16B8D" w14:textId="77777777" w:rsidR="002B5862" w:rsidRDefault="00000000">
      <w:pPr>
        <w:pStyle w:val="ListBullet"/>
        <w:spacing w:after="20" w:line="259" w:lineRule="auto"/>
        <w:ind w:left="331" w:hanging="216"/>
      </w:pPr>
      <w:r>
        <w:t>Material qualifiers including species, age, cell population, anatomy, perturbation, and assay.</w:t>
      </w:r>
    </w:p>
    <w:p w14:paraId="09E7D100" w14:textId="77777777" w:rsidR="002B5862" w:rsidRDefault="00000000">
      <w:pPr>
        <w:pStyle w:val="ListBullet"/>
        <w:spacing w:after="20" w:line="259" w:lineRule="auto"/>
        <w:ind w:left="331" w:hanging="216"/>
      </w:pPr>
      <w:r>
        <w:t>A confidence statement and explicit limitations or unresolved conflicts.</w:t>
      </w:r>
    </w:p>
    <w:p w14:paraId="1D499923" w14:textId="77777777" w:rsidR="002B5862" w:rsidRDefault="00000000">
      <w:r>
        <w:br w:type="page"/>
      </w:r>
    </w:p>
    <w:p w14:paraId="2B8486AB" w14:textId="77777777" w:rsidR="002B5862" w:rsidRDefault="00000000">
      <w:pPr>
        <w:pStyle w:val="Heading1"/>
      </w:pPr>
      <w:r>
        <w:lastRenderedPageBreak/>
        <w:t>Answer Scoring Rubric</w:t>
      </w:r>
    </w:p>
    <w:p w14:paraId="162F1561" w14:textId="77777777" w:rsidR="002B5862" w:rsidRDefault="00000000">
      <w:pPr>
        <w:spacing w:after="100" w:line="269" w:lineRule="auto"/>
      </w:pPr>
      <w:r>
        <w:t>Score every response on a 100-point scale. For Type A questions, completeness means returning the requested atomic fact without irrelevant additions. For Type B questions, completeness requires integration of the specified evidence path and preservation of material limitations.</w:t>
      </w:r>
    </w:p>
    <w:p w14:paraId="2753FA1D" w14:textId="77777777" w:rsidR="002B5862" w:rsidRDefault="00000000">
      <w:pPr>
        <w:keepNext/>
        <w:spacing w:before="60" w:after="80"/>
      </w:pPr>
      <w:r>
        <w:rPr>
          <w:b/>
          <w:color w:val="18324A"/>
          <w:sz w:val="18"/>
        </w:rPr>
        <w:t>Table 3  Weighted end-to-end answer score</w:t>
      </w:r>
    </w:p>
    <w:tbl>
      <w:tblPr>
        <w:tblW w:w="0" w:type="auto"/>
        <w:jc w:val="center"/>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Layout w:type="fixed"/>
        <w:tblLook w:val="04A0" w:firstRow="1" w:lastRow="0" w:firstColumn="1" w:lastColumn="0" w:noHBand="0" w:noVBand="1"/>
      </w:tblPr>
      <w:tblGrid>
        <w:gridCol w:w="2448"/>
        <w:gridCol w:w="1007"/>
        <w:gridCol w:w="6840"/>
      </w:tblGrid>
      <w:tr w:rsidR="002B5862" w14:paraId="047FCAF4" w14:textId="77777777">
        <w:trPr>
          <w:cantSplit/>
          <w:tblHeader/>
          <w:jc w:val="center"/>
        </w:trPr>
        <w:tc>
          <w:tcPr>
            <w:tcW w:w="2448" w:type="dxa"/>
            <w:shd w:val="clear" w:color="auto" w:fill="18324A"/>
            <w:tcMar>
              <w:top w:w="100" w:type="dxa"/>
              <w:left w:w="110" w:type="dxa"/>
              <w:bottom w:w="100" w:type="dxa"/>
              <w:right w:w="110" w:type="dxa"/>
            </w:tcMar>
            <w:vAlign w:val="center"/>
          </w:tcPr>
          <w:p w14:paraId="5BAEF623" w14:textId="77777777" w:rsidR="002B5862" w:rsidRDefault="00000000">
            <w:pPr>
              <w:spacing w:after="0" w:line="252" w:lineRule="auto"/>
              <w:jc w:val="center"/>
            </w:pPr>
            <w:r>
              <w:rPr>
                <w:b/>
                <w:color w:val="FFFFFF"/>
                <w:sz w:val="17"/>
              </w:rPr>
              <w:t>Criterion</w:t>
            </w:r>
          </w:p>
        </w:tc>
        <w:tc>
          <w:tcPr>
            <w:tcW w:w="1007" w:type="dxa"/>
            <w:shd w:val="clear" w:color="auto" w:fill="18324A"/>
            <w:tcMar>
              <w:top w:w="100" w:type="dxa"/>
              <w:left w:w="110" w:type="dxa"/>
              <w:bottom w:w="100" w:type="dxa"/>
              <w:right w:w="110" w:type="dxa"/>
            </w:tcMar>
            <w:vAlign w:val="center"/>
          </w:tcPr>
          <w:p w14:paraId="6225811E" w14:textId="77777777" w:rsidR="002B5862" w:rsidRDefault="00000000">
            <w:pPr>
              <w:spacing w:after="0" w:line="252" w:lineRule="auto"/>
              <w:jc w:val="center"/>
            </w:pPr>
            <w:r>
              <w:rPr>
                <w:b/>
                <w:color w:val="FFFFFF"/>
                <w:sz w:val="17"/>
              </w:rPr>
              <w:t>Weight</w:t>
            </w:r>
          </w:p>
        </w:tc>
        <w:tc>
          <w:tcPr>
            <w:tcW w:w="6840" w:type="dxa"/>
            <w:shd w:val="clear" w:color="auto" w:fill="18324A"/>
            <w:tcMar>
              <w:top w:w="100" w:type="dxa"/>
              <w:left w:w="110" w:type="dxa"/>
              <w:bottom w:w="100" w:type="dxa"/>
              <w:right w:w="110" w:type="dxa"/>
            </w:tcMar>
            <w:vAlign w:val="center"/>
          </w:tcPr>
          <w:p w14:paraId="53D74506" w14:textId="77777777" w:rsidR="002B5862" w:rsidRDefault="00000000">
            <w:pPr>
              <w:spacing w:after="0" w:line="252" w:lineRule="auto"/>
              <w:jc w:val="center"/>
            </w:pPr>
            <w:r>
              <w:rPr>
                <w:b/>
                <w:color w:val="FFFFFF"/>
                <w:sz w:val="17"/>
              </w:rPr>
              <w:t>Full-credit behavior</w:t>
            </w:r>
          </w:p>
        </w:tc>
      </w:tr>
      <w:tr w:rsidR="002B5862" w14:paraId="3C02D1E4" w14:textId="77777777">
        <w:trPr>
          <w:cantSplit/>
          <w:jc w:val="center"/>
        </w:trPr>
        <w:tc>
          <w:tcPr>
            <w:tcW w:w="2448" w:type="dxa"/>
            <w:shd w:val="clear" w:color="auto" w:fill="FFFFFF"/>
            <w:tcMar>
              <w:top w:w="100" w:type="dxa"/>
              <w:left w:w="110" w:type="dxa"/>
              <w:bottom w:w="100" w:type="dxa"/>
              <w:right w:w="110" w:type="dxa"/>
            </w:tcMar>
            <w:vAlign w:val="center"/>
          </w:tcPr>
          <w:p w14:paraId="3599A8F7" w14:textId="77777777" w:rsidR="002B5862" w:rsidRDefault="00000000">
            <w:pPr>
              <w:spacing w:after="0" w:line="252" w:lineRule="auto"/>
            </w:pPr>
            <w:r>
              <w:rPr>
                <w:b/>
                <w:sz w:val="17"/>
              </w:rPr>
              <w:t>Scientific correctness</w:t>
            </w:r>
          </w:p>
        </w:tc>
        <w:tc>
          <w:tcPr>
            <w:tcW w:w="1007" w:type="dxa"/>
            <w:shd w:val="clear" w:color="auto" w:fill="FFFFFF"/>
            <w:tcMar>
              <w:top w:w="100" w:type="dxa"/>
              <w:left w:w="110" w:type="dxa"/>
              <w:bottom w:w="100" w:type="dxa"/>
              <w:right w:w="110" w:type="dxa"/>
            </w:tcMar>
            <w:vAlign w:val="center"/>
          </w:tcPr>
          <w:p w14:paraId="62F3D9A7" w14:textId="77777777" w:rsidR="002B5862" w:rsidRDefault="00000000">
            <w:pPr>
              <w:spacing w:after="0" w:line="252" w:lineRule="auto"/>
              <w:jc w:val="center"/>
            </w:pPr>
            <w:r>
              <w:rPr>
                <w:b/>
                <w:sz w:val="17"/>
              </w:rPr>
              <w:t>25</w:t>
            </w:r>
          </w:p>
        </w:tc>
        <w:tc>
          <w:tcPr>
            <w:tcW w:w="6840" w:type="dxa"/>
            <w:shd w:val="clear" w:color="auto" w:fill="FFFFFF"/>
            <w:tcMar>
              <w:top w:w="100" w:type="dxa"/>
              <w:left w:w="110" w:type="dxa"/>
              <w:bottom w:w="100" w:type="dxa"/>
              <w:right w:w="110" w:type="dxa"/>
            </w:tcMar>
            <w:vAlign w:val="center"/>
          </w:tcPr>
          <w:p w14:paraId="3FF1D846" w14:textId="77777777" w:rsidR="002B5862" w:rsidRDefault="00000000">
            <w:pPr>
              <w:spacing w:after="0" w:line="252" w:lineRule="auto"/>
            </w:pPr>
            <w:r>
              <w:rPr>
                <w:sz w:val="17"/>
              </w:rPr>
              <w:t>Every material claim agrees with the source papers and reference answer.</w:t>
            </w:r>
          </w:p>
        </w:tc>
      </w:tr>
      <w:tr w:rsidR="002B5862" w14:paraId="2B21BAF2" w14:textId="77777777">
        <w:trPr>
          <w:cantSplit/>
          <w:jc w:val="center"/>
        </w:trPr>
        <w:tc>
          <w:tcPr>
            <w:tcW w:w="2448" w:type="dxa"/>
            <w:shd w:val="clear" w:color="auto" w:fill="EAF2F6"/>
            <w:tcMar>
              <w:top w:w="100" w:type="dxa"/>
              <w:left w:w="110" w:type="dxa"/>
              <w:bottom w:w="100" w:type="dxa"/>
              <w:right w:w="110" w:type="dxa"/>
            </w:tcMar>
            <w:vAlign w:val="center"/>
          </w:tcPr>
          <w:p w14:paraId="533AF736" w14:textId="77777777" w:rsidR="002B5862" w:rsidRDefault="00000000">
            <w:pPr>
              <w:spacing w:after="0" w:line="252" w:lineRule="auto"/>
            </w:pPr>
            <w:r>
              <w:rPr>
                <w:b/>
                <w:sz w:val="17"/>
              </w:rPr>
              <w:t>Evidence grounding</w:t>
            </w:r>
          </w:p>
        </w:tc>
        <w:tc>
          <w:tcPr>
            <w:tcW w:w="1007" w:type="dxa"/>
            <w:shd w:val="clear" w:color="auto" w:fill="EAF2F6"/>
            <w:tcMar>
              <w:top w:w="100" w:type="dxa"/>
              <w:left w:w="110" w:type="dxa"/>
              <w:bottom w:w="100" w:type="dxa"/>
              <w:right w:w="110" w:type="dxa"/>
            </w:tcMar>
            <w:vAlign w:val="center"/>
          </w:tcPr>
          <w:p w14:paraId="182AB53A" w14:textId="77777777" w:rsidR="002B5862" w:rsidRDefault="00000000">
            <w:pPr>
              <w:spacing w:after="0" w:line="252" w:lineRule="auto"/>
              <w:jc w:val="center"/>
            </w:pPr>
            <w:r>
              <w:rPr>
                <w:b/>
                <w:sz w:val="17"/>
              </w:rPr>
              <w:t>20</w:t>
            </w:r>
          </w:p>
        </w:tc>
        <w:tc>
          <w:tcPr>
            <w:tcW w:w="6840" w:type="dxa"/>
            <w:shd w:val="clear" w:color="auto" w:fill="EAF2F6"/>
            <w:tcMar>
              <w:top w:w="100" w:type="dxa"/>
              <w:left w:w="110" w:type="dxa"/>
              <w:bottom w:w="100" w:type="dxa"/>
              <w:right w:w="110" w:type="dxa"/>
            </w:tcMar>
            <w:vAlign w:val="center"/>
          </w:tcPr>
          <w:p w14:paraId="3977270C" w14:textId="77777777" w:rsidR="002B5862" w:rsidRDefault="00000000">
            <w:pPr>
              <w:spacing w:after="0" w:line="252" w:lineRule="auto"/>
            </w:pPr>
            <w:r>
              <w:rPr>
                <w:sz w:val="17"/>
              </w:rPr>
              <w:t>Claims cite the correct paper and, where available, the supporting passage, figure, table, or experiment.</w:t>
            </w:r>
          </w:p>
        </w:tc>
      </w:tr>
      <w:tr w:rsidR="002B5862" w14:paraId="4961C1BE" w14:textId="77777777">
        <w:trPr>
          <w:cantSplit/>
          <w:jc w:val="center"/>
        </w:trPr>
        <w:tc>
          <w:tcPr>
            <w:tcW w:w="2448" w:type="dxa"/>
            <w:shd w:val="clear" w:color="auto" w:fill="FFFFFF"/>
            <w:tcMar>
              <w:top w:w="100" w:type="dxa"/>
              <w:left w:w="110" w:type="dxa"/>
              <w:bottom w:w="100" w:type="dxa"/>
              <w:right w:w="110" w:type="dxa"/>
            </w:tcMar>
            <w:vAlign w:val="center"/>
          </w:tcPr>
          <w:p w14:paraId="480DA99C" w14:textId="77777777" w:rsidR="002B5862" w:rsidRDefault="00000000">
            <w:pPr>
              <w:spacing w:after="0" w:line="252" w:lineRule="auto"/>
            </w:pPr>
            <w:r>
              <w:rPr>
                <w:b/>
                <w:sz w:val="17"/>
              </w:rPr>
              <w:t>Evidence completeness</w:t>
            </w:r>
          </w:p>
        </w:tc>
        <w:tc>
          <w:tcPr>
            <w:tcW w:w="1007" w:type="dxa"/>
            <w:shd w:val="clear" w:color="auto" w:fill="FFFFFF"/>
            <w:tcMar>
              <w:top w:w="100" w:type="dxa"/>
              <w:left w:w="110" w:type="dxa"/>
              <w:bottom w:w="100" w:type="dxa"/>
              <w:right w:w="110" w:type="dxa"/>
            </w:tcMar>
            <w:vAlign w:val="center"/>
          </w:tcPr>
          <w:p w14:paraId="4F309B64" w14:textId="77777777" w:rsidR="002B5862" w:rsidRDefault="00000000">
            <w:pPr>
              <w:spacing w:after="0" w:line="252" w:lineRule="auto"/>
              <w:jc w:val="center"/>
            </w:pPr>
            <w:r>
              <w:rPr>
                <w:b/>
                <w:sz w:val="17"/>
              </w:rPr>
              <w:t>15</w:t>
            </w:r>
          </w:p>
        </w:tc>
        <w:tc>
          <w:tcPr>
            <w:tcW w:w="6840" w:type="dxa"/>
            <w:shd w:val="clear" w:color="auto" w:fill="FFFFFF"/>
            <w:tcMar>
              <w:top w:w="100" w:type="dxa"/>
              <w:left w:w="110" w:type="dxa"/>
              <w:bottom w:w="100" w:type="dxa"/>
              <w:right w:w="110" w:type="dxa"/>
            </w:tcMar>
            <w:vAlign w:val="center"/>
          </w:tcPr>
          <w:p w14:paraId="16C61D61" w14:textId="77777777" w:rsidR="002B5862" w:rsidRDefault="00000000">
            <w:pPr>
              <w:spacing w:after="0" w:line="252" w:lineRule="auto"/>
            </w:pPr>
            <w:r>
              <w:rPr>
                <w:sz w:val="17"/>
              </w:rPr>
              <w:t>Includes the major supporting, qualifying, and potentially conflicting evidence required by the question type.</w:t>
            </w:r>
          </w:p>
        </w:tc>
      </w:tr>
      <w:tr w:rsidR="002B5862" w14:paraId="3AC6C38B" w14:textId="77777777">
        <w:trPr>
          <w:cantSplit/>
          <w:jc w:val="center"/>
        </w:trPr>
        <w:tc>
          <w:tcPr>
            <w:tcW w:w="2448" w:type="dxa"/>
            <w:shd w:val="clear" w:color="auto" w:fill="EAF2F6"/>
            <w:tcMar>
              <w:top w:w="100" w:type="dxa"/>
              <w:left w:w="110" w:type="dxa"/>
              <w:bottom w:w="100" w:type="dxa"/>
              <w:right w:w="110" w:type="dxa"/>
            </w:tcMar>
            <w:vAlign w:val="center"/>
          </w:tcPr>
          <w:p w14:paraId="46527602" w14:textId="77777777" w:rsidR="002B5862" w:rsidRDefault="00000000">
            <w:pPr>
              <w:spacing w:after="0" w:line="252" w:lineRule="auto"/>
            </w:pPr>
            <w:r>
              <w:rPr>
                <w:b/>
                <w:sz w:val="17"/>
              </w:rPr>
              <w:t>Context preservation</w:t>
            </w:r>
          </w:p>
        </w:tc>
        <w:tc>
          <w:tcPr>
            <w:tcW w:w="1007" w:type="dxa"/>
            <w:shd w:val="clear" w:color="auto" w:fill="EAF2F6"/>
            <w:tcMar>
              <w:top w:w="100" w:type="dxa"/>
              <w:left w:w="110" w:type="dxa"/>
              <w:bottom w:w="100" w:type="dxa"/>
              <w:right w:w="110" w:type="dxa"/>
            </w:tcMar>
            <w:vAlign w:val="center"/>
          </w:tcPr>
          <w:p w14:paraId="6485F85A" w14:textId="77777777" w:rsidR="002B5862" w:rsidRDefault="00000000">
            <w:pPr>
              <w:spacing w:after="0" w:line="252" w:lineRule="auto"/>
              <w:jc w:val="center"/>
            </w:pPr>
            <w:r>
              <w:rPr>
                <w:b/>
                <w:sz w:val="17"/>
              </w:rPr>
              <w:t>15</w:t>
            </w:r>
          </w:p>
        </w:tc>
        <w:tc>
          <w:tcPr>
            <w:tcW w:w="6840" w:type="dxa"/>
            <w:shd w:val="clear" w:color="auto" w:fill="EAF2F6"/>
            <w:tcMar>
              <w:top w:w="100" w:type="dxa"/>
              <w:left w:w="110" w:type="dxa"/>
              <w:bottom w:w="100" w:type="dxa"/>
              <w:right w:w="110" w:type="dxa"/>
            </w:tcMar>
            <w:vAlign w:val="center"/>
          </w:tcPr>
          <w:p w14:paraId="0295756F" w14:textId="77777777" w:rsidR="002B5862" w:rsidRDefault="00000000">
            <w:pPr>
              <w:spacing w:after="0" w:line="252" w:lineRule="auto"/>
            </w:pPr>
            <w:r>
              <w:rPr>
                <w:sz w:val="17"/>
              </w:rPr>
              <w:t>Retains species, cell population, anatomy, age, intervention, assay, direction, and temporal context when material.</w:t>
            </w:r>
          </w:p>
        </w:tc>
      </w:tr>
      <w:tr w:rsidR="002B5862" w14:paraId="2C31CD89" w14:textId="77777777">
        <w:trPr>
          <w:cantSplit/>
          <w:jc w:val="center"/>
        </w:trPr>
        <w:tc>
          <w:tcPr>
            <w:tcW w:w="2448" w:type="dxa"/>
            <w:shd w:val="clear" w:color="auto" w:fill="FFFFFF"/>
            <w:tcMar>
              <w:top w:w="100" w:type="dxa"/>
              <w:left w:w="110" w:type="dxa"/>
              <w:bottom w:w="100" w:type="dxa"/>
              <w:right w:w="110" w:type="dxa"/>
            </w:tcMar>
            <w:vAlign w:val="center"/>
          </w:tcPr>
          <w:p w14:paraId="76488961" w14:textId="77777777" w:rsidR="002B5862" w:rsidRDefault="00000000">
            <w:pPr>
              <w:spacing w:after="0" w:line="252" w:lineRule="auto"/>
            </w:pPr>
            <w:r>
              <w:rPr>
                <w:b/>
                <w:sz w:val="17"/>
              </w:rPr>
              <w:t>Causal calibration</w:t>
            </w:r>
          </w:p>
        </w:tc>
        <w:tc>
          <w:tcPr>
            <w:tcW w:w="1007" w:type="dxa"/>
            <w:shd w:val="clear" w:color="auto" w:fill="FFFFFF"/>
            <w:tcMar>
              <w:top w:w="100" w:type="dxa"/>
              <w:left w:w="110" w:type="dxa"/>
              <w:bottom w:w="100" w:type="dxa"/>
              <w:right w:w="110" w:type="dxa"/>
            </w:tcMar>
            <w:vAlign w:val="center"/>
          </w:tcPr>
          <w:p w14:paraId="57CB55EF" w14:textId="77777777" w:rsidR="002B5862" w:rsidRDefault="00000000">
            <w:pPr>
              <w:spacing w:after="0" w:line="252" w:lineRule="auto"/>
              <w:jc w:val="center"/>
            </w:pPr>
            <w:r>
              <w:rPr>
                <w:b/>
                <w:sz w:val="17"/>
              </w:rPr>
              <w:t>10</w:t>
            </w:r>
          </w:p>
        </w:tc>
        <w:tc>
          <w:tcPr>
            <w:tcW w:w="6840" w:type="dxa"/>
            <w:shd w:val="clear" w:color="auto" w:fill="FFFFFF"/>
            <w:tcMar>
              <w:top w:w="100" w:type="dxa"/>
              <w:left w:w="110" w:type="dxa"/>
              <w:bottom w:w="100" w:type="dxa"/>
              <w:right w:w="110" w:type="dxa"/>
            </w:tcMar>
            <w:vAlign w:val="center"/>
          </w:tcPr>
          <w:p w14:paraId="2EAC89DE" w14:textId="77777777" w:rsidR="002B5862" w:rsidRDefault="00000000">
            <w:pPr>
              <w:spacing w:after="0" w:line="252" w:lineRule="auto"/>
            </w:pPr>
            <w:r>
              <w:rPr>
                <w:sz w:val="17"/>
              </w:rPr>
              <w:t>Distinguishes causal perturbation and rescue from association, observation, and cross-study interpretation.</w:t>
            </w:r>
          </w:p>
        </w:tc>
      </w:tr>
      <w:tr w:rsidR="002B5862" w14:paraId="179FD3A3" w14:textId="77777777">
        <w:trPr>
          <w:cantSplit/>
          <w:jc w:val="center"/>
        </w:trPr>
        <w:tc>
          <w:tcPr>
            <w:tcW w:w="2448" w:type="dxa"/>
            <w:shd w:val="clear" w:color="auto" w:fill="EAF2F6"/>
            <w:tcMar>
              <w:top w:w="100" w:type="dxa"/>
              <w:left w:w="110" w:type="dxa"/>
              <w:bottom w:w="100" w:type="dxa"/>
              <w:right w:w="110" w:type="dxa"/>
            </w:tcMar>
            <w:vAlign w:val="center"/>
          </w:tcPr>
          <w:p w14:paraId="0DA6C9FA" w14:textId="4D33BC14" w:rsidR="002B5862" w:rsidRDefault="00000000">
            <w:pPr>
              <w:spacing w:after="0" w:line="252" w:lineRule="auto"/>
            </w:pPr>
            <w:r>
              <w:rPr>
                <w:b/>
                <w:sz w:val="17"/>
              </w:rPr>
              <w:t>Graph reasoning faithfulness</w:t>
            </w:r>
            <w:r w:rsidR="00F149B1">
              <w:rPr>
                <w:b/>
                <w:sz w:val="17"/>
              </w:rPr>
              <w:t>*</w:t>
            </w:r>
          </w:p>
        </w:tc>
        <w:tc>
          <w:tcPr>
            <w:tcW w:w="1007" w:type="dxa"/>
            <w:shd w:val="clear" w:color="auto" w:fill="EAF2F6"/>
            <w:tcMar>
              <w:top w:w="100" w:type="dxa"/>
              <w:left w:w="110" w:type="dxa"/>
              <w:bottom w:w="100" w:type="dxa"/>
              <w:right w:w="110" w:type="dxa"/>
            </w:tcMar>
            <w:vAlign w:val="center"/>
          </w:tcPr>
          <w:p w14:paraId="529F410E" w14:textId="77777777" w:rsidR="002B5862" w:rsidRDefault="00000000">
            <w:pPr>
              <w:spacing w:after="0" w:line="252" w:lineRule="auto"/>
              <w:jc w:val="center"/>
            </w:pPr>
            <w:r>
              <w:rPr>
                <w:b/>
                <w:sz w:val="17"/>
              </w:rPr>
              <w:t>10</w:t>
            </w:r>
          </w:p>
        </w:tc>
        <w:tc>
          <w:tcPr>
            <w:tcW w:w="6840" w:type="dxa"/>
            <w:shd w:val="clear" w:color="auto" w:fill="EAF2F6"/>
            <w:tcMar>
              <w:top w:w="100" w:type="dxa"/>
              <w:left w:w="110" w:type="dxa"/>
              <w:bottom w:w="100" w:type="dxa"/>
              <w:right w:w="110" w:type="dxa"/>
            </w:tcMar>
            <w:vAlign w:val="center"/>
          </w:tcPr>
          <w:p w14:paraId="428F89A2" w14:textId="024C8916" w:rsidR="002B5862" w:rsidRDefault="00000000">
            <w:pPr>
              <w:spacing w:after="0" w:line="252" w:lineRule="auto"/>
            </w:pPr>
            <w:r>
              <w:rPr>
                <w:sz w:val="17"/>
              </w:rPr>
              <w:t>The explanation follows valid retrieved nodes, edges, claims, and evidence paths without adding unsupported relations.</w:t>
            </w:r>
            <w:r w:rsidR="00F149B1">
              <w:rPr>
                <w:sz w:val="17"/>
              </w:rPr>
              <w:t xml:space="preserve"> </w:t>
            </w:r>
          </w:p>
        </w:tc>
      </w:tr>
      <w:tr w:rsidR="002B5862" w14:paraId="287E4B5A" w14:textId="77777777">
        <w:trPr>
          <w:cantSplit/>
          <w:jc w:val="center"/>
        </w:trPr>
        <w:tc>
          <w:tcPr>
            <w:tcW w:w="2448" w:type="dxa"/>
            <w:shd w:val="clear" w:color="auto" w:fill="FFFFFF"/>
            <w:tcMar>
              <w:top w:w="100" w:type="dxa"/>
              <w:left w:w="110" w:type="dxa"/>
              <w:bottom w:w="100" w:type="dxa"/>
              <w:right w:w="110" w:type="dxa"/>
            </w:tcMar>
            <w:vAlign w:val="center"/>
          </w:tcPr>
          <w:p w14:paraId="6986C823" w14:textId="77777777" w:rsidR="002B5862" w:rsidRDefault="00000000">
            <w:pPr>
              <w:spacing w:after="0" w:line="252" w:lineRule="auto"/>
            </w:pPr>
            <w:r>
              <w:rPr>
                <w:b/>
                <w:sz w:val="17"/>
              </w:rPr>
              <w:t>Relevance and clarity</w:t>
            </w:r>
          </w:p>
        </w:tc>
        <w:tc>
          <w:tcPr>
            <w:tcW w:w="1007" w:type="dxa"/>
            <w:shd w:val="clear" w:color="auto" w:fill="FFFFFF"/>
            <w:tcMar>
              <w:top w:w="100" w:type="dxa"/>
              <w:left w:w="110" w:type="dxa"/>
              <w:bottom w:w="100" w:type="dxa"/>
              <w:right w:w="110" w:type="dxa"/>
            </w:tcMar>
            <w:vAlign w:val="center"/>
          </w:tcPr>
          <w:p w14:paraId="72B8E232" w14:textId="77777777" w:rsidR="002B5862" w:rsidRDefault="00000000">
            <w:pPr>
              <w:spacing w:after="0" w:line="252" w:lineRule="auto"/>
              <w:jc w:val="center"/>
            </w:pPr>
            <w:r>
              <w:rPr>
                <w:b/>
                <w:sz w:val="17"/>
              </w:rPr>
              <w:t>5</w:t>
            </w:r>
          </w:p>
        </w:tc>
        <w:tc>
          <w:tcPr>
            <w:tcW w:w="6840" w:type="dxa"/>
            <w:shd w:val="clear" w:color="auto" w:fill="FFFFFF"/>
            <w:tcMar>
              <w:top w:w="100" w:type="dxa"/>
              <w:left w:w="110" w:type="dxa"/>
              <w:bottom w:w="100" w:type="dxa"/>
              <w:right w:w="110" w:type="dxa"/>
            </w:tcMar>
            <w:vAlign w:val="center"/>
          </w:tcPr>
          <w:p w14:paraId="39CA7F31" w14:textId="77777777" w:rsidR="002B5862" w:rsidRDefault="00000000">
            <w:pPr>
              <w:spacing w:after="0" w:line="252" w:lineRule="auto"/>
            </w:pPr>
            <w:r>
              <w:rPr>
                <w:sz w:val="17"/>
              </w:rPr>
              <w:t>Answers the question directly and communicates the result at an appropriate level of detail.</w:t>
            </w:r>
          </w:p>
        </w:tc>
      </w:tr>
    </w:tbl>
    <w:p w14:paraId="5C67877E" w14:textId="7B1C087F" w:rsidR="00F149B1" w:rsidRDefault="00F149B1" w:rsidP="00F149B1">
      <w:r>
        <w:t>* This criterion should be excluded for scoring non-Graph comparators.</w:t>
      </w:r>
    </w:p>
    <w:p w14:paraId="08671BE9" w14:textId="77777777" w:rsidR="00F149B1" w:rsidRDefault="00F149B1" w:rsidP="00F149B1"/>
    <w:p w14:paraId="101D794A" w14:textId="54C31E20" w:rsidR="002B5862" w:rsidRDefault="00000000">
      <w:pPr>
        <w:pStyle w:val="Heading2"/>
      </w:pPr>
      <w:r>
        <w:t>Penalties</w:t>
      </w:r>
    </w:p>
    <w:p w14:paraId="55C2CB32" w14:textId="77777777" w:rsidR="002B5862" w:rsidRDefault="00000000">
      <w:pPr>
        <w:pStyle w:val="ListBullet"/>
        <w:keepNext/>
        <w:spacing w:after="40" w:line="259" w:lineRule="auto"/>
        <w:ind w:left="331" w:hanging="216"/>
      </w:pPr>
      <w:r>
        <w:t>Minus 10 points for a material scientific claim unsupported by any ingested paper.</w:t>
      </w:r>
    </w:p>
    <w:p w14:paraId="2CFA29A9" w14:textId="77777777" w:rsidR="002B5862" w:rsidRDefault="00000000">
      <w:pPr>
        <w:pStyle w:val="ListBullet"/>
        <w:keepNext/>
        <w:spacing w:after="40" w:line="259" w:lineRule="auto"/>
        <w:ind w:left="331" w:hanging="216"/>
      </w:pPr>
      <w:r>
        <w:t>Minus 10 points for presenting a mouse finding as an established human conclusion.</w:t>
      </w:r>
    </w:p>
    <w:p w14:paraId="141D12D6" w14:textId="77777777" w:rsidR="002B5862" w:rsidRDefault="00000000">
      <w:pPr>
        <w:pStyle w:val="ListBullet"/>
        <w:keepNext/>
        <w:spacing w:after="40" w:line="259" w:lineRule="auto"/>
        <w:ind w:left="331" w:hanging="216"/>
      </w:pPr>
      <w:r>
        <w:t>Minus 5 points for an incorrect or irrelevant citation.</w:t>
      </w:r>
    </w:p>
    <w:p w14:paraId="3A68586F" w14:textId="77777777" w:rsidR="002B5862" w:rsidRDefault="00000000">
      <w:pPr>
        <w:pStyle w:val="ListBullet"/>
        <w:keepNext/>
        <w:spacing w:after="40" w:line="259" w:lineRule="auto"/>
        <w:ind w:left="331" w:hanging="216"/>
      </w:pPr>
      <w:r>
        <w:t>Minus 5 points for omitting a qualifier that materially changes the claim.</w:t>
      </w:r>
    </w:p>
    <w:p w14:paraId="5015791C" w14:textId="77777777" w:rsidR="002B5862" w:rsidRDefault="00000000">
      <w:pPr>
        <w:pStyle w:val="ListBullet"/>
        <w:spacing w:after="40" w:line="259" w:lineRule="auto"/>
        <w:ind w:left="331" w:hanging="216"/>
      </w:pPr>
      <w:r>
        <w:t>Minus 5 points for describing correlation or co-occurrence as causation.</w:t>
      </w:r>
    </w:p>
    <w:p w14:paraId="62D3F864" w14:textId="77777777" w:rsidR="002B5862" w:rsidRDefault="00000000">
      <w:pPr>
        <w:pStyle w:val="Heading2"/>
      </w:pPr>
      <w:r>
        <w:t>System Diagnostics</w:t>
      </w:r>
    </w:p>
    <w:tbl>
      <w:tblPr>
        <w:tblW w:w="0" w:type="auto"/>
        <w:jc w:val="center"/>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Layout w:type="fixed"/>
        <w:tblLook w:val="04A0" w:firstRow="1" w:lastRow="0" w:firstColumn="1" w:lastColumn="0" w:noHBand="0" w:noVBand="1"/>
      </w:tblPr>
      <w:tblGrid>
        <w:gridCol w:w="3168"/>
        <w:gridCol w:w="7128"/>
      </w:tblGrid>
      <w:tr w:rsidR="002B5862" w14:paraId="634C917D" w14:textId="77777777">
        <w:trPr>
          <w:cantSplit/>
          <w:tblHeader/>
          <w:jc w:val="center"/>
        </w:trPr>
        <w:tc>
          <w:tcPr>
            <w:tcW w:w="3168" w:type="dxa"/>
            <w:shd w:val="clear" w:color="auto" w:fill="18324A"/>
            <w:tcMar>
              <w:top w:w="100" w:type="dxa"/>
              <w:left w:w="110" w:type="dxa"/>
              <w:bottom w:w="100" w:type="dxa"/>
              <w:right w:w="110" w:type="dxa"/>
            </w:tcMar>
            <w:vAlign w:val="center"/>
          </w:tcPr>
          <w:p w14:paraId="78ED10A2" w14:textId="77777777" w:rsidR="002B5862" w:rsidRDefault="00000000">
            <w:pPr>
              <w:spacing w:after="0" w:line="252" w:lineRule="auto"/>
              <w:jc w:val="center"/>
            </w:pPr>
            <w:r>
              <w:rPr>
                <w:b/>
                <w:color w:val="FFFFFF"/>
                <w:sz w:val="17"/>
              </w:rPr>
              <w:t>Metric</w:t>
            </w:r>
          </w:p>
        </w:tc>
        <w:tc>
          <w:tcPr>
            <w:tcW w:w="7128" w:type="dxa"/>
            <w:shd w:val="clear" w:color="auto" w:fill="18324A"/>
            <w:tcMar>
              <w:top w:w="100" w:type="dxa"/>
              <w:left w:w="110" w:type="dxa"/>
              <w:bottom w:w="100" w:type="dxa"/>
              <w:right w:w="110" w:type="dxa"/>
            </w:tcMar>
            <w:vAlign w:val="center"/>
          </w:tcPr>
          <w:p w14:paraId="39A3FDCE" w14:textId="77777777" w:rsidR="002B5862" w:rsidRDefault="00000000">
            <w:pPr>
              <w:spacing w:after="0" w:line="252" w:lineRule="auto"/>
              <w:jc w:val="center"/>
            </w:pPr>
            <w:r>
              <w:rPr>
                <w:b/>
                <w:color w:val="FFFFFF"/>
                <w:sz w:val="17"/>
              </w:rPr>
              <w:t>Interpretation</w:t>
            </w:r>
          </w:p>
        </w:tc>
      </w:tr>
      <w:tr w:rsidR="002B5862" w14:paraId="3A2EE02F" w14:textId="77777777">
        <w:trPr>
          <w:cantSplit/>
          <w:jc w:val="center"/>
        </w:trPr>
        <w:tc>
          <w:tcPr>
            <w:tcW w:w="3168" w:type="dxa"/>
            <w:shd w:val="clear" w:color="auto" w:fill="FFFFFF"/>
            <w:tcMar>
              <w:top w:w="100" w:type="dxa"/>
              <w:left w:w="110" w:type="dxa"/>
              <w:bottom w:w="100" w:type="dxa"/>
              <w:right w:w="110" w:type="dxa"/>
            </w:tcMar>
            <w:vAlign w:val="center"/>
          </w:tcPr>
          <w:p w14:paraId="0B765775" w14:textId="77777777" w:rsidR="002B5862" w:rsidRDefault="00000000">
            <w:pPr>
              <w:spacing w:after="0" w:line="252" w:lineRule="auto"/>
            </w:pPr>
            <w:r>
              <w:rPr>
                <w:b/>
                <w:sz w:val="17"/>
              </w:rPr>
              <w:t>Evidence recall at k</w:t>
            </w:r>
          </w:p>
        </w:tc>
        <w:tc>
          <w:tcPr>
            <w:tcW w:w="7128" w:type="dxa"/>
            <w:shd w:val="clear" w:color="auto" w:fill="FFFFFF"/>
            <w:tcMar>
              <w:top w:w="100" w:type="dxa"/>
              <w:left w:w="110" w:type="dxa"/>
              <w:bottom w:w="100" w:type="dxa"/>
              <w:right w:w="110" w:type="dxa"/>
            </w:tcMar>
            <w:vAlign w:val="center"/>
          </w:tcPr>
          <w:p w14:paraId="5605DE52" w14:textId="77777777" w:rsidR="002B5862" w:rsidRDefault="00000000">
            <w:pPr>
              <w:spacing w:after="0" w:line="252" w:lineRule="auto"/>
            </w:pPr>
            <w:r>
              <w:rPr>
                <w:sz w:val="17"/>
              </w:rPr>
              <w:t>Fraction of gold supporting passages present among the top k retrieved items.</w:t>
            </w:r>
          </w:p>
        </w:tc>
      </w:tr>
      <w:tr w:rsidR="002B5862" w14:paraId="230A40C8" w14:textId="77777777">
        <w:trPr>
          <w:cantSplit/>
          <w:jc w:val="center"/>
        </w:trPr>
        <w:tc>
          <w:tcPr>
            <w:tcW w:w="3168" w:type="dxa"/>
            <w:shd w:val="clear" w:color="auto" w:fill="EAF2F6"/>
            <w:tcMar>
              <w:top w:w="100" w:type="dxa"/>
              <w:left w:w="110" w:type="dxa"/>
              <w:bottom w:w="100" w:type="dxa"/>
              <w:right w:w="110" w:type="dxa"/>
            </w:tcMar>
            <w:vAlign w:val="center"/>
          </w:tcPr>
          <w:p w14:paraId="335B303C" w14:textId="77777777" w:rsidR="002B5862" w:rsidRDefault="00000000">
            <w:pPr>
              <w:spacing w:after="0" w:line="252" w:lineRule="auto"/>
            </w:pPr>
            <w:r>
              <w:rPr>
                <w:b/>
                <w:sz w:val="17"/>
              </w:rPr>
              <w:t>Citation precision</w:t>
            </w:r>
          </w:p>
        </w:tc>
        <w:tc>
          <w:tcPr>
            <w:tcW w:w="7128" w:type="dxa"/>
            <w:shd w:val="clear" w:color="auto" w:fill="EAF2F6"/>
            <w:tcMar>
              <w:top w:w="100" w:type="dxa"/>
              <w:left w:w="110" w:type="dxa"/>
              <w:bottom w:w="100" w:type="dxa"/>
              <w:right w:w="110" w:type="dxa"/>
            </w:tcMar>
            <w:vAlign w:val="center"/>
          </w:tcPr>
          <w:p w14:paraId="4C563A60" w14:textId="77777777" w:rsidR="002B5862" w:rsidRDefault="00000000">
            <w:pPr>
              <w:spacing w:after="0" w:line="252" w:lineRule="auto"/>
            </w:pPr>
            <w:r>
              <w:rPr>
                <w:sz w:val="17"/>
              </w:rPr>
              <w:t>Fraction of cited passages that actually support the associated claim.</w:t>
            </w:r>
          </w:p>
        </w:tc>
      </w:tr>
      <w:tr w:rsidR="002B5862" w14:paraId="22427776" w14:textId="77777777">
        <w:trPr>
          <w:cantSplit/>
          <w:jc w:val="center"/>
        </w:trPr>
        <w:tc>
          <w:tcPr>
            <w:tcW w:w="3168" w:type="dxa"/>
            <w:shd w:val="clear" w:color="auto" w:fill="FFFFFF"/>
            <w:tcMar>
              <w:top w:w="100" w:type="dxa"/>
              <w:left w:w="110" w:type="dxa"/>
              <w:bottom w:w="100" w:type="dxa"/>
              <w:right w:w="110" w:type="dxa"/>
            </w:tcMar>
            <w:vAlign w:val="center"/>
          </w:tcPr>
          <w:p w14:paraId="5B63EC35" w14:textId="77777777" w:rsidR="002B5862" w:rsidRDefault="00000000">
            <w:pPr>
              <w:spacing w:after="0" w:line="252" w:lineRule="auto"/>
            </w:pPr>
            <w:r>
              <w:rPr>
                <w:b/>
                <w:sz w:val="17"/>
              </w:rPr>
              <w:t>Entity normalization accuracy</w:t>
            </w:r>
          </w:p>
        </w:tc>
        <w:tc>
          <w:tcPr>
            <w:tcW w:w="7128" w:type="dxa"/>
            <w:shd w:val="clear" w:color="auto" w:fill="FFFFFF"/>
            <w:tcMar>
              <w:top w:w="100" w:type="dxa"/>
              <w:left w:w="110" w:type="dxa"/>
              <w:bottom w:w="100" w:type="dxa"/>
              <w:right w:w="110" w:type="dxa"/>
            </w:tcMar>
            <w:vAlign w:val="center"/>
          </w:tcPr>
          <w:p w14:paraId="236985E5" w14:textId="77777777" w:rsidR="002B5862" w:rsidRDefault="00000000">
            <w:pPr>
              <w:spacing w:after="0" w:line="252" w:lineRule="auto"/>
            </w:pPr>
            <w:r>
              <w:rPr>
                <w:sz w:val="17"/>
              </w:rPr>
              <w:t>Correct mapping of mentions such as Atg7, tau, GSK3 beta, p62, and anatomical terms to canonical identifiers.</w:t>
            </w:r>
          </w:p>
        </w:tc>
      </w:tr>
      <w:tr w:rsidR="002B5862" w14:paraId="43C8CB63" w14:textId="77777777">
        <w:trPr>
          <w:cantSplit/>
          <w:jc w:val="center"/>
        </w:trPr>
        <w:tc>
          <w:tcPr>
            <w:tcW w:w="3168" w:type="dxa"/>
            <w:shd w:val="clear" w:color="auto" w:fill="EAF2F6"/>
            <w:tcMar>
              <w:top w:w="100" w:type="dxa"/>
              <w:left w:w="110" w:type="dxa"/>
              <w:bottom w:w="100" w:type="dxa"/>
              <w:right w:w="110" w:type="dxa"/>
            </w:tcMar>
            <w:vAlign w:val="center"/>
          </w:tcPr>
          <w:p w14:paraId="6AEDB877" w14:textId="77777777" w:rsidR="002B5862" w:rsidRDefault="00000000">
            <w:pPr>
              <w:spacing w:after="0" w:line="252" w:lineRule="auto"/>
            </w:pPr>
            <w:r>
              <w:rPr>
                <w:b/>
                <w:sz w:val="17"/>
              </w:rPr>
              <w:t>Qualifier retention</w:t>
            </w:r>
          </w:p>
        </w:tc>
        <w:tc>
          <w:tcPr>
            <w:tcW w:w="7128" w:type="dxa"/>
            <w:shd w:val="clear" w:color="auto" w:fill="EAF2F6"/>
            <w:tcMar>
              <w:top w:w="100" w:type="dxa"/>
              <w:left w:w="110" w:type="dxa"/>
              <w:bottom w:w="100" w:type="dxa"/>
              <w:right w:w="110" w:type="dxa"/>
            </w:tcMar>
            <w:vAlign w:val="center"/>
          </w:tcPr>
          <w:p w14:paraId="3CCA9BD3" w14:textId="77777777" w:rsidR="002B5862" w:rsidRDefault="00000000">
            <w:pPr>
              <w:spacing w:after="0" w:line="252" w:lineRule="auto"/>
            </w:pPr>
            <w:r>
              <w:rPr>
                <w:sz w:val="17"/>
              </w:rPr>
              <w:t>Fraction of required species, age, cell-type, perturbation, assay, and temporal qualifiers preserved.</w:t>
            </w:r>
          </w:p>
        </w:tc>
      </w:tr>
      <w:tr w:rsidR="002B5862" w14:paraId="054DDB9C" w14:textId="77777777">
        <w:trPr>
          <w:cantSplit/>
          <w:jc w:val="center"/>
        </w:trPr>
        <w:tc>
          <w:tcPr>
            <w:tcW w:w="3168" w:type="dxa"/>
            <w:shd w:val="clear" w:color="auto" w:fill="FFFFFF"/>
            <w:tcMar>
              <w:top w:w="100" w:type="dxa"/>
              <w:left w:w="110" w:type="dxa"/>
              <w:bottom w:w="100" w:type="dxa"/>
              <w:right w:w="110" w:type="dxa"/>
            </w:tcMar>
            <w:vAlign w:val="center"/>
          </w:tcPr>
          <w:p w14:paraId="092F77B9" w14:textId="77777777" w:rsidR="002B5862" w:rsidRDefault="00000000">
            <w:pPr>
              <w:spacing w:after="0" w:line="252" w:lineRule="auto"/>
            </w:pPr>
            <w:r>
              <w:rPr>
                <w:b/>
                <w:sz w:val="17"/>
              </w:rPr>
              <w:t>Unsupported-claim rate</w:t>
            </w:r>
          </w:p>
        </w:tc>
        <w:tc>
          <w:tcPr>
            <w:tcW w:w="7128" w:type="dxa"/>
            <w:shd w:val="clear" w:color="auto" w:fill="FFFFFF"/>
            <w:tcMar>
              <w:top w:w="100" w:type="dxa"/>
              <w:left w:w="110" w:type="dxa"/>
              <w:bottom w:w="100" w:type="dxa"/>
              <w:right w:w="110" w:type="dxa"/>
            </w:tcMar>
            <w:vAlign w:val="center"/>
          </w:tcPr>
          <w:p w14:paraId="7D10B71D" w14:textId="77777777" w:rsidR="002B5862" w:rsidRDefault="00000000">
            <w:pPr>
              <w:spacing w:after="0" w:line="252" w:lineRule="auto"/>
            </w:pPr>
            <w:r>
              <w:rPr>
                <w:sz w:val="17"/>
              </w:rPr>
              <w:t>Fraction of answer claims without a traceable supporting evidence object.</w:t>
            </w:r>
          </w:p>
        </w:tc>
      </w:tr>
      <w:tr w:rsidR="002B5862" w14:paraId="7931EB94" w14:textId="77777777">
        <w:trPr>
          <w:cantSplit/>
          <w:jc w:val="center"/>
        </w:trPr>
        <w:tc>
          <w:tcPr>
            <w:tcW w:w="3168" w:type="dxa"/>
            <w:shd w:val="clear" w:color="auto" w:fill="EAF2F6"/>
            <w:tcMar>
              <w:top w:w="100" w:type="dxa"/>
              <w:left w:w="110" w:type="dxa"/>
              <w:bottom w:w="100" w:type="dxa"/>
              <w:right w:w="110" w:type="dxa"/>
            </w:tcMar>
            <w:vAlign w:val="center"/>
          </w:tcPr>
          <w:p w14:paraId="16EE9DC1" w14:textId="77777777" w:rsidR="002B5862" w:rsidRDefault="00000000">
            <w:pPr>
              <w:spacing w:after="0" w:line="252" w:lineRule="auto"/>
            </w:pPr>
            <w:r>
              <w:rPr>
                <w:b/>
                <w:sz w:val="17"/>
              </w:rPr>
              <w:t>Leave-one-paper-out stability</w:t>
            </w:r>
          </w:p>
        </w:tc>
        <w:tc>
          <w:tcPr>
            <w:tcW w:w="7128" w:type="dxa"/>
            <w:shd w:val="clear" w:color="auto" w:fill="EAF2F6"/>
            <w:tcMar>
              <w:top w:w="100" w:type="dxa"/>
              <w:left w:w="110" w:type="dxa"/>
              <w:bottom w:w="100" w:type="dxa"/>
              <w:right w:w="110" w:type="dxa"/>
            </w:tcMar>
            <w:vAlign w:val="center"/>
          </w:tcPr>
          <w:p w14:paraId="5B26C3C9" w14:textId="77777777" w:rsidR="002B5862" w:rsidRDefault="00000000">
            <w:pPr>
              <w:spacing w:after="0" w:line="252" w:lineRule="auto"/>
            </w:pPr>
            <w:r>
              <w:rPr>
                <w:sz w:val="17"/>
              </w:rPr>
              <w:t>Change in answer and confidence when each source paper is removed in turn.</w:t>
            </w:r>
          </w:p>
        </w:tc>
      </w:tr>
    </w:tbl>
    <w:p w14:paraId="0B278CBF" w14:textId="77777777" w:rsidR="002B5862" w:rsidRDefault="00000000">
      <w:r>
        <w:br w:type="page"/>
      </w:r>
    </w:p>
    <w:p w14:paraId="074F3828" w14:textId="77777777" w:rsidR="002B5862" w:rsidRDefault="00000000">
      <w:pPr>
        <w:pStyle w:val="Heading1"/>
      </w:pPr>
      <w:r>
        <w:lastRenderedPageBreak/>
        <w:t>Benchmark Systems</w:t>
      </w:r>
    </w:p>
    <w:p w14:paraId="052A15ED" w14:textId="77777777" w:rsidR="002B5862" w:rsidRDefault="00000000">
      <w:pPr>
        <w:spacing w:after="100" w:line="269" w:lineRule="auto"/>
      </w:pPr>
      <w:r>
        <w:t>The required primary benchmark is a matched vector RAG system. It should use the same five papers, parsed document objects, generator model, prompt, and evidence-token budget as the Graph RAG system. Only the retrieval and reasoning representation should differ. This isolates the value added by graph construction and graph traversal.</w:t>
      </w:r>
    </w:p>
    <w:p w14:paraId="3A97CBD6" w14:textId="77777777" w:rsidR="002B5862" w:rsidRDefault="00000000">
      <w:pPr>
        <w:keepNext/>
        <w:spacing w:before="60" w:after="80"/>
      </w:pPr>
      <w:r>
        <w:rPr>
          <w:b/>
          <w:color w:val="18324A"/>
          <w:sz w:val="18"/>
        </w:rPr>
        <w:t>Table 4  Recommended comparison panel</w:t>
      </w:r>
    </w:p>
    <w:tbl>
      <w:tblPr>
        <w:tblW w:w="0" w:type="auto"/>
        <w:jc w:val="center"/>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Layout w:type="fixed"/>
        <w:tblLook w:val="04A0" w:firstRow="1" w:lastRow="0" w:firstColumn="1" w:lastColumn="0" w:noHBand="0" w:noVBand="1"/>
      </w:tblPr>
      <w:tblGrid>
        <w:gridCol w:w="2304"/>
        <w:gridCol w:w="5903"/>
        <w:gridCol w:w="2088"/>
      </w:tblGrid>
      <w:tr w:rsidR="002B5862" w14:paraId="4B831EDA" w14:textId="77777777">
        <w:trPr>
          <w:cantSplit/>
          <w:tblHeader/>
          <w:jc w:val="center"/>
        </w:trPr>
        <w:tc>
          <w:tcPr>
            <w:tcW w:w="2304" w:type="dxa"/>
            <w:shd w:val="clear" w:color="auto" w:fill="18324A"/>
            <w:tcMar>
              <w:top w:w="100" w:type="dxa"/>
              <w:left w:w="110" w:type="dxa"/>
              <w:bottom w:w="100" w:type="dxa"/>
              <w:right w:w="110" w:type="dxa"/>
            </w:tcMar>
            <w:vAlign w:val="center"/>
          </w:tcPr>
          <w:p w14:paraId="6C73A70F" w14:textId="77777777" w:rsidR="002B5862" w:rsidRDefault="00000000">
            <w:pPr>
              <w:spacing w:after="0" w:line="252" w:lineRule="auto"/>
              <w:jc w:val="center"/>
            </w:pPr>
            <w:r>
              <w:rPr>
                <w:b/>
                <w:color w:val="FFFFFF"/>
                <w:sz w:val="17"/>
              </w:rPr>
              <w:t>Comparator</w:t>
            </w:r>
          </w:p>
        </w:tc>
        <w:tc>
          <w:tcPr>
            <w:tcW w:w="5903" w:type="dxa"/>
            <w:shd w:val="clear" w:color="auto" w:fill="18324A"/>
            <w:tcMar>
              <w:top w:w="100" w:type="dxa"/>
              <w:left w:w="110" w:type="dxa"/>
              <w:bottom w:w="100" w:type="dxa"/>
              <w:right w:w="110" w:type="dxa"/>
            </w:tcMar>
            <w:vAlign w:val="center"/>
          </w:tcPr>
          <w:p w14:paraId="2BDCCDE1" w14:textId="77777777" w:rsidR="002B5862" w:rsidRDefault="00000000">
            <w:pPr>
              <w:spacing w:after="0" w:line="252" w:lineRule="auto"/>
              <w:jc w:val="center"/>
            </w:pPr>
            <w:r>
              <w:rPr>
                <w:b/>
                <w:color w:val="FFFFFF"/>
                <w:sz w:val="17"/>
              </w:rPr>
              <w:t>What it tests</w:t>
            </w:r>
          </w:p>
        </w:tc>
        <w:tc>
          <w:tcPr>
            <w:tcW w:w="2088" w:type="dxa"/>
            <w:shd w:val="clear" w:color="auto" w:fill="18324A"/>
            <w:tcMar>
              <w:top w:w="100" w:type="dxa"/>
              <w:left w:w="110" w:type="dxa"/>
              <w:bottom w:w="100" w:type="dxa"/>
              <w:right w:w="110" w:type="dxa"/>
            </w:tcMar>
            <w:vAlign w:val="center"/>
          </w:tcPr>
          <w:p w14:paraId="50D30C13" w14:textId="77777777" w:rsidR="002B5862" w:rsidRDefault="00000000">
            <w:pPr>
              <w:spacing w:after="0" w:line="252" w:lineRule="auto"/>
              <w:jc w:val="center"/>
            </w:pPr>
            <w:r>
              <w:rPr>
                <w:b/>
                <w:color w:val="FFFFFF"/>
                <w:sz w:val="17"/>
              </w:rPr>
              <w:t>Role</w:t>
            </w:r>
          </w:p>
        </w:tc>
      </w:tr>
      <w:tr w:rsidR="002B5862" w14:paraId="1916B88A" w14:textId="77777777">
        <w:trPr>
          <w:cantSplit/>
          <w:jc w:val="center"/>
        </w:trPr>
        <w:tc>
          <w:tcPr>
            <w:tcW w:w="2304" w:type="dxa"/>
            <w:shd w:val="clear" w:color="auto" w:fill="FFFFFF"/>
            <w:tcMar>
              <w:top w:w="100" w:type="dxa"/>
              <w:left w:w="110" w:type="dxa"/>
              <w:bottom w:w="100" w:type="dxa"/>
              <w:right w:w="110" w:type="dxa"/>
            </w:tcMar>
            <w:vAlign w:val="center"/>
          </w:tcPr>
          <w:p w14:paraId="004364E5" w14:textId="77777777" w:rsidR="002B5862" w:rsidRDefault="00000000">
            <w:pPr>
              <w:spacing w:after="0" w:line="252" w:lineRule="auto"/>
            </w:pPr>
            <w:r>
              <w:rPr>
                <w:b/>
                <w:sz w:val="17"/>
              </w:rPr>
              <w:t>Closed-book LLM</w:t>
            </w:r>
          </w:p>
        </w:tc>
        <w:tc>
          <w:tcPr>
            <w:tcW w:w="5903" w:type="dxa"/>
            <w:shd w:val="clear" w:color="auto" w:fill="FFFFFF"/>
            <w:tcMar>
              <w:top w:w="100" w:type="dxa"/>
              <w:left w:w="110" w:type="dxa"/>
              <w:bottom w:w="100" w:type="dxa"/>
              <w:right w:w="110" w:type="dxa"/>
            </w:tcMar>
            <w:vAlign w:val="center"/>
          </w:tcPr>
          <w:p w14:paraId="3482548C" w14:textId="77777777" w:rsidR="002B5862" w:rsidRDefault="00000000">
            <w:pPr>
              <w:spacing w:after="0" w:line="252" w:lineRule="auto"/>
            </w:pPr>
            <w:r>
              <w:rPr>
                <w:sz w:val="17"/>
              </w:rPr>
              <w:t>Tests whether answers come from model memory rather than the ingested corpus.</w:t>
            </w:r>
          </w:p>
        </w:tc>
        <w:tc>
          <w:tcPr>
            <w:tcW w:w="2088" w:type="dxa"/>
            <w:shd w:val="clear" w:color="auto" w:fill="FFFFFF"/>
            <w:tcMar>
              <w:top w:w="100" w:type="dxa"/>
              <w:left w:w="110" w:type="dxa"/>
              <w:bottom w:w="100" w:type="dxa"/>
              <w:right w:w="110" w:type="dxa"/>
            </w:tcMar>
            <w:vAlign w:val="center"/>
          </w:tcPr>
          <w:p w14:paraId="06F250E9" w14:textId="77777777" w:rsidR="002B5862" w:rsidRDefault="00000000">
            <w:pPr>
              <w:spacing w:after="0" w:line="252" w:lineRule="auto"/>
              <w:jc w:val="center"/>
            </w:pPr>
            <w:r>
              <w:rPr>
                <w:sz w:val="17"/>
              </w:rPr>
              <w:t>Internal baseline</w:t>
            </w:r>
          </w:p>
        </w:tc>
      </w:tr>
      <w:tr w:rsidR="002B5862" w14:paraId="109BDF4D" w14:textId="77777777">
        <w:trPr>
          <w:cantSplit/>
          <w:jc w:val="center"/>
        </w:trPr>
        <w:tc>
          <w:tcPr>
            <w:tcW w:w="2304" w:type="dxa"/>
            <w:shd w:val="clear" w:color="auto" w:fill="EAF2F6"/>
            <w:tcMar>
              <w:top w:w="100" w:type="dxa"/>
              <w:left w:w="110" w:type="dxa"/>
              <w:bottom w:w="100" w:type="dxa"/>
              <w:right w:w="110" w:type="dxa"/>
            </w:tcMar>
            <w:vAlign w:val="center"/>
          </w:tcPr>
          <w:p w14:paraId="17B23AF6" w14:textId="5C8158B0" w:rsidR="002B5862" w:rsidRDefault="00000000">
            <w:pPr>
              <w:spacing w:after="0" w:line="252" w:lineRule="auto"/>
            </w:pPr>
            <w:r>
              <w:rPr>
                <w:b/>
                <w:sz w:val="17"/>
              </w:rPr>
              <w:t>BM25 RAG</w:t>
            </w:r>
            <w:r w:rsidR="002A42EB">
              <w:rPr>
                <w:b/>
                <w:sz w:val="17"/>
              </w:rPr>
              <w:t>*</w:t>
            </w:r>
          </w:p>
        </w:tc>
        <w:tc>
          <w:tcPr>
            <w:tcW w:w="5903" w:type="dxa"/>
            <w:shd w:val="clear" w:color="auto" w:fill="EAF2F6"/>
            <w:tcMar>
              <w:top w:w="100" w:type="dxa"/>
              <w:left w:w="110" w:type="dxa"/>
              <w:bottom w:w="100" w:type="dxa"/>
              <w:right w:w="110" w:type="dxa"/>
            </w:tcMar>
            <w:vAlign w:val="center"/>
          </w:tcPr>
          <w:p w14:paraId="2B8CA504" w14:textId="77777777" w:rsidR="002B5862" w:rsidRDefault="00000000">
            <w:pPr>
              <w:spacing w:after="0" w:line="252" w:lineRule="auto"/>
            </w:pPr>
            <w:r>
              <w:rPr>
                <w:sz w:val="17"/>
              </w:rPr>
              <w:t>Tests exact-term and sparse lexical retrieval without embeddings or graph structure.</w:t>
            </w:r>
          </w:p>
        </w:tc>
        <w:tc>
          <w:tcPr>
            <w:tcW w:w="2088" w:type="dxa"/>
            <w:shd w:val="clear" w:color="auto" w:fill="EAF2F6"/>
            <w:tcMar>
              <w:top w:w="100" w:type="dxa"/>
              <w:left w:w="110" w:type="dxa"/>
              <w:bottom w:w="100" w:type="dxa"/>
              <w:right w:w="110" w:type="dxa"/>
            </w:tcMar>
            <w:vAlign w:val="center"/>
          </w:tcPr>
          <w:p w14:paraId="4DA36664" w14:textId="77777777" w:rsidR="002B5862" w:rsidRDefault="00000000">
            <w:pPr>
              <w:spacing w:after="0" w:line="252" w:lineRule="auto"/>
              <w:jc w:val="center"/>
            </w:pPr>
            <w:r>
              <w:rPr>
                <w:sz w:val="17"/>
              </w:rPr>
              <w:t>Internal baseline</w:t>
            </w:r>
          </w:p>
        </w:tc>
      </w:tr>
      <w:tr w:rsidR="002B5862" w14:paraId="5C7033D1" w14:textId="77777777">
        <w:trPr>
          <w:cantSplit/>
          <w:jc w:val="center"/>
        </w:trPr>
        <w:tc>
          <w:tcPr>
            <w:tcW w:w="2304" w:type="dxa"/>
            <w:shd w:val="clear" w:color="auto" w:fill="FFFFFF"/>
            <w:tcMar>
              <w:top w:w="100" w:type="dxa"/>
              <w:left w:w="110" w:type="dxa"/>
              <w:bottom w:w="100" w:type="dxa"/>
              <w:right w:w="110" w:type="dxa"/>
            </w:tcMar>
            <w:vAlign w:val="center"/>
          </w:tcPr>
          <w:p w14:paraId="46D23FB3" w14:textId="77777777" w:rsidR="002B5862" w:rsidRDefault="00000000">
            <w:pPr>
              <w:spacing w:after="0" w:line="252" w:lineRule="auto"/>
            </w:pPr>
            <w:r>
              <w:rPr>
                <w:b/>
                <w:sz w:val="17"/>
              </w:rPr>
              <w:t>Vector RAG</w:t>
            </w:r>
          </w:p>
        </w:tc>
        <w:tc>
          <w:tcPr>
            <w:tcW w:w="5903" w:type="dxa"/>
            <w:shd w:val="clear" w:color="auto" w:fill="FFFFFF"/>
            <w:tcMar>
              <w:top w:w="100" w:type="dxa"/>
              <w:left w:w="110" w:type="dxa"/>
              <w:bottom w:w="100" w:type="dxa"/>
              <w:right w:w="110" w:type="dxa"/>
            </w:tcMar>
            <w:vAlign w:val="center"/>
          </w:tcPr>
          <w:p w14:paraId="0AE28EBF" w14:textId="77777777" w:rsidR="002B5862" w:rsidRDefault="00000000">
            <w:pPr>
              <w:spacing w:after="0" w:line="252" w:lineRule="auto"/>
            </w:pPr>
            <w:r>
              <w:rPr>
                <w:sz w:val="17"/>
              </w:rPr>
              <w:t>Provides the fairest matched baseline for measuring the graph's added value.</w:t>
            </w:r>
          </w:p>
        </w:tc>
        <w:tc>
          <w:tcPr>
            <w:tcW w:w="2088" w:type="dxa"/>
            <w:shd w:val="clear" w:color="auto" w:fill="FFFFFF"/>
            <w:tcMar>
              <w:top w:w="100" w:type="dxa"/>
              <w:left w:w="110" w:type="dxa"/>
              <w:bottom w:w="100" w:type="dxa"/>
              <w:right w:w="110" w:type="dxa"/>
            </w:tcMar>
            <w:vAlign w:val="center"/>
          </w:tcPr>
          <w:p w14:paraId="308AEB43" w14:textId="77777777" w:rsidR="002B5862" w:rsidRDefault="00000000">
            <w:pPr>
              <w:spacing w:after="0" w:line="252" w:lineRule="auto"/>
              <w:jc w:val="center"/>
            </w:pPr>
            <w:r>
              <w:rPr>
                <w:sz w:val="17"/>
              </w:rPr>
              <w:t>Primary comparator</w:t>
            </w:r>
          </w:p>
        </w:tc>
      </w:tr>
      <w:tr w:rsidR="002B5862" w14:paraId="40F6329C" w14:textId="77777777">
        <w:trPr>
          <w:cantSplit/>
          <w:jc w:val="center"/>
        </w:trPr>
        <w:tc>
          <w:tcPr>
            <w:tcW w:w="2304" w:type="dxa"/>
            <w:shd w:val="clear" w:color="auto" w:fill="EAF2F6"/>
            <w:tcMar>
              <w:top w:w="100" w:type="dxa"/>
              <w:left w:w="110" w:type="dxa"/>
              <w:bottom w:w="100" w:type="dxa"/>
              <w:right w:w="110" w:type="dxa"/>
            </w:tcMar>
            <w:vAlign w:val="center"/>
          </w:tcPr>
          <w:p w14:paraId="5780C7E5" w14:textId="77777777" w:rsidR="002B5862" w:rsidRDefault="00000000">
            <w:pPr>
              <w:spacing w:after="0" w:line="252" w:lineRule="auto"/>
            </w:pPr>
            <w:r>
              <w:rPr>
                <w:b/>
                <w:sz w:val="17"/>
              </w:rPr>
              <w:t>PubTator 3 plus LLM</w:t>
            </w:r>
          </w:p>
        </w:tc>
        <w:tc>
          <w:tcPr>
            <w:tcW w:w="5903" w:type="dxa"/>
            <w:shd w:val="clear" w:color="auto" w:fill="EAF2F6"/>
            <w:tcMar>
              <w:top w:w="100" w:type="dxa"/>
              <w:left w:w="110" w:type="dxa"/>
              <w:bottom w:w="100" w:type="dxa"/>
              <w:right w:w="110" w:type="dxa"/>
            </w:tcMar>
            <w:vAlign w:val="center"/>
          </w:tcPr>
          <w:p w14:paraId="02817669" w14:textId="77777777" w:rsidR="002B5862" w:rsidRDefault="00000000">
            <w:pPr>
              <w:spacing w:after="0" w:line="252" w:lineRule="auto"/>
            </w:pPr>
            <w:r>
              <w:rPr>
                <w:sz w:val="17"/>
              </w:rPr>
              <w:t>Tests entity-normalized literature retrieval and relation search over a broad biomedical corpus.</w:t>
            </w:r>
          </w:p>
        </w:tc>
        <w:tc>
          <w:tcPr>
            <w:tcW w:w="2088" w:type="dxa"/>
            <w:shd w:val="clear" w:color="auto" w:fill="EAF2F6"/>
            <w:tcMar>
              <w:top w:w="100" w:type="dxa"/>
              <w:left w:w="110" w:type="dxa"/>
              <w:bottom w:w="100" w:type="dxa"/>
              <w:right w:w="110" w:type="dxa"/>
            </w:tcMar>
            <w:vAlign w:val="center"/>
          </w:tcPr>
          <w:p w14:paraId="3BA841EF" w14:textId="77777777" w:rsidR="002B5862" w:rsidRDefault="00000000">
            <w:pPr>
              <w:spacing w:after="0" w:line="252" w:lineRule="auto"/>
              <w:jc w:val="center"/>
            </w:pPr>
            <w:r>
              <w:rPr>
                <w:sz w:val="17"/>
              </w:rPr>
              <w:t>External text-mining comparator</w:t>
            </w:r>
          </w:p>
        </w:tc>
      </w:tr>
      <w:tr w:rsidR="002B5862" w14:paraId="2871FE33" w14:textId="77777777">
        <w:trPr>
          <w:cantSplit/>
          <w:jc w:val="center"/>
        </w:trPr>
        <w:tc>
          <w:tcPr>
            <w:tcW w:w="2304" w:type="dxa"/>
            <w:shd w:val="clear" w:color="auto" w:fill="FFFFFF"/>
            <w:tcMar>
              <w:top w:w="100" w:type="dxa"/>
              <w:left w:w="110" w:type="dxa"/>
              <w:bottom w:w="100" w:type="dxa"/>
              <w:right w:w="110" w:type="dxa"/>
            </w:tcMar>
            <w:vAlign w:val="center"/>
          </w:tcPr>
          <w:p w14:paraId="400071C6" w14:textId="77777777" w:rsidR="002B5862" w:rsidRDefault="00000000">
            <w:pPr>
              <w:spacing w:after="0" w:line="252" w:lineRule="auto"/>
            </w:pPr>
            <w:r>
              <w:rPr>
                <w:b/>
                <w:sz w:val="17"/>
              </w:rPr>
              <w:t>ARAX or NCATS Translator</w:t>
            </w:r>
          </w:p>
        </w:tc>
        <w:tc>
          <w:tcPr>
            <w:tcW w:w="5903" w:type="dxa"/>
            <w:shd w:val="clear" w:color="auto" w:fill="FFFFFF"/>
            <w:tcMar>
              <w:top w:w="100" w:type="dxa"/>
              <w:left w:w="110" w:type="dxa"/>
              <w:bottom w:w="100" w:type="dxa"/>
              <w:right w:w="110" w:type="dxa"/>
            </w:tcMar>
            <w:vAlign w:val="center"/>
          </w:tcPr>
          <w:p w14:paraId="6C19905E" w14:textId="77777777" w:rsidR="002B5862" w:rsidRDefault="00000000">
            <w:pPr>
              <w:spacing w:after="0" w:line="252" w:lineRule="auto"/>
            </w:pPr>
            <w:r>
              <w:rPr>
                <w:sz w:val="17"/>
              </w:rPr>
              <w:t>Tests ontology-normalized biomedical KG retrieval, multi-hop paths, provenance, and subgraph ranking.</w:t>
            </w:r>
          </w:p>
        </w:tc>
        <w:tc>
          <w:tcPr>
            <w:tcW w:w="2088" w:type="dxa"/>
            <w:shd w:val="clear" w:color="auto" w:fill="FFFFFF"/>
            <w:tcMar>
              <w:top w:w="100" w:type="dxa"/>
              <w:left w:w="110" w:type="dxa"/>
              <w:bottom w:w="100" w:type="dxa"/>
              <w:right w:w="110" w:type="dxa"/>
            </w:tcMar>
            <w:vAlign w:val="center"/>
          </w:tcPr>
          <w:p w14:paraId="2BC46561" w14:textId="77777777" w:rsidR="002B5862" w:rsidRDefault="00000000">
            <w:pPr>
              <w:spacing w:after="0" w:line="252" w:lineRule="auto"/>
              <w:jc w:val="center"/>
            </w:pPr>
            <w:r>
              <w:rPr>
                <w:sz w:val="17"/>
              </w:rPr>
              <w:t>External KG comparator</w:t>
            </w:r>
          </w:p>
        </w:tc>
      </w:tr>
      <w:tr w:rsidR="002B5862" w14:paraId="68951747" w14:textId="77777777">
        <w:trPr>
          <w:cantSplit/>
          <w:jc w:val="center"/>
        </w:trPr>
        <w:tc>
          <w:tcPr>
            <w:tcW w:w="2304" w:type="dxa"/>
            <w:shd w:val="clear" w:color="auto" w:fill="EAF2F6"/>
            <w:tcMar>
              <w:top w:w="100" w:type="dxa"/>
              <w:left w:w="110" w:type="dxa"/>
              <w:bottom w:w="100" w:type="dxa"/>
              <w:right w:w="110" w:type="dxa"/>
            </w:tcMar>
            <w:vAlign w:val="center"/>
          </w:tcPr>
          <w:p w14:paraId="3831BAB4" w14:textId="77777777" w:rsidR="002B5862" w:rsidRDefault="00000000">
            <w:pPr>
              <w:spacing w:after="0" w:line="252" w:lineRule="auto"/>
            </w:pPr>
            <w:r>
              <w:rPr>
                <w:b/>
                <w:sz w:val="17"/>
              </w:rPr>
              <w:t>ROBOKOP</w:t>
            </w:r>
          </w:p>
        </w:tc>
        <w:tc>
          <w:tcPr>
            <w:tcW w:w="5903" w:type="dxa"/>
            <w:shd w:val="clear" w:color="auto" w:fill="EAF2F6"/>
            <w:tcMar>
              <w:top w:w="100" w:type="dxa"/>
              <w:left w:w="110" w:type="dxa"/>
              <w:bottom w:w="100" w:type="dxa"/>
              <w:right w:w="110" w:type="dxa"/>
            </w:tcMar>
            <w:vAlign w:val="center"/>
          </w:tcPr>
          <w:p w14:paraId="66D44C80" w14:textId="77777777" w:rsidR="002B5862" w:rsidRDefault="00000000">
            <w:pPr>
              <w:spacing w:after="0" w:line="252" w:lineRule="auto"/>
            </w:pPr>
            <w:r>
              <w:rPr>
                <w:sz w:val="17"/>
              </w:rPr>
              <w:t>Tests typed biomedical paths and source provenance, although paper-level experimental qualifiers may be incomplete.</w:t>
            </w:r>
          </w:p>
        </w:tc>
        <w:tc>
          <w:tcPr>
            <w:tcW w:w="2088" w:type="dxa"/>
            <w:shd w:val="clear" w:color="auto" w:fill="EAF2F6"/>
            <w:tcMar>
              <w:top w:w="100" w:type="dxa"/>
              <w:left w:w="110" w:type="dxa"/>
              <w:bottom w:w="100" w:type="dxa"/>
              <w:right w:w="110" w:type="dxa"/>
            </w:tcMar>
            <w:vAlign w:val="center"/>
          </w:tcPr>
          <w:p w14:paraId="7987C4C8" w14:textId="77777777" w:rsidR="002B5862" w:rsidRDefault="00000000">
            <w:pPr>
              <w:spacing w:after="0" w:line="252" w:lineRule="auto"/>
              <w:jc w:val="center"/>
            </w:pPr>
            <w:r>
              <w:rPr>
                <w:sz w:val="17"/>
              </w:rPr>
              <w:t>External KG comparator</w:t>
            </w:r>
          </w:p>
        </w:tc>
      </w:tr>
      <w:tr w:rsidR="002B5862" w14:paraId="3F04783D" w14:textId="77777777">
        <w:trPr>
          <w:cantSplit/>
          <w:jc w:val="center"/>
        </w:trPr>
        <w:tc>
          <w:tcPr>
            <w:tcW w:w="2304" w:type="dxa"/>
            <w:shd w:val="clear" w:color="auto" w:fill="FFFFFF"/>
            <w:tcMar>
              <w:top w:w="100" w:type="dxa"/>
              <w:left w:w="110" w:type="dxa"/>
              <w:bottom w:w="100" w:type="dxa"/>
              <w:right w:w="110" w:type="dxa"/>
            </w:tcMar>
            <w:vAlign w:val="center"/>
          </w:tcPr>
          <w:p w14:paraId="3AAAEAEA" w14:textId="77777777" w:rsidR="002B5862" w:rsidRDefault="00000000">
            <w:pPr>
              <w:spacing w:after="0" w:line="252" w:lineRule="auto"/>
            </w:pPr>
            <w:r>
              <w:rPr>
                <w:b/>
                <w:sz w:val="17"/>
              </w:rPr>
              <w:t>Human reference answers</w:t>
            </w:r>
          </w:p>
        </w:tc>
        <w:tc>
          <w:tcPr>
            <w:tcW w:w="5903" w:type="dxa"/>
            <w:shd w:val="clear" w:color="auto" w:fill="FFFFFF"/>
            <w:tcMar>
              <w:top w:w="100" w:type="dxa"/>
              <w:left w:w="110" w:type="dxa"/>
              <w:bottom w:w="100" w:type="dxa"/>
              <w:right w:w="110" w:type="dxa"/>
            </w:tcMar>
            <w:vAlign w:val="center"/>
          </w:tcPr>
          <w:p w14:paraId="4A02F0F8" w14:textId="77777777" w:rsidR="002B5862" w:rsidRDefault="00000000">
            <w:pPr>
              <w:spacing w:after="0" w:line="252" w:lineRule="auto"/>
            </w:pPr>
            <w:r>
              <w:rPr>
                <w:sz w:val="17"/>
              </w:rPr>
              <w:t>Provide the scientific gold standard for correctness, context, and causal calibration.</w:t>
            </w:r>
          </w:p>
        </w:tc>
        <w:tc>
          <w:tcPr>
            <w:tcW w:w="2088" w:type="dxa"/>
            <w:shd w:val="clear" w:color="auto" w:fill="FFFFFF"/>
            <w:tcMar>
              <w:top w:w="100" w:type="dxa"/>
              <w:left w:w="110" w:type="dxa"/>
              <w:bottom w:w="100" w:type="dxa"/>
              <w:right w:w="110" w:type="dxa"/>
            </w:tcMar>
            <w:vAlign w:val="center"/>
          </w:tcPr>
          <w:p w14:paraId="6DE32B63" w14:textId="77777777" w:rsidR="002B5862" w:rsidRDefault="00000000">
            <w:pPr>
              <w:spacing w:after="0" w:line="252" w:lineRule="auto"/>
              <w:jc w:val="center"/>
            </w:pPr>
            <w:r>
              <w:rPr>
                <w:sz w:val="17"/>
              </w:rPr>
              <w:t>Gold standard</w:t>
            </w:r>
          </w:p>
        </w:tc>
      </w:tr>
    </w:tbl>
    <w:p w14:paraId="7C41CA16" w14:textId="4DD90CBB" w:rsidR="002A42EB" w:rsidRDefault="002A42EB" w:rsidP="002A42EB">
      <w:r w:rsidRPr="002A42EB">
        <w:rPr>
          <w:b/>
          <w:bCs/>
        </w:rPr>
        <w:t>*</w:t>
      </w:r>
      <w:r>
        <w:t xml:space="preserve"> A separate section provides details about the BM25 comparator. </w:t>
      </w:r>
    </w:p>
    <w:p w14:paraId="29859EFE" w14:textId="0763019E" w:rsidR="002B5862" w:rsidRDefault="00000000">
      <w:pPr>
        <w:pStyle w:val="Heading2"/>
      </w:pPr>
      <w:r>
        <w:t>Recommended Evaluation Procedure</w:t>
      </w:r>
    </w:p>
    <w:p w14:paraId="06314028" w14:textId="77777777" w:rsidR="002B5862" w:rsidRDefault="00000000">
      <w:pPr>
        <w:spacing w:after="60"/>
        <w:ind w:left="432" w:hanging="432"/>
      </w:pPr>
      <w:r>
        <w:rPr>
          <w:b/>
          <w:color w:val="245B78"/>
        </w:rPr>
        <w:t xml:space="preserve">1. </w:t>
      </w:r>
      <w:r>
        <w:t>Freeze the five-paper corpus, document versions, ontology versions, extraction models, and graph build.</w:t>
      </w:r>
    </w:p>
    <w:p w14:paraId="2A76F5C1" w14:textId="77777777" w:rsidR="002B5862" w:rsidRDefault="00000000">
      <w:pPr>
        <w:spacing w:after="60"/>
        <w:ind w:left="432" w:hanging="432"/>
      </w:pPr>
      <w:r>
        <w:rPr>
          <w:b/>
          <w:color w:val="245B78"/>
        </w:rPr>
        <w:t xml:space="preserve">2. </w:t>
      </w:r>
      <w:r>
        <w:t>Use the same generator model, prompt, temperature, answer length, and evidence-token budget for all RAG variants.</w:t>
      </w:r>
    </w:p>
    <w:p w14:paraId="30BEC1EF" w14:textId="77777777" w:rsidR="002B5862" w:rsidRDefault="00000000">
      <w:pPr>
        <w:spacing w:after="60"/>
        <w:ind w:left="432" w:hanging="432"/>
      </w:pPr>
      <w:r>
        <w:rPr>
          <w:b/>
          <w:color w:val="245B78"/>
        </w:rPr>
        <w:t xml:space="preserve">3. </w:t>
      </w:r>
      <w:r>
        <w:t>Keep the nine questions and reference answers hidden from the systems during development and execution.</w:t>
      </w:r>
    </w:p>
    <w:p w14:paraId="2122B8FB" w14:textId="77777777" w:rsidR="002B5862" w:rsidRDefault="00000000">
      <w:pPr>
        <w:spacing w:after="60"/>
        <w:ind w:left="432" w:hanging="432"/>
      </w:pPr>
      <w:r>
        <w:rPr>
          <w:b/>
          <w:color w:val="245B78"/>
        </w:rPr>
        <w:t xml:space="preserve">4. </w:t>
      </w:r>
      <w:r>
        <w:t>Record retrieved passages, graph nodes, edges, evidence spans, and reasoning paths for every answer.</w:t>
      </w:r>
    </w:p>
    <w:p w14:paraId="4C1F2FC7" w14:textId="77777777" w:rsidR="002B5862" w:rsidRDefault="00000000">
      <w:pPr>
        <w:spacing w:after="60"/>
        <w:ind w:left="432" w:hanging="432"/>
      </w:pPr>
      <w:r>
        <w:rPr>
          <w:b/>
          <w:color w:val="245B78"/>
        </w:rPr>
        <w:t xml:space="preserve">5. </w:t>
      </w:r>
      <w:r>
        <w:t>Score Type A and Type B questions separately, then report the weighted total and each diagnostic metric.</w:t>
      </w:r>
    </w:p>
    <w:p w14:paraId="6378C0C7" w14:textId="77777777" w:rsidR="002B5862" w:rsidRDefault="00000000">
      <w:pPr>
        <w:spacing w:after="60"/>
        <w:ind w:left="432" w:hanging="432"/>
      </w:pPr>
      <w:r>
        <w:rPr>
          <w:b/>
          <w:color w:val="245B78"/>
        </w:rPr>
        <w:t xml:space="preserve">6. </w:t>
      </w:r>
      <w:r>
        <w:t>Run graph-only, text-only, and hybrid retrieval ablations to identify which component produced each gain.</w:t>
      </w:r>
    </w:p>
    <w:p w14:paraId="2A888A2E" w14:textId="77777777" w:rsidR="002B5862" w:rsidRDefault="00000000">
      <w:pPr>
        <w:keepLines/>
        <w:spacing w:after="180" w:line="269" w:lineRule="auto"/>
      </w:pPr>
      <w:r>
        <w:t>The main success criterion is not simply that Graph RAG produces longer answers. It should retrieve the right evidence, preserve experimental qualifiers, expose a valid evidence path, distinguish robust conclusions from model-specific findings, and reduce unsupported generalization relative to matched text-only systems.</w:t>
      </w:r>
    </w:p>
    <w:p w14:paraId="5329D22A" w14:textId="77777777" w:rsidR="002B5862" w:rsidRDefault="00000000">
      <w:r>
        <w:br w:type="page"/>
      </w:r>
    </w:p>
    <w:p w14:paraId="06706BBB" w14:textId="77777777" w:rsidR="002B5862" w:rsidRDefault="00000000">
      <w:pPr>
        <w:pStyle w:val="Heading1"/>
      </w:pPr>
      <w:r>
        <w:lastRenderedPageBreak/>
        <w:t>References and Resources</w:t>
      </w:r>
    </w:p>
    <w:p w14:paraId="21E18993" w14:textId="77777777" w:rsidR="002B5862" w:rsidRDefault="00000000">
      <w:pPr>
        <w:spacing w:after="60"/>
        <w:ind w:left="403" w:hanging="403"/>
      </w:pPr>
      <w:r>
        <w:rPr>
          <w:b/>
          <w:color w:val="245B78"/>
          <w:sz w:val="18"/>
        </w:rPr>
        <w:t xml:space="preserve">1. </w:t>
      </w:r>
      <w:r>
        <w:rPr>
          <w:sz w:val="18"/>
        </w:rPr>
        <w:t xml:space="preserve">Hara T et al. Suppression of basal autophagy in neural cells causes neurodegenerative disease in mice. Nature. 2006. DOI 10.1038/nature04724. </w:t>
      </w:r>
      <w:hyperlink r:id="rId8">
        <w:r>
          <w:rPr>
            <w:color w:val="245B78"/>
            <w:u w:val="single"/>
          </w:rPr>
          <w:t>Link</w:t>
        </w:r>
      </w:hyperlink>
    </w:p>
    <w:p w14:paraId="64679F6C" w14:textId="77777777" w:rsidR="002B5862" w:rsidRDefault="00000000">
      <w:pPr>
        <w:spacing w:after="60"/>
        <w:ind w:left="403" w:hanging="403"/>
      </w:pPr>
      <w:r>
        <w:rPr>
          <w:b/>
          <w:color w:val="245B78"/>
          <w:sz w:val="18"/>
        </w:rPr>
        <w:t xml:space="preserve">2. </w:t>
      </w:r>
      <w:r>
        <w:rPr>
          <w:sz w:val="18"/>
        </w:rPr>
        <w:t xml:space="preserve">Komatsu M et al. Loss of autophagy in the central nervous system causes neurodegeneration in mice. Nature. 2006. DOI 10.1038/nature04723. </w:t>
      </w:r>
      <w:hyperlink r:id="rId9">
        <w:r>
          <w:rPr>
            <w:color w:val="245B78"/>
            <w:u w:val="single"/>
          </w:rPr>
          <w:t>Link</w:t>
        </w:r>
      </w:hyperlink>
    </w:p>
    <w:p w14:paraId="765BD5F6" w14:textId="77777777" w:rsidR="002B5862" w:rsidRDefault="00000000">
      <w:pPr>
        <w:spacing w:after="60"/>
        <w:ind w:left="403" w:hanging="403"/>
      </w:pPr>
      <w:r>
        <w:rPr>
          <w:b/>
          <w:color w:val="245B78"/>
          <w:sz w:val="18"/>
        </w:rPr>
        <w:t xml:space="preserve">3. </w:t>
      </w:r>
      <w:r>
        <w:rPr>
          <w:sz w:val="18"/>
        </w:rPr>
        <w:t xml:space="preserve">Maday S, Wallace KE, Holzbaur ELF. Autophagosomes initiate distally and mature during transport toward the cell soma in primary neurons. Journal of Cell Biology. 2012. </w:t>
      </w:r>
      <w:hyperlink r:id="rId10">
        <w:r>
          <w:rPr>
            <w:color w:val="245B78"/>
            <w:u w:val="single"/>
          </w:rPr>
          <w:t>Link</w:t>
        </w:r>
      </w:hyperlink>
    </w:p>
    <w:p w14:paraId="3C2C3581" w14:textId="77777777" w:rsidR="002B5862" w:rsidRDefault="00000000">
      <w:pPr>
        <w:spacing w:after="60"/>
        <w:ind w:left="403" w:hanging="403"/>
      </w:pPr>
      <w:r>
        <w:rPr>
          <w:b/>
          <w:color w:val="245B78"/>
          <w:sz w:val="18"/>
        </w:rPr>
        <w:t xml:space="preserve">4. </w:t>
      </w:r>
      <w:r>
        <w:rPr>
          <w:sz w:val="18"/>
        </w:rPr>
        <w:t xml:space="preserve">Inoue K et al. Macroautophagy deficiency mediates age-dependent neurodegeneration through a phospho-tau pathway. Molecular Neurodegeneration. 2012. </w:t>
      </w:r>
      <w:hyperlink r:id="rId11">
        <w:r>
          <w:rPr>
            <w:color w:val="245B78"/>
            <w:u w:val="single"/>
          </w:rPr>
          <w:t>Link</w:t>
        </w:r>
      </w:hyperlink>
    </w:p>
    <w:p w14:paraId="070D6883" w14:textId="77777777" w:rsidR="002B5862" w:rsidRDefault="00000000">
      <w:pPr>
        <w:spacing w:after="60"/>
        <w:ind w:left="403" w:hanging="403"/>
      </w:pPr>
      <w:r>
        <w:rPr>
          <w:b/>
          <w:color w:val="245B78"/>
          <w:sz w:val="18"/>
        </w:rPr>
        <w:t xml:space="preserve">5. </w:t>
      </w:r>
      <w:r>
        <w:rPr>
          <w:sz w:val="18"/>
        </w:rPr>
        <w:t xml:space="preserve">Tsong H, Holzbaur ELF, Stavoe AKH. Aging Differentially Affects Axonal Autophagosome Formation and Maturation. Autophagy. 2023. </w:t>
      </w:r>
      <w:hyperlink r:id="rId12">
        <w:r>
          <w:rPr>
            <w:color w:val="245B78"/>
            <w:u w:val="single"/>
          </w:rPr>
          <w:t>Link</w:t>
        </w:r>
      </w:hyperlink>
    </w:p>
    <w:p w14:paraId="286F2A7B" w14:textId="77777777" w:rsidR="002B5862" w:rsidRDefault="00000000">
      <w:pPr>
        <w:spacing w:after="60"/>
        <w:ind w:left="403" w:hanging="403"/>
      </w:pPr>
      <w:r>
        <w:rPr>
          <w:b/>
          <w:color w:val="245B78"/>
          <w:sz w:val="18"/>
        </w:rPr>
        <w:t xml:space="preserve">6. </w:t>
      </w:r>
      <w:r>
        <w:rPr>
          <w:sz w:val="18"/>
        </w:rPr>
        <w:t xml:space="preserve">Wei CH et al. PubTator 3.0: an AI-powered literature resource for unlocking biomedical knowledge. Nucleic Acids Research. 2024. </w:t>
      </w:r>
      <w:hyperlink r:id="rId13">
        <w:r>
          <w:rPr>
            <w:color w:val="245B78"/>
            <w:u w:val="single"/>
          </w:rPr>
          <w:t>Link</w:t>
        </w:r>
      </w:hyperlink>
    </w:p>
    <w:p w14:paraId="4BBD6FB3" w14:textId="77777777" w:rsidR="002B5862" w:rsidRDefault="00000000">
      <w:pPr>
        <w:spacing w:after="60"/>
        <w:ind w:left="403" w:hanging="403"/>
      </w:pPr>
      <w:r>
        <w:rPr>
          <w:b/>
          <w:color w:val="245B78"/>
          <w:sz w:val="18"/>
        </w:rPr>
        <w:t xml:space="preserve">7. </w:t>
      </w:r>
      <w:r>
        <w:rPr>
          <w:sz w:val="18"/>
        </w:rPr>
        <w:t xml:space="preserve">ARAX: a graph-based modular reasoning tool for translational biomedicine. Bioinformatics. 2023. </w:t>
      </w:r>
      <w:hyperlink r:id="rId14">
        <w:r>
          <w:rPr>
            <w:color w:val="245B78"/>
            <w:u w:val="single"/>
          </w:rPr>
          <w:t>Link</w:t>
        </w:r>
      </w:hyperlink>
    </w:p>
    <w:p w14:paraId="3D72F6A7" w14:textId="77777777" w:rsidR="002B5862" w:rsidRDefault="00000000">
      <w:pPr>
        <w:spacing w:after="60"/>
        <w:ind w:left="403" w:hanging="403"/>
      </w:pPr>
      <w:r>
        <w:rPr>
          <w:b/>
          <w:color w:val="245B78"/>
          <w:sz w:val="18"/>
        </w:rPr>
        <w:t xml:space="preserve">8. </w:t>
      </w:r>
      <w:r>
        <w:rPr>
          <w:sz w:val="18"/>
        </w:rPr>
        <w:t xml:space="preserve">ROBOKOP biomedical knowledge-graph application and reasoning example. </w:t>
      </w:r>
      <w:hyperlink r:id="rId15">
        <w:r>
          <w:rPr>
            <w:color w:val="245B78"/>
            <w:u w:val="single"/>
          </w:rPr>
          <w:t>Link</w:t>
        </w:r>
      </w:hyperlink>
    </w:p>
    <w:p w14:paraId="7E6D2939" w14:textId="77777777" w:rsidR="002B5862" w:rsidRDefault="00000000">
      <w:pPr>
        <w:spacing w:after="60"/>
        <w:ind w:left="403" w:hanging="403"/>
      </w:pPr>
      <w:r>
        <w:rPr>
          <w:b/>
          <w:color w:val="245B78"/>
          <w:sz w:val="18"/>
        </w:rPr>
        <w:t xml:space="preserve">9. </w:t>
      </w:r>
      <w:r>
        <w:rPr>
          <w:sz w:val="18"/>
        </w:rPr>
        <w:t xml:space="preserve">BioASQ biomedical semantic indexing and question-answering challenge. </w:t>
      </w:r>
      <w:hyperlink r:id="rId16">
        <w:r>
          <w:rPr>
            <w:color w:val="245B78"/>
            <w:u w:val="single"/>
          </w:rPr>
          <w:t>Link</w:t>
        </w:r>
      </w:hyperlink>
    </w:p>
    <w:p w14:paraId="7C05BF53" w14:textId="77777777" w:rsidR="00616F51" w:rsidRDefault="00616F51" w:rsidP="00616F51"/>
    <w:p w14:paraId="3FC48075" w14:textId="50D7A5F0" w:rsidR="00616F51" w:rsidRDefault="00616F51">
      <w:pPr>
        <w:pStyle w:val="Heading2"/>
      </w:pPr>
      <w:r>
        <w:t xml:space="preserve">Pointers/Links to References </w:t>
      </w:r>
    </w:p>
    <w:p w14:paraId="0DBE5137" w14:textId="77777777" w:rsidR="00616F51" w:rsidRPr="00894610" w:rsidRDefault="00616F51" w:rsidP="00616F51">
      <w:r w:rsidRPr="00894610">
        <w:t xml:space="preserve">As of </w:t>
      </w:r>
      <w:r w:rsidRPr="00894610">
        <w:rPr>
          <w:b/>
          <w:bCs/>
        </w:rPr>
        <w:t>October 7, 2026, only two provide publicly retrievable full-text JATS/PMC XML</w:t>
      </w:r>
      <w:r w:rsidRPr="00894610">
        <w:t xml:space="preserve">. One additional paper is readable in </w:t>
      </w:r>
      <w:proofErr w:type="gramStart"/>
      <w:r w:rsidRPr="00894610">
        <w:t>PMC</w:t>
      </w:r>
      <w:proofErr w:type="gramEnd"/>
      <w:r w:rsidRPr="00894610">
        <w:t xml:space="preserve"> but its full XML body is not available through the reuse API. The two Nature papers have no PMC deposit.</w:t>
      </w:r>
    </w:p>
    <w:p w14:paraId="593E5DDB" w14:textId="77777777" w:rsidR="00616F51" w:rsidRPr="00894610" w:rsidRDefault="00616F51" w:rsidP="00616F51">
      <w:pPr>
        <w:pStyle w:val="Heading4"/>
      </w:pPr>
      <w:r w:rsidRPr="00894610">
        <w:t>1. Hara et al., 2006</w:t>
      </w:r>
    </w:p>
    <w:p w14:paraId="48A38136" w14:textId="77777777" w:rsidR="00616F51" w:rsidRPr="00894610" w:rsidRDefault="00616F51" w:rsidP="00616F51">
      <w:r w:rsidRPr="00894610">
        <w:rPr>
          <w:i/>
          <w:iCs/>
        </w:rPr>
        <w:t>Suppression of basal autophagy in neural cells causes neurodegenerative disease in mice</w:t>
      </w:r>
    </w:p>
    <w:p w14:paraId="43A0C89D" w14:textId="77777777" w:rsidR="00616F51" w:rsidRPr="00894610" w:rsidRDefault="00616F51" w:rsidP="00616F51">
      <w:pPr>
        <w:numPr>
          <w:ilvl w:val="0"/>
          <w:numId w:val="15"/>
        </w:numPr>
        <w:spacing w:after="0" w:line="278" w:lineRule="auto"/>
      </w:pPr>
      <w:hyperlink r:id="rId17" w:history="1">
        <w:r w:rsidRPr="00894610">
          <w:rPr>
            <w:rStyle w:val="Hyperlink"/>
          </w:rPr>
          <w:t>Nature ful</w:t>
        </w:r>
        <w:r w:rsidRPr="00894610">
          <w:rPr>
            <w:rStyle w:val="Hyperlink"/>
          </w:rPr>
          <w:t>l</w:t>
        </w:r>
        <w:r w:rsidRPr="00894610">
          <w:rPr>
            <w:rStyle w:val="Hyperlink"/>
          </w:rPr>
          <w:t>-text page</w:t>
        </w:r>
      </w:hyperlink>
    </w:p>
    <w:p w14:paraId="0A3CFA44" w14:textId="77777777" w:rsidR="00616F51" w:rsidRPr="00894610" w:rsidRDefault="00616F51" w:rsidP="00616F51">
      <w:pPr>
        <w:numPr>
          <w:ilvl w:val="0"/>
          <w:numId w:val="15"/>
        </w:numPr>
        <w:spacing w:after="0" w:line="278" w:lineRule="auto"/>
      </w:pPr>
      <w:hyperlink r:id="rId18" w:history="1">
        <w:r w:rsidRPr="00894610">
          <w:rPr>
            <w:rStyle w:val="Hyperlink"/>
          </w:rPr>
          <w:t>Nature PDF</w:t>
        </w:r>
      </w:hyperlink>
    </w:p>
    <w:p w14:paraId="6059C444" w14:textId="77777777" w:rsidR="00616F51" w:rsidRPr="00894610" w:rsidRDefault="00616F51" w:rsidP="00616F51">
      <w:pPr>
        <w:numPr>
          <w:ilvl w:val="0"/>
          <w:numId w:val="15"/>
        </w:numPr>
        <w:spacing w:after="0" w:line="278" w:lineRule="auto"/>
      </w:pPr>
      <w:hyperlink r:id="rId19" w:history="1">
        <w:r w:rsidRPr="00894610">
          <w:rPr>
            <w:rStyle w:val="Hyperlink"/>
          </w:rPr>
          <w:t>PubMed record</w:t>
        </w:r>
      </w:hyperlink>
    </w:p>
    <w:p w14:paraId="6ECB3C11" w14:textId="77777777" w:rsidR="00616F51" w:rsidRPr="00894610" w:rsidRDefault="00616F51" w:rsidP="00616F51">
      <w:pPr>
        <w:numPr>
          <w:ilvl w:val="0"/>
          <w:numId w:val="15"/>
        </w:numPr>
        <w:spacing w:after="0" w:line="278" w:lineRule="auto"/>
      </w:pPr>
      <w:r w:rsidRPr="00894610">
        <w:t>DOI: 10.1038/nature04724</w:t>
      </w:r>
    </w:p>
    <w:p w14:paraId="05CC5071" w14:textId="77777777" w:rsidR="00616F51" w:rsidRPr="00894610" w:rsidRDefault="00616F51" w:rsidP="00616F51">
      <w:pPr>
        <w:numPr>
          <w:ilvl w:val="0"/>
          <w:numId w:val="15"/>
        </w:numPr>
        <w:spacing w:after="0" w:line="278" w:lineRule="auto"/>
      </w:pPr>
      <w:r w:rsidRPr="00894610">
        <w:rPr>
          <w:b/>
          <w:bCs/>
        </w:rPr>
        <w:t>JATS status:</w:t>
      </w:r>
      <w:r w:rsidRPr="00894610">
        <w:t xml:space="preserve"> No public JATS full text; no PMCID. Use publisher HTML or PDF with GROBID/</w:t>
      </w:r>
      <w:proofErr w:type="spellStart"/>
      <w:r w:rsidRPr="00894610">
        <w:t>Docling</w:t>
      </w:r>
      <w:proofErr w:type="spellEnd"/>
      <w:r w:rsidRPr="00894610">
        <w:t>.</w:t>
      </w:r>
    </w:p>
    <w:p w14:paraId="0A36A0B2" w14:textId="77777777" w:rsidR="00616F51" w:rsidRPr="00894610" w:rsidRDefault="00616F51" w:rsidP="00616F51">
      <w:pPr>
        <w:pStyle w:val="Heading4"/>
      </w:pPr>
      <w:r w:rsidRPr="00894610">
        <w:t>2. Komatsu et al., 2006</w:t>
      </w:r>
    </w:p>
    <w:p w14:paraId="6CBF957E" w14:textId="77777777" w:rsidR="00616F51" w:rsidRPr="00894610" w:rsidRDefault="00616F51" w:rsidP="00616F51">
      <w:r w:rsidRPr="00894610">
        <w:rPr>
          <w:i/>
          <w:iCs/>
        </w:rPr>
        <w:t>Loss of autophagy in the central nervous system causes neurodegeneration in mice</w:t>
      </w:r>
    </w:p>
    <w:p w14:paraId="0CD6F1E5" w14:textId="77777777" w:rsidR="00616F51" w:rsidRPr="00894610" w:rsidRDefault="00616F51" w:rsidP="00616F51">
      <w:pPr>
        <w:numPr>
          <w:ilvl w:val="0"/>
          <w:numId w:val="16"/>
        </w:numPr>
        <w:spacing w:after="0" w:line="278" w:lineRule="auto"/>
      </w:pPr>
      <w:hyperlink r:id="rId20" w:history="1">
        <w:r w:rsidRPr="00894610">
          <w:rPr>
            <w:rStyle w:val="Hyperlink"/>
          </w:rPr>
          <w:t>Nature full-text page</w:t>
        </w:r>
      </w:hyperlink>
    </w:p>
    <w:p w14:paraId="2D0AA00E" w14:textId="77777777" w:rsidR="00616F51" w:rsidRPr="00894610" w:rsidRDefault="00616F51" w:rsidP="00616F51">
      <w:pPr>
        <w:numPr>
          <w:ilvl w:val="0"/>
          <w:numId w:val="16"/>
        </w:numPr>
        <w:spacing w:after="0" w:line="278" w:lineRule="auto"/>
      </w:pPr>
      <w:hyperlink r:id="rId21" w:history="1">
        <w:r w:rsidRPr="00894610">
          <w:rPr>
            <w:rStyle w:val="Hyperlink"/>
          </w:rPr>
          <w:t>Nature PDF</w:t>
        </w:r>
      </w:hyperlink>
    </w:p>
    <w:p w14:paraId="0BAB05F7" w14:textId="77777777" w:rsidR="00616F51" w:rsidRPr="00894610" w:rsidRDefault="00616F51" w:rsidP="00616F51">
      <w:pPr>
        <w:numPr>
          <w:ilvl w:val="0"/>
          <w:numId w:val="16"/>
        </w:numPr>
        <w:spacing w:after="0" w:line="278" w:lineRule="auto"/>
      </w:pPr>
      <w:hyperlink r:id="rId22" w:history="1">
        <w:r w:rsidRPr="00894610">
          <w:rPr>
            <w:rStyle w:val="Hyperlink"/>
          </w:rPr>
          <w:t>PubMed record</w:t>
        </w:r>
      </w:hyperlink>
    </w:p>
    <w:p w14:paraId="3B109625" w14:textId="77777777" w:rsidR="00616F51" w:rsidRPr="00894610" w:rsidRDefault="00616F51" w:rsidP="00616F51">
      <w:pPr>
        <w:numPr>
          <w:ilvl w:val="0"/>
          <w:numId w:val="16"/>
        </w:numPr>
        <w:spacing w:after="0" w:line="278" w:lineRule="auto"/>
      </w:pPr>
      <w:r w:rsidRPr="00894610">
        <w:t>DOI: 10.1038/nature04723</w:t>
      </w:r>
    </w:p>
    <w:p w14:paraId="065CD2E0" w14:textId="77777777" w:rsidR="00616F51" w:rsidRPr="00894610" w:rsidRDefault="00616F51" w:rsidP="00616F51">
      <w:pPr>
        <w:numPr>
          <w:ilvl w:val="0"/>
          <w:numId w:val="16"/>
        </w:numPr>
        <w:spacing w:after="0" w:line="278" w:lineRule="auto"/>
      </w:pPr>
      <w:r w:rsidRPr="00894610">
        <w:rPr>
          <w:b/>
          <w:bCs/>
        </w:rPr>
        <w:t>JATS status:</w:t>
      </w:r>
      <w:r w:rsidRPr="00894610">
        <w:t xml:space="preserve"> No public JATS full text; no PMCID. Use publisher HTML or PDF with GROBID/</w:t>
      </w:r>
      <w:proofErr w:type="spellStart"/>
      <w:r w:rsidRPr="00894610">
        <w:t>Docling</w:t>
      </w:r>
      <w:proofErr w:type="spellEnd"/>
      <w:r w:rsidRPr="00894610">
        <w:t>.</w:t>
      </w:r>
    </w:p>
    <w:p w14:paraId="32128F27" w14:textId="77777777" w:rsidR="00616F51" w:rsidRPr="00894610" w:rsidRDefault="00616F51" w:rsidP="00616F51">
      <w:pPr>
        <w:pStyle w:val="Heading4"/>
      </w:pPr>
      <w:r w:rsidRPr="00894610">
        <w:t>3. Maday et al., 2012</w:t>
      </w:r>
    </w:p>
    <w:p w14:paraId="0D0A925A" w14:textId="77777777" w:rsidR="00616F51" w:rsidRPr="00894610" w:rsidRDefault="00616F51" w:rsidP="00616F51">
      <w:r w:rsidRPr="00894610">
        <w:rPr>
          <w:i/>
          <w:iCs/>
        </w:rPr>
        <w:t>Autophagosomes initiate distally and mature during transport toward the cell soma in primary neurons</w:t>
      </w:r>
    </w:p>
    <w:p w14:paraId="699D4F99" w14:textId="77777777" w:rsidR="00616F51" w:rsidRPr="00894610" w:rsidRDefault="00616F51" w:rsidP="00616F51">
      <w:pPr>
        <w:numPr>
          <w:ilvl w:val="0"/>
          <w:numId w:val="17"/>
        </w:numPr>
        <w:spacing w:after="0" w:line="278" w:lineRule="auto"/>
      </w:pPr>
      <w:hyperlink r:id="rId23" w:history="1">
        <w:r w:rsidRPr="00894610">
          <w:rPr>
            <w:rStyle w:val="Hyperlink"/>
          </w:rPr>
          <w:t>Direct full-text XML</w:t>
        </w:r>
      </w:hyperlink>
    </w:p>
    <w:p w14:paraId="530396AB" w14:textId="77777777" w:rsidR="00616F51" w:rsidRPr="00894610" w:rsidRDefault="00616F51" w:rsidP="00616F51">
      <w:pPr>
        <w:numPr>
          <w:ilvl w:val="0"/>
          <w:numId w:val="17"/>
        </w:numPr>
        <w:spacing w:after="0" w:line="278" w:lineRule="auto"/>
      </w:pPr>
      <w:hyperlink r:id="rId24" w:history="1">
        <w:r w:rsidRPr="00894610">
          <w:rPr>
            <w:rStyle w:val="Hyperlink"/>
          </w:rPr>
          <w:t>PMC full-text page</w:t>
        </w:r>
      </w:hyperlink>
    </w:p>
    <w:p w14:paraId="4BB80226" w14:textId="77777777" w:rsidR="00616F51" w:rsidRPr="00894610" w:rsidRDefault="00616F51" w:rsidP="00616F51">
      <w:pPr>
        <w:numPr>
          <w:ilvl w:val="0"/>
          <w:numId w:val="17"/>
        </w:numPr>
        <w:spacing w:after="0" w:line="278" w:lineRule="auto"/>
      </w:pPr>
      <w:hyperlink r:id="rId25" w:history="1">
        <w:r w:rsidRPr="00894610">
          <w:rPr>
            <w:rStyle w:val="Hyperlink"/>
          </w:rPr>
          <w:t>PMC OAI JATS record</w:t>
        </w:r>
      </w:hyperlink>
    </w:p>
    <w:p w14:paraId="6D375873" w14:textId="77777777" w:rsidR="00616F51" w:rsidRPr="00894610" w:rsidRDefault="00616F51" w:rsidP="00616F51">
      <w:pPr>
        <w:numPr>
          <w:ilvl w:val="0"/>
          <w:numId w:val="17"/>
        </w:numPr>
        <w:spacing w:after="0" w:line="278" w:lineRule="auto"/>
      </w:pPr>
      <w:r w:rsidRPr="00894610">
        <w:t>PMCID: PMC3283992</w:t>
      </w:r>
    </w:p>
    <w:p w14:paraId="7F491C26" w14:textId="77777777" w:rsidR="00616F51" w:rsidRPr="00894610" w:rsidRDefault="00616F51" w:rsidP="00616F51">
      <w:pPr>
        <w:numPr>
          <w:ilvl w:val="0"/>
          <w:numId w:val="17"/>
        </w:numPr>
        <w:spacing w:after="0" w:line="278" w:lineRule="auto"/>
      </w:pPr>
      <w:r w:rsidRPr="00894610">
        <w:rPr>
          <w:b/>
          <w:bCs/>
        </w:rPr>
        <w:lastRenderedPageBreak/>
        <w:t>JATS status:</w:t>
      </w:r>
      <w:r w:rsidRPr="00894610">
        <w:t xml:space="preserve"> Complete body, figures, tables and references verified.</w:t>
      </w:r>
    </w:p>
    <w:p w14:paraId="32C9DF0F" w14:textId="77777777" w:rsidR="00616F51" w:rsidRPr="00894610" w:rsidRDefault="00616F51" w:rsidP="00616F51">
      <w:pPr>
        <w:pStyle w:val="Heading4"/>
      </w:pPr>
      <w:r w:rsidRPr="00894610">
        <w:t>4. Inoue et al., 2012</w:t>
      </w:r>
    </w:p>
    <w:p w14:paraId="057F02AB" w14:textId="77777777" w:rsidR="00616F51" w:rsidRPr="00894610" w:rsidRDefault="00616F51" w:rsidP="00616F51">
      <w:proofErr w:type="spellStart"/>
      <w:r w:rsidRPr="00894610">
        <w:rPr>
          <w:i/>
          <w:iCs/>
        </w:rPr>
        <w:t>Macroautophagy</w:t>
      </w:r>
      <w:proofErr w:type="spellEnd"/>
      <w:r w:rsidRPr="00894610">
        <w:rPr>
          <w:i/>
          <w:iCs/>
        </w:rPr>
        <w:t xml:space="preserve"> deficiency mediates age-dependent neurodegeneration through a phospho-tau pathway</w:t>
      </w:r>
    </w:p>
    <w:p w14:paraId="749600C8" w14:textId="77777777" w:rsidR="00616F51" w:rsidRPr="00894610" w:rsidRDefault="00616F51" w:rsidP="00616F51">
      <w:pPr>
        <w:numPr>
          <w:ilvl w:val="0"/>
          <w:numId w:val="18"/>
        </w:numPr>
        <w:spacing w:after="0" w:line="278" w:lineRule="auto"/>
      </w:pPr>
      <w:hyperlink r:id="rId26" w:history="1">
        <w:r w:rsidRPr="00894610">
          <w:rPr>
            <w:rStyle w:val="Hyperlink"/>
          </w:rPr>
          <w:t>Direct full-text XML</w:t>
        </w:r>
      </w:hyperlink>
    </w:p>
    <w:p w14:paraId="39A8EE5F" w14:textId="77777777" w:rsidR="00616F51" w:rsidRPr="00894610" w:rsidRDefault="00616F51" w:rsidP="00616F51">
      <w:pPr>
        <w:numPr>
          <w:ilvl w:val="0"/>
          <w:numId w:val="18"/>
        </w:numPr>
        <w:spacing w:after="0" w:line="278" w:lineRule="auto"/>
      </w:pPr>
      <w:hyperlink r:id="rId27" w:history="1">
        <w:r w:rsidRPr="00894610">
          <w:rPr>
            <w:rStyle w:val="Hyperlink"/>
          </w:rPr>
          <w:t>PMC full-text page</w:t>
        </w:r>
      </w:hyperlink>
    </w:p>
    <w:p w14:paraId="20CD73C7" w14:textId="77777777" w:rsidR="00616F51" w:rsidRPr="00894610" w:rsidRDefault="00616F51" w:rsidP="00616F51">
      <w:pPr>
        <w:numPr>
          <w:ilvl w:val="0"/>
          <w:numId w:val="18"/>
        </w:numPr>
        <w:spacing w:after="0" w:line="278" w:lineRule="auto"/>
      </w:pPr>
      <w:hyperlink r:id="rId28" w:history="1">
        <w:r w:rsidRPr="00894610">
          <w:rPr>
            <w:rStyle w:val="Hyperlink"/>
          </w:rPr>
          <w:t>PMC OAI JATS record</w:t>
        </w:r>
      </w:hyperlink>
    </w:p>
    <w:p w14:paraId="04DF54CA" w14:textId="77777777" w:rsidR="00616F51" w:rsidRPr="00894610" w:rsidRDefault="00616F51" w:rsidP="00616F51">
      <w:pPr>
        <w:numPr>
          <w:ilvl w:val="0"/>
          <w:numId w:val="18"/>
        </w:numPr>
        <w:spacing w:after="0" w:line="278" w:lineRule="auto"/>
      </w:pPr>
      <w:r w:rsidRPr="00894610">
        <w:t>PMCID: PMC3544596</w:t>
      </w:r>
    </w:p>
    <w:p w14:paraId="06C48567" w14:textId="77777777" w:rsidR="00616F51" w:rsidRPr="00894610" w:rsidRDefault="00616F51" w:rsidP="00616F51">
      <w:pPr>
        <w:numPr>
          <w:ilvl w:val="0"/>
          <w:numId w:val="18"/>
        </w:numPr>
        <w:spacing w:after="0" w:line="278" w:lineRule="auto"/>
      </w:pPr>
      <w:r w:rsidRPr="00894610">
        <w:rPr>
          <w:b/>
          <w:bCs/>
        </w:rPr>
        <w:t>JATS status:</w:t>
      </w:r>
      <w:r w:rsidRPr="00894610">
        <w:t xml:space="preserve"> Complete body, figures, tables and references verified.</w:t>
      </w:r>
    </w:p>
    <w:p w14:paraId="3C3E86DA" w14:textId="77777777" w:rsidR="00616F51" w:rsidRPr="00894610" w:rsidRDefault="00616F51" w:rsidP="00616F51">
      <w:pPr>
        <w:pStyle w:val="Heading4"/>
      </w:pPr>
      <w:r w:rsidRPr="00894610">
        <w:t>5. Tsong et al., 2023</w:t>
      </w:r>
    </w:p>
    <w:p w14:paraId="45C82925" w14:textId="77777777" w:rsidR="00616F51" w:rsidRPr="00894610" w:rsidRDefault="00616F51" w:rsidP="00616F51">
      <w:r w:rsidRPr="00894610">
        <w:rPr>
          <w:i/>
          <w:iCs/>
        </w:rPr>
        <w:t>Aging Differentially Affects Axonal Autophagosome Formation and Maturation</w:t>
      </w:r>
    </w:p>
    <w:p w14:paraId="2ADF4304" w14:textId="77777777" w:rsidR="00616F51" w:rsidRPr="00894610" w:rsidRDefault="00616F51" w:rsidP="00616F51">
      <w:pPr>
        <w:numPr>
          <w:ilvl w:val="0"/>
          <w:numId w:val="19"/>
        </w:numPr>
        <w:spacing w:after="0" w:line="278" w:lineRule="auto"/>
      </w:pPr>
      <w:hyperlink r:id="rId29" w:history="1">
        <w:r w:rsidRPr="00894610">
          <w:rPr>
            <w:rStyle w:val="Hyperlink"/>
          </w:rPr>
          <w:t>PMC full-text page</w:t>
        </w:r>
      </w:hyperlink>
    </w:p>
    <w:p w14:paraId="521AAA5F" w14:textId="77777777" w:rsidR="00616F51" w:rsidRPr="00894610" w:rsidRDefault="00616F51" w:rsidP="00616F51">
      <w:pPr>
        <w:numPr>
          <w:ilvl w:val="0"/>
          <w:numId w:val="19"/>
        </w:numPr>
        <w:spacing w:after="0" w:line="278" w:lineRule="auto"/>
      </w:pPr>
      <w:hyperlink r:id="rId30" w:history="1">
        <w:r w:rsidRPr="00894610">
          <w:rPr>
            <w:rStyle w:val="Hyperlink"/>
          </w:rPr>
          <w:t>Publisher full-text page</w:t>
        </w:r>
      </w:hyperlink>
    </w:p>
    <w:p w14:paraId="6406E802" w14:textId="77777777" w:rsidR="00616F51" w:rsidRPr="00894610" w:rsidRDefault="00616F51" w:rsidP="00616F51">
      <w:pPr>
        <w:numPr>
          <w:ilvl w:val="0"/>
          <w:numId w:val="19"/>
        </w:numPr>
        <w:spacing w:after="0" w:line="278" w:lineRule="auto"/>
      </w:pPr>
      <w:hyperlink r:id="rId31" w:history="1">
        <w:r w:rsidRPr="00894610">
          <w:rPr>
            <w:rStyle w:val="Hyperlink"/>
          </w:rPr>
          <w:t>Publisher PDF</w:t>
        </w:r>
      </w:hyperlink>
    </w:p>
    <w:p w14:paraId="77FF8B56" w14:textId="77777777" w:rsidR="00616F51" w:rsidRPr="00894610" w:rsidRDefault="00616F51" w:rsidP="00616F51">
      <w:pPr>
        <w:numPr>
          <w:ilvl w:val="0"/>
          <w:numId w:val="19"/>
        </w:numPr>
        <w:spacing w:after="0" w:line="278" w:lineRule="auto"/>
      </w:pPr>
      <w:hyperlink r:id="rId32" w:history="1">
        <w:r w:rsidRPr="00894610">
          <w:rPr>
            <w:rStyle w:val="Hyperlink"/>
          </w:rPr>
          <w:t>PubMed record</w:t>
        </w:r>
      </w:hyperlink>
    </w:p>
    <w:p w14:paraId="219150B0" w14:textId="77777777" w:rsidR="00616F51" w:rsidRPr="00894610" w:rsidRDefault="00616F51" w:rsidP="00616F51">
      <w:pPr>
        <w:numPr>
          <w:ilvl w:val="0"/>
          <w:numId w:val="19"/>
        </w:numPr>
        <w:spacing w:after="0" w:line="278" w:lineRule="auto"/>
      </w:pPr>
      <w:r w:rsidRPr="00894610">
        <w:t>PMCID: PMC10621248</w:t>
      </w:r>
    </w:p>
    <w:p w14:paraId="5ED13FE2" w14:textId="77777777" w:rsidR="00616F51" w:rsidRPr="00894610" w:rsidRDefault="00616F51" w:rsidP="00616F51">
      <w:pPr>
        <w:numPr>
          <w:ilvl w:val="0"/>
          <w:numId w:val="19"/>
        </w:numPr>
        <w:spacing w:after="0" w:line="278" w:lineRule="auto"/>
      </w:pPr>
      <w:r w:rsidRPr="00894610">
        <w:rPr>
          <w:b/>
          <w:bCs/>
        </w:rPr>
        <w:t>JATS status:</w:t>
      </w:r>
      <w:r w:rsidRPr="00894610">
        <w:t xml:space="preserve"> PMC contains </w:t>
      </w:r>
      <w:proofErr w:type="gramStart"/>
      <w:r w:rsidRPr="00894610">
        <w:t>the readable article</w:t>
      </w:r>
      <w:proofErr w:type="gramEnd"/>
      <w:r w:rsidRPr="00894610">
        <w:t>, but the authorized APIs currently return only front matter, not the complete body. Use the PMC HTML or publisher PDF for ingestion.</w:t>
      </w:r>
    </w:p>
    <w:p w14:paraId="1C8CBA0A" w14:textId="77777777" w:rsidR="00616F51" w:rsidRPr="00894610" w:rsidRDefault="00616F51" w:rsidP="00616F51">
      <w:r w:rsidRPr="00894610">
        <w:t xml:space="preserve">PMC formally provides full-text JATS through OAI only when the article’s license permits reuse. That explains why possessing a PMCID does not always imply downloadable JATS. </w:t>
      </w:r>
      <w:hyperlink r:id="rId33" w:history="1">
        <w:r w:rsidRPr="00894610">
          <w:rPr>
            <w:rStyle w:val="Hyperlink"/>
          </w:rPr>
          <w:t>PMC OAI-PMH documentation</w:t>
        </w:r>
      </w:hyperlink>
    </w:p>
    <w:p w14:paraId="5DC9CB8D" w14:textId="77777777" w:rsidR="00616F51" w:rsidRPr="00894610" w:rsidRDefault="00616F51" w:rsidP="00616F51">
      <w:r w:rsidRPr="00894610">
        <w:t xml:space="preserve">For the current MVP, use native JATS for </w:t>
      </w:r>
      <w:r w:rsidRPr="00894610">
        <w:rPr>
          <w:b/>
          <w:bCs/>
        </w:rPr>
        <w:t>Maday</w:t>
      </w:r>
      <w:r w:rsidRPr="00894610">
        <w:t xml:space="preserve"> and </w:t>
      </w:r>
      <w:r w:rsidRPr="00894610">
        <w:rPr>
          <w:b/>
          <w:bCs/>
        </w:rPr>
        <w:t>Inoue</w:t>
      </w:r>
      <w:r w:rsidRPr="00894610">
        <w:t>, and generate a canonical TEI/</w:t>
      </w:r>
      <w:proofErr w:type="spellStart"/>
      <w:r w:rsidRPr="00894610">
        <w:t>BioC</w:t>
      </w:r>
      <w:proofErr w:type="spellEnd"/>
      <w:r w:rsidRPr="00894610">
        <w:t xml:space="preserve"> representation from HTML or PDF for </w:t>
      </w:r>
      <w:r w:rsidRPr="00894610">
        <w:rPr>
          <w:b/>
          <w:bCs/>
        </w:rPr>
        <w:t>Hara</w:t>
      </w:r>
      <w:r w:rsidRPr="00894610">
        <w:t xml:space="preserve">, </w:t>
      </w:r>
      <w:r w:rsidRPr="00894610">
        <w:rPr>
          <w:b/>
          <w:bCs/>
        </w:rPr>
        <w:t>Komatsu</w:t>
      </w:r>
      <w:r w:rsidRPr="00894610">
        <w:t xml:space="preserve">, and </w:t>
      </w:r>
      <w:r w:rsidRPr="00894610">
        <w:rPr>
          <w:b/>
          <w:bCs/>
        </w:rPr>
        <w:t>Tsong</w:t>
      </w:r>
      <w:r w:rsidRPr="00894610">
        <w:t xml:space="preserve">. Record </w:t>
      </w:r>
      <w:proofErr w:type="spellStart"/>
      <w:r w:rsidRPr="00894610">
        <w:t>source_format</w:t>
      </w:r>
      <w:proofErr w:type="spellEnd"/>
      <w:r w:rsidRPr="00894610">
        <w:t xml:space="preserve"> and </w:t>
      </w:r>
      <w:proofErr w:type="spellStart"/>
      <w:r w:rsidRPr="00894610">
        <w:t>conversion_method</w:t>
      </w:r>
      <w:proofErr w:type="spellEnd"/>
      <w:r w:rsidRPr="00894610">
        <w:t xml:space="preserve"> in the graph provenance so the extraction paths remain distinguishable.</w:t>
      </w:r>
    </w:p>
    <w:p w14:paraId="2192C9B9" w14:textId="77777777" w:rsidR="00616F51" w:rsidRDefault="00616F51" w:rsidP="00616F51"/>
    <w:p w14:paraId="3CD377A1" w14:textId="3BB5BAC3" w:rsidR="002B5862" w:rsidRPr="00616F51" w:rsidRDefault="00000000" w:rsidP="00616F51">
      <w:pPr>
        <w:pStyle w:val="Heading2"/>
      </w:pPr>
      <w:r w:rsidRPr="00616F51">
        <w:t>Question</w:t>
      </w:r>
      <w:r w:rsidR="00616F51" w:rsidRPr="00616F51">
        <w:t>(s)</w:t>
      </w:r>
      <w:r w:rsidRPr="00616F51">
        <w:t xml:space="preserve"> to Source Map</w:t>
      </w:r>
    </w:p>
    <w:p w14:paraId="17A12226" w14:textId="77777777" w:rsidR="002B5862" w:rsidRDefault="00000000">
      <w:pPr>
        <w:spacing w:after="80" w:line="269" w:lineRule="auto"/>
      </w:pPr>
      <w:r>
        <w:t>This map records the minimum source coverage expected for each reference answer.</w:t>
      </w:r>
    </w:p>
    <w:tbl>
      <w:tblPr>
        <w:tblW w:w="0" w:type="auto"/>
        <w:jc w:val="center"/>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Layout w:type="fixed"/>
        <w:tblLook w:val="04A0" w:firstRow="1" w:lastRow="0" w:firstColumn="1" w:lastColumn="0" w:noHBand="0" w:noVBand="1"/>
      </w:tblPr>
      <w:tblGrid>
        <w:gridCol w:w="1224"/>
        <w:gridCol w:w="1655"/>
        <w:gridCol w:w="7416"/>
      </w:tblGrid>
      <w:tr w:rsidR="002B5862" w14:paraId="5B0E45D0" w14:textId="77777777">
        <w:trPr>
          <w:cantSplit/>
          <w:tblHeader/>
          <w:jc w:val="center"/>
        </w:trPr>
        <w:tc>
          <w:tcPr>
            <w:tcW w:w="1224" w:type="dxa"/>
            <w:shd w:val="clear" w:color="auto" w:fill="18324A"/>
            <w:tcMar>
              <w:top w:w="100" w:type="dxa"/>
              <w:left w:w="110" w:type="dxa"/>
              <w:bottom w:w="100" w:type="dxa"/>
              <w:right w:w="110" w:type="dxa"/>
            </w:tcMar>
            <w:vAlign w:val="center"/>
          </w:tcPr>
          <w:p w14:paraId="1BA7CA4C" w14:textId="77777777" w:rsidR="002B5862" w:rsidRDefault="00000000">
            <w:pPr>
              <w:spacing w:after="0" w:line="252" w:lineRule="auto"/>
              <w:jc w:val="center"/>
            </w:pPr>
            <w:r>
              <w:rPr>
                <w:b/>
                <w:color w:val="FFFFFF"/>
                <w:sz w:val="17"/>
              </w:rPr>
              <w:t>Question</w:t>
            </w:r>
          </w:p>
        </w:tc>
        <w:tc>
          <w:tcPr>
            <w:tcW w:w="1655" w:type="dxa"/>
            <w:shd w:val="clear" w:color="auto" w:fill="18324A"/>
            <w:tcMar>
              <w:top w:w="100" w:type="dxa"/>
              <w:left w:w="110" w:type="dxa"/>
              <w:bottom w:w="100" w:type="dxa"/>
              <w:right w:w="110" w:type="dxa"/>
            </w:tcMar>
            <w:vAlign w:val="center"/>
          </w:tcPr>
          <w:p w14:paraId="0F088BD2" w14:textId="77777777" w:rsidR="002B5862" w:rsidRDefault="00000000">
            <w:pPr>
              <w:spacing w:after="0" w:line="252" w:lineRule="auto"/>
              <w:jc w:val="center"/>
            </w:pPr>
            <w:r>
              <w:rPr>
                <w:b/>
                <w:color w:val="FFFFFF"/>
                <w:sz w:val="17"/>
              </w:rPr>
              <w:t>Type</w:t>
            </w:r>
          </w:p>
        </w:tc>
        <w:tc>
          <w:tcPr>
            <w:tcW w:w="7416" w:type="dxa"/>
            <w:shd w:val="clear" w:color="auto" w:fill="18324A"/>
            <w:tcMar>
              <w:top w:w="100" w:type="dxa"/>
              <w:left w:w="110" w:type="dxa"/>
              <w:bottom w:w="100" w:type="dxa"/>
              <w:right w:w="110" w:type="dxa"/>
            </w:tcMar>
            <w:vAlign w:val="center"/>
          </w:tcPr>
          <w:p w14:paraId="55E8B255" w14:textId="77777777" w:rsidR="002B5862" w:rsidRDefault="00000000">
            <w:pPr>
              <w:spacing w:after="0" w:line="252" w:lineRule="auto"/>
              <w:jc w:val="center"/>
            </w:pPr>
            <w:r>
              <w:rPr>
                <w:b/>
                <w:color w:val="FFFFFF"/>
                <w:sz w:val="17"/>
              </w:rPr>
              <w:t>Minimum required sources</w:t>
            </w:r>
          </w:p>
        </w:tc>
      </w:tr>
      <w:tr w:rsidR="002B5862" w14:paraId="28BA6203" w14:textId="77777777">
        <w:trPr>
          <w:cantSplit/>
          <w:jc w:val="center"/>
        </w:trPr>
        <w:tc>
          <w:tcPr>
            <w:tcW w:w="1224" w:type="dxa"/>
            <w:shd w:val="clear" w:color="auto" w:fill="FFFFFF"/>
            <w:tcMar>
              <w:top w:w="100" w:type="dxa"/>
              <w:left w:w="110" w:type="dxa"/>
              <w:bottom w:w="100" w:type="dxa"/>
              <w:right w:w="110" w:type="dxa"/>
            </w:tcMar>
            <w:vAlign w:val="center"/>
          </w:tcPr>
          <w:p w14:paraId="4D991BB9" w14:textId="77777777" w:rsidR="002B5862" w:rsidRDefault="00000000">
            <w:pPr>
              <w:spacing w:after="0" w:line="252" w:lineRule="auto"/>
              <w:jc w:val="center"/>
            </w:pPr>
            <w:r>
              <w:rPr>
                <w:b/>
                <w:sz w:val="17"/>
              </w:rPr>
              <w:t>A1</w:t>
            </w:r>
          </w:p>
        </w:tc>
        <w:tc>
          <w:tcPr>
            <w:tcW w:w="1655" w:type="dxa"/>
            <w:shd w:val="clear" w:color="auto" w:fill="FFFFFF"/>
            <w:tcMar>
              <w:top w:w="100" w:type="dxa"/>
              <w:left w:w="110" w:type="dxa"/>
              <w:bottom w:w="100" w:type="dxa"/>
              <w:right w:w="110" w:type="dxa"/>
            </w:tcMar>
            <w:vAlign w:val="center"/>
          </w:tcPr>
          <w:p w14:paraId="05C955E9" w14:textId="77777777" w:rsidR="002B5862" w:rsidRDefault="00000000">
            <w:pPr>
              <w:spacing w:after="0" w:line="252" w:lineRule="auto"/>
              <w:jc w:val="center"/>
            </w:pPr>
            <w:r>
              <w:rPr>
                <w:sz w:val="17"/>
              </w:rPr>
              <w:t>Atomic</w:t>
            </w:r>
          </w:p>
        </w:tc>
        <w:tc>
          <w:tcPr>
            <w:tcW w:w="7416" w:type="dxa"/>
            <w:shd w:val="clear" w:color="auto" w:fill="FFFFFF"/>
            <w:tcMar>
              <w:top w:w="100" w:type="dxa"/>
              <w:left w:w="110" w:type="dxa"/>
              <w:bottom w:w="100" w:type="dxa"/>
              <w:right w:w="110" w:type="dxa"/>
            </w:tcMar>
            <w:vAlign w:val="center"/>
          </w:tcPr>
          <w:p w14:paraId="17F18CFC" w14:textId="77777777" w:rsidR="002B5862" w:rsidRDefault="00000000">
            <w:pPr>
              <w:spacing w:after="0" w:line="252" w:lineRule="auto"/>
            </w:pPr>
            <w:r>
              <w:rPr>
                <w:sz w:val="17"/>
              </w:rPr>
              <w:t>Hara 2006</w:t>
            </w:r>
          </w:p>
        </w:tc>
      </w:tr>
      <w:tr w:rsidR="002B5862" w14:paraId="7941C264" w14:textId="77777777">
        <w:trPr>
          <w:cantSplit/>
          <w:jc w:val="center"/>
        </w:trPr>
        <w:tc>
          <w:tcPr>
            <w:tcW w:w="1224" w:type="dxa"/>
            <w:shd w:val="clear" w:color="auto" w:fill="EAF2F6"/>
            <w:tcMar>
              <w:top w:w="100" w:type="dxa"/>
              <w:left w:w="110" w:type="dxa"/>
              <w:bottom w:w="100" w:type="dxa"/>
              <w:right w:w="110" w:type="dxa"/>
            </w:tcMar>
            <w:vAlign w:val="center"/>
          </w:tcPr>
          <w:p w14:paraId="114EC4FD" w14:textId="77777777" w:rsidR="002B5862" w:rsidRDefault="00000000">
            <w:pPr>
              <w:spacing w:after="0" w:line="252" w:lineRule="auto"/>
              <w:jc w:val="center"/>
            </w:pPr>
            <w:r>
              <w:rPr>
                <w:b/>
                <w:sz w:val="17"/>
              </w:rPr>
              <w:t>A2</w:t>
            </w:r>
          </w:p>
        </w:tc>
        <w:tc>
          <w:tcPr>
            <w:tcW w:w="1655" w:type="dxa"/>
            <w:shd w:val="clear" w:color="auto" w:fill="EAF2F6"/>
            <w:tcMar>
              <w:top w:w="100" w:type="dxa"/>
              <w:left w:w="110" w:type="dxa"/>
              <w:bottom w:w="100" w:type="dxa"/>
              <w:right w:w="110" w:type="dxa"/>
            </w:tcMar>
            <w:vAlign w:val="center"/>
          </w:tcPr>
          <w:p w14:paraId="15E7E4B8" w14:textId="77777777" w:rsidR="002B5862" w:rsidRDefault="00000000">
            <w:pPr>
              <w:spacing w:after="0" w:line="252" w:lineRule="auto"/>
              <w:jc w:val="center"/>
            </w:pPr>
            <w:r>
              <w:rPr>
                <w:sz w:val="17"/>
              </w:rPr>
              <w:t>Atomic</w:t>
            </w:r>
          </w:p>
        </w:tc>
        <w:tc>
          <w:tcPr>
            <w:tcW w:w="7416" w:type="dxa"/>
            <w:shd w:val="clear" w:color="auto" w:fill="EAF2F6"/>
            <w:tcMar>
              <w:top w:w="100" w:type="dxa"/>
              <w:left w:w="110" w:type="dxa"/>
              <w:bottom w:w="100" w:type="dxa"/>
              <w:right w:w="110" w:type="dxa"/>
            </w:tcMar>
            <w:vAlign w:val="center"/>
          </w:tcPr>
          <w:p w14:paraId="7C3E3344" w14:textId="77777777" w:rsidR="002B5862" w:rsidRDefault="00000000">
            <w:pPr>
              <w:spacing w:after="0" w:line="252" w:lineRule="auto"/>
            </w:pPr>
            <w:r>
              <w:rPr>
                <w:sz w:val="17"/>
              </w:rPr>
              <w:t>Maday 2012</w:t>
            </w:r>
          </w:p>
        </w:tc>
      </w:tr>
      <w:tr w:rsidR="002B5862" w14:paraId="52852CBA" w14:textId="77777777">
        <w:trPr>
          <w:cantSplit/>
          <w:jc w:val="center"/>
        </w:trPr>
        <w:tc>
          <w:tcPr>
            <w:tcW w:w="1224" w:type="dxa"/>
            <w:shd w:val="clear" w:color="auto" w:fill="FFFFFF"/>
            <w:tcMar>
              <w:top w:w="100" w:type="dxa"/>
              <w:left w:w="110" w:type="dxa"/>
              <w:bottom w:w="100" w:type="dxa"/>
              <w:right w:w="110" w:type="dxa"/>
            </w:tcMar>
            <w:vAlign w:val="center"/>
          </w:tcPr>
          <w:p w14:paraId="6ACB7EEC" w14:textId="77777777" w:rsidR="002B5862" w:rsidRDefault="00000000">
            <w:pPr>
              <w:spacing w:after="0" w:line="252" w:lineRule="auto"/>
              <w:jc w:val="center"/>
            </w:pPr>
            <w:r>
              <w:rPr>
                <w:b/>
                <w:sz w:val="17"/>
              </w:rPr>
              <w:t>A3</w:t>
            </w:r>
          </w:p>
        </w:tc>
        <w:tc>
          <w:tcPr>
            <w:tcW w:w="1655" w:type="dxa"/>
            <w:shd w:val="clear" w:color="auto" w:fill="FFFFFF"/>
            <w:tcMar>
              <w:top w:w="100" w:type="dxa"/>
              <w:left w:w="110" w:type="dxa"/>
              <w:bottom w:w="100" w:type="dxa"/>
              <w:right w:w="110" w:type="dxa"/>
            </w:tcMar>
            <w:vAlign w:val="center"/>
          </w:tcPr>
          <w:p w14:paraId="1BD102AC" w14:textId="77777777" w:rsidR="002B5862" w:rsidRDefault="00000000">
            <w:pPr>
              <w:spacing w:after="0" w:line="252" w:lineRule="auto"/>
              <w:jc w:val="center"/>
            </w:pPr>
            <w:r>
              <w:rPr>
                <w:sz w:val="17"/>
              </w:rPr>
              <w:t>Atomic</w:t>
            </w:r>
          </w:p>
        </w:tc>
        <w:tc>
          <w:tcPr>
            <w:tcW w:w="7416" w:type="dxa"/>
            <w:shd w:val="clear" w:color="auto" w:fill="FFFFFF"/>
            <w:tcMar>
              <w:top w:w="100" w:type="dxa"/>
              <w:left w:w="110" w:type="dxa"/>
              <w:bottom w:w="100" w:type="dxa"/>
              <w:right w:w="110" w:type="dxa"/>
            </w:tcMar>
            <w:vAlign w:val="center"/>
          </w:tcPr>
          <w:p w14:paraId="3C60395B" w14:textId="77777777" w:rsidR="002B5862" w:rsidRDefault="00000000">
            <w:pPr>
              <w:spacing w:after="0" w:line="252" w:lineRule="auto"/>
            </w:pPr>
            <w:r>
              <w:rPr>
                <w:sz w:val="17"/>
              </w:rPr>
              <w:t>Tsong 2023</w:t>
            </w:r>
          </w:p>
        </w:tc>
      </w:tr>
      <w:tr w:rsidR="002B5862" w14:paraId="0C8B8917" w14:textId="77777777">
        <w:trPr>
          <w:cantSplit/>
          <w:jc w:val="center"/>
        </w:trPr>
        <w:tc>
          <w:tcPr>
            <w:tcW w:w="1224" w:type="dxa"/>
            <w:shd w:val="clear" w:color="auto" w:fill="EAF2F6"/>
            <w:tcMar>
              <w:top w:w="100" w:type="dxa"/>
              <w:left w:w="110" w:type="dxa"/>
              <w:bottom w:w="100" w:type="dxa"/>
              <w:right w:w="110" w:type="dxa"/>
            </w:tcMar>
            <w:vAlign w:val="center"/>
          </w:tcPr>
          <w:p w14:paraId="5A11BF26" w14:textId="77777777" w:rsidR="002B5862" w:rsidRDefault="00000000">
            <w:pPr>
              <w:spacing w:after="0" w:line="252" w:lineRule="auto"/>
              <w:jc w:val="center"/>
            </w:pPr>
            <w:r>
              <w:rPr>
                <w:b/>
                <w:sz w:val="17"/>
              </w:rPr>
              <w:t>B1</w:t>
            </w:r>
          </w:p>
        </w:tc>
        <w:tc>
          <w:tcPr>
            <w:tcW w:w="1655" w:type="dxa"/>
            <w:shd w:val="clear" w:color="auto" w:fill="EAF2F6"/>
            <w:tcMar>
              <w:top w:w="100" w:type="dxa"/>
              <w:left w:w="110" w:type="dxa"/>
              <w:bottom w:w="100" w:type="dxa"/>
              <w:right w:w="110" w:type="dxa"/>
            </w:tcMar>
            <w:vAlign w:val="center"/>
          </w:tcPr>
          <w:p w14:paraId="75DEFE00" w14:textId="77777777" w:rsidR="002B5862" w:rsidRDefault="00000000">
            <w:pPr>
              <w:spacing w:after="0" w:line="252" w:lineRule="auto"/>
              <w:jc w:val="center"/>
            </w:pPr>
            <w:r>
              <w:rPr>
                <w:sz w:val="17"/>
              </w:rPr>
              <w:t>Synthesis</w:t>
            </w:r>
          </w:p>
        </w:tc>
        <w:tc>
          <w:tcPr>
            <w:tcW w:w="7416" w:type="dxa"/>
            <w:shd w:val="clear" w:color="auto" w:fill="EAF2F6"/>
            <w:tcMar>
              <w:top w:w="100" w:type="dxa"/>
              <w:left w:w="110" w:type="dxa"/>
              <w:bottom w:w="100" w:type="dxa"/>
              <w:right w:w="110" w:type="dxa"/>
            </w:tcMar>
            <w:vAlign w:val="center"/>
          </w:tcPr>
          <w:p w14:paraId="06C3471B" w14:textId="77777777" w:rsidR="002B5862" w:rsidRDefault="00000000">
            <w:pPr>
              <w:spacing w:after="0" w:line="252" w:lineRule="auto"/>
            </w:pPr>
            <w:r>
              <w:rPr>
                <w:sz w:val="17"/>
              </w:rPr>
              <w:t>Hara 2006; Komatsu 2006; supported by Inoue 2012</w:t>
            </w:r>
          </w:p>
        </w:tc>
      </w:tr>
      <w:tr w:rsidR="002B5862" w14:paraId="5E761D64" w14:textId="77777777">
        <w:trPr>
          <w:cantSplit/>
          <w:jc w:val="center"/>
        </w:trPr>
        <w:tc>
          <w:tcPr>
            <w:tcW w:w="1224" w:type="dxa"/>
            <w:shd w:val="clear" w:color="auto" w:fill="FFFFFF"/>
            <w:tcMar>
              <w:top w:w="100" w:type="dxa"/>
              <w:left w:w="110" w:type="dxa"/>
              <w:bottom w:w="100" w:type="dxa"/>
              <w:right w:w="110" w:type="dxa"/>
            </w:tcMar>
            <w:vAlign w:val="center"/>
          </w:tcPr>
          <w:p w14:paraId="6016E642" w14:textId="77777777" w:rsidR="002B5862" w:rsidRDefault="00000000">
            <w:pPr>
              <w:spacing w:after="0" w:line="252" w:lineRule="auto"/>
              <w:jc w:val="center"/>
            </w:pPr>
            <w:r>
              <w:rPr>
                <w:b/>
                <w:sz w:val="17"/>
              </w:rPr>
              <w:t>B2</w:t>
            </w:r>
          </w:p>
        </w:tc>
        <w:tc>
          <w:tcPr>
            <w:tcW w:w="1655" w:type="dxa"/>
            <w:shd w:val="clear" w:color="auto" w:fill="FFFFFF"/>
            <w:tcMar>
              <w:top w:w="100" w:type="dxa"/>
              <w:left w:w="110" w:type="dxa"/>
              <w:bottom w:w="100" w:type="dxa"/>
              <w:right w:w="110" w:type="dxa"/>
            </w:tcMar>
            <w:vAlign w:val="center"/>
          </w:tcPr>
          <w:p w14:paraId="698C66F0" w14:textId="77777777" w:rsidR="002B5862" w:rsidRDefault="00000000">
            <w:pPr>
              <w:spacing w:after="0" w:line="252" w:lineRule="auto"/>
              <w:jc w:val="center"/>
            </w:pPr>
            <w:r>
              <w:rPr>
                <w:sz w:val="17"/>
              </w:rPr>
              <w:t>Synthesis</w:t>
            </w:r>
          </w:p>
        </w:tc>
        <w:tc>
          <w:tcPr>
            <w:tcW w:w="7416" w:type="dxa"/>
            <w:shd w:val="clear" w:color="auto" w:fill="FFFFFF"/>
            <w:tcMar>
              <w:top w:w="100" w:type="dxa"/>
              <w:left w:w="110" w:type="dxa"/>
              <w:bottom w:w="100" w:type="dxa"/>
              <w:right w:w="110" w:type="dxa"/>
            </w:tcMar>
            <w:vAlign w:val="center"/>
          </w:tcPr>
          <w:p w14:paraId="4A55F3C8" w14:textId="77777777" w:rsidR="002B5862" w:rsidRDefault="00000000">
            <w:pPr>
              <w:spacing w:after="0" w:line="252" w:lineRule="auto"/>
            </w:pPr>
            <w:r>
              <w:rPr>
                <w:sz w:val="17"/>
              </w:rPr>
              <w:t>Hara 2006; Komatsu 2006; Inoue 2012</w:t>
            </w:r>
          </w:p>
        </w:tc>
      </w:tr>
      <w:tr w:rsidR="002B5862" w14:paraId="730FD770" w14:textId="77777777">
        <w:trPr>
          <w:cantSplit/>
          <w:jc w:val="center"/>
        </w:trPr>
        <w:tc>
          <w:tcPr>
            <w:tcW w:w="1224" w:type="dxa"/>
            <w:shd w:val="clear" w:color="auto" w:fill="EAF2F6"/>
            <w:tcMar>
              <w:top w:w="100" w:type="dxa"/>
              <w:left w:w="110" w:type="dxa"/>
              <w:bottom w:w="100" w:type="dxa"/>
              <w:right w:w="110" w:type="dxa"/>
            </w:tcMar>
            <w:vAlign w:val="center"/>
          </w:tcPr>
          <w:p w14:paraId="74526815" w14:textId="77777777" w:rsidR="002B5862" w:rsidRDefault="00000000">
            <w:pPr>
              <w:spacing w:after="0" w:line="252" w:lineRule="auto"/>
              <w:jc w:val="center"/>
            </w:pPr>
            <w:r>
              <w:rPr>
                <w:b/>
                <w:sz w:val="17"/>
              </w:rPr>
              <w:t>B3</w:t>
            </w:r>
          </w:p>
        </w:tc>
        <w:tc>
          <w:tcPr>
            <w:tcW w:w="1655" w:type="dxa"/>
            <w:shd w:val="clear" w:color="auto" w:fill="EAF2F6"/>
            <w:tcMar>
              <w:top w:w="100" w:type="dxa"/>
              <w:left w:w="110" w:type="dxa"/>
              <w:bottom w:w="100" w:type="dxa"/>
              <w:right w:w="110" w:type="dxa"/>
            </w:tcMar>
            <w:vAlign w:val="center"/>
          </w:tcPr>
          <w:p w14:paraId="186FD6E8" w14:textId="77777777" w:rsidR="002B5862" w:rsidRDefault="00000000">
            <w:pPr>
              <w:spacing w:after="0" w:line="252" w:lineRule="auto"/>
              <w:jc w:val="center"/>
            </w:pPr>
            <w:r>
              <w:rPr>
                <w:sz w:val="17"/>
              </w:rPr>
              <w:t>Synthesis</w:t>
            </w:r>
          </w:p>
        </w:tc>
        <w:tc>
          <w:tcPr>
            <w:tcW w:w="7416" w:type="dxa"/>
            <w:shd w:val="clear" w:color="auto" w:fill="EAF2F6"/>
            <w:tcMar>
              <w:top w:w="100" w:type="dxa"/>
              <w:left w:w="110" w:type="dxa"/>
              <w:bottom w:w="100" w:type="dxa"/>
              <w:right w:w="110" w:type="dxa"/>
            </w:tcMar>
            <w:vAlign w:val="center"/>
          </w:tcPr>
          <w:p w14:paraId="15943DB4" w14:textId="77777777" w:rsidR="002B5862" w:rsidRDefault="00000000">
            <w:pPr>
              <w:spacing w:after="0" w:line="252" w:lineRule="auto"/>
            </w:pPr>
            <w:r>
              <w:rPr>
                <w:sz w:val="17"/>
              </w:rPr>
              <w:t>Maday 2012; Hara 2006; Komatsu 2006; Tsong 2023</w:t>
            </w:r>
          </w:p>
        </w:tc>
      </w:tr>
      <w:tr w:rsidR="002B5862" w14:paraId="63864F94" w14:textId="77777777">
        <w:trPr>
          <w:cantSplit/>
          <w:jc w:val="center"/>
        </w:trPr>
        <w:tc>
          <w:tcPr>
            <w:tcW w:w="1224" w:type="dxa"/>
            <w:shd w:val="clear" w:color="auto" w:fill="FFFFFF"/>
            <w:tcMar>
              <w:top w:w="100" w:type="dxa"/>
              <w:left w:w="110" w:type="dxa"/>
              <w:bottom w:w="100" w:type="dxa"/>
              <w:right w:w="110" w:type="dxa"/>
            </w:tcMar>
            <w:vAlign w:val="center"/>
          </w:tcPr>
          <w:p w14:paraId="41C8D49B" w14:textId="77777777" w:rsidR="002B5862" w:rsidRDefault="00000000">
            <w:pPr>
              <w:spacing w:after="0" w:line="252" w:lineRule="auto"/>
              <w:jc w:val="center"/>
            </w:pPr>
            <w:r>
              <w:rPr>
                <w:b/>
                <w:sz w:val="17"/>
              </w:rPr>
              <w:t>B4</w:t>
            </w:r>
          </w:p>
        </w:tc>
        <w:tc>
          <w:tcPr>
            <w:tcW w:w="1655" w:type="dxa"/>
            <w:shd w:val="clear" w:color="auto" w:fill="FFFFFF"/>
            <w:tcMar>
              <w:top w:w="100" w:type="dxa"/>
              <w:left w:w="110" w:type="dxa"/>
              <w:bottom w:w="100" w:type="dxa"/>
              <w:right w:w="110" w:type="dxa"/>
            </w:tcMar>
            <w:vAlign w:val="center"/>
          </w:tcPr>
          <w:p w14:paraId="50910DF5" w14:textId="77777777" w:rsidR="002B5862" w:rsidRDefault="00000000">
            <w:pPr>
              <w:spacing w:after="0" w:line="252" w:lineRule="auto"/>
              <w:jc w:val="center"/>
            </w:pPr>
            <w:r>
              <w:rPr>
                <w:sz w:val="17"/>
              </w:rPr>
              <w:t>Synthesis</w:t>
            </w:r>
          </w:p>
        </w:tc>
        <w:tc>
          <w:tcPr>
            <w:tcW w:w="7416" w:type="dxa"/>
            <w:shd w:val="clear" w:color="auto" w:fill="FFFFFF"/>
            <w:tcMar>
              <w:top w:w="100" w:type="dxa"/>
              <w:left w:w="110" w:type="dxa"/>
              <w:bottom w:w="100" w:type="dxa"/>
              <w:right w:w="110" w:type="dxa"/>
            </w:tcMar>
            <w:vAlign w:val="center"/>
          </w:tcPr>
          <w:p w14:paraId="67D14D10" w14:textId="77777777" w:rsidR="002B5862" w:rsidRDefault="00000000">
            <w:pPr>
              <w:spacing w:after="0" w:line="252" w:lineRule="auto"/>
            </w:pPr>
            <w:r>
              <w:rPr>
                <w:sz w:val="17"/>
              </w:rPr>
              <w:t>Maday 2012; Tsong 2023</w:t>
            </w:r>
          </w:p>
        </w:tc>
      </w:tr>
      <w:tr w:rsidR="002B5862" w14:paraId="5E552EF3" w14:textId="77777777">
        <w:trPr>
          <w:cantSplit/>
          <w:jc w:val="center"/>
        </w:trPr>
        <w:tc>
          <w:tcPr>
            <w:tcW w:w="1224" w:type="dxa"/>
            <w:shd w:val="clear" w:color="auto" w:fill="EAF2F6"/>
            <w:tcMar>
              <w:top w:w="100" w:type="dxa"/>
              <w:left w:w="110" w:type="dxa"/>
              <w:bottom w:w="100" w:type="dxa"/>
              <w:right w:w="110" w:type="dxa"/>
            </w:tcMar>
            <w:vAlign w:val="center"/>
          </w:tcPr>
          <w:p w14:paraId="32A7C8C4" w14:textId="77777777" w:rsidR="002B5862" w:rsidRDefault="00000000">
            <w:pPr>
              <w:spacing w:after="0" w:line="252" w:lineRule="auto"/>
              <w:jc w:val="center"/>
            </w:pPr>
            <w:r>
              <w:rPr>
                <w:b/>
                <w:sz w:val="17"/>
              </w:rPr>
              <w:t>B5</w:t>
            </w:r>
          </w:p>
        </w:tc>
        <w:tc>
          <w:tcPr>
            <w:tcW w:w="1655" w:type="dxa"/>
            <w:shd w:val="clear" w:color="auto" w:fill="EAF2F6"/>
            <w:tcMar>
              <w:top w:w="100" w:type="dxa"/>
              <w:left w:w="110" w:type="dxa"/>
              <w:bottom w:w="100" w:type="dxa"/>
              <w:right w:w="110" w:type="dxa"/>
            </w:tcMar>
            <w:vAlign w:val="center"/>
          </w:tcPr>
          <w:p w14:paraId="69CDE589" w14:textId="77777777" w:rsidR="002B5862" w:rsidRDefault="00000000">
            <w:pPr>
              <w:spacing w:after="0" w:line="252" w:lineRule="auto"/>
              <w:jc w:val="center"/>
            </w:pPr>
            <w:r>
              <w:rPr>
                <w:sz w:val="17"/>
              </w:rPr>
              <w:t>Synthesis</w:t>
            </w:r>
          </w:p>
        </w:tc>
        <w:tc>
          <w:tcPr>
            <w:tcW w:w="7416" w:type="dxa"/>
            <w:shd w:val="clear" w:color="auto" w:fill="EAF2F6"/>
            <w:tcMar>
              <w:top w:w="100" w:type="dxa"/>
              <w:left w:w="110" w:type="dxa"/>
              <w:bottom w:w="100" w:type="dxa"/>
              <w:right w:w="110" w:type="dxa"/>
            </w:tcMar>
            <w:vAlign w:val="center"/>
          </w:tcPr>
          <w:p w14:paraId="1AEBACE9" w14:textId="77777777" w:rsidR="002B5862" w:rsidRDefault="00000000">
            <w:pPr>
              <w:spacing w:after="0" w:line="252" w:lineRule="auto"/>
            </w:pPr>
            <w:r>
              <w:rPr>
                <w:sz w:val="17"/>
              </w:rPr>
              <w:t>Hara 2006; Komatsu 2006; Inoue 2012</w:t>
            </w:r>
          </w:p>
        </w:tc>
      </w:tr>
      <w:tr w:rsidR="002B5862" w14:paraId="4F5AFB96" w14:textId="77777777">
        <w:trPr>
          <w:cantSplit/>
          <w:jc w:val="center"/>
        </w:trPr>
        <w:tc>
          <w:tcPr>
            <w:tcW w:w="1224" w:type="dxa"/>
            <w:shd w:val="clear" w:color="auto" w:fill="FFFFFF"/>
            <w:tcMar>
              <w:top w:w="100" w:type="dxa"/>
              <w:left w:w="110" w:type="dxa"/>
              <w:bottom w:w="100" w:type="dxa"/>
              <w:right w:w="110" w:type="dxa"/>
            </w:tcMar>
            <w:vAlign w:val="center"/>
          </w:tcPr>
          <w:p w14:paraId="04F704FC" w14:textId="77777777" w:rsidR="002B5862" w:rsidRDefault="00000000">
            <w:pPr>
              <w:spacing w:after="0" w:line="252" w:lineRule="auto"/>
              <w:jc w:val="center"/>
            </w:pPr>
            <w:r>
              <w:rPr>
                <w:b/>
                <w:sz w:val="17"/>
              </w:rPr>
              <w:t>B6</w:t>
            </w:r>
          </w:p>
        </w:tc>
        <w:tc>
          <w:tcPr>
            <w:tcW w:w="1655" w:type="dxa"/>
            <w:shd w:val="clear" w:color="auto" w:fill="FFFFFF"/>
            <w:tcMar>
              <w:top w:w="100" w:type="dxa"/>
              <w:left w:w="110" w:type="dxa"/>
              <w:bottom w:w="100" w:type="dxa"/>
              <w:right w:w="110" w:type="dxa"/>
            </w:tcMar>
            <w:vAlign w:val="center"/>
          </w:tcPr>
          <w:p w14:paraId="1386EFD2" w14:textId="77777777" w:rsidR="002B5862" w:rsidRDefault="00000000">
            <w:pPr>
              <w:spacing w:after="0" w:line="252" w:lineRule="auto"/>
              <w:jc w:val="center"/>
            </w:pPr>
            <w:r>
              <w:rPr>
                <w:sz w:val="17"/>
              </w:rPr>
              <w:t>Synthesis</w:t>
            </w:r>
          </w:p>
        </w:tc>
        <w:tc>
          <w:tcPr>
            <w:tcW w:w="7416" w:type="dxa"/>
            <w:shd w:val="clear" w:color="auto" w:fill="FFFFFF"/>
            <w:tcMar>
              <w:top w:w="100" w:type="dxa"/>
              <w:left w:w="110" w:type="dxa"/>
              <w:bottom w:w="100" w:type="dxa"/>
              <w:right w:w="110" w:type="dxa"/>
            </w:tcMar>
            <w:vAlign w:val="center"/>
          </w:tcPr>
          <w:p w14:paraId="3AAB0E93" w14:textId="77777777" w:rsidR="002B5862" w:rsidRDefault="00000000">
            <w:pPr>
              <w:spacing w:after="0" w:line="252" w:lineRule="auto"/>
            </w:pPr>
            <w:r>
              <w:rPr>
                <w:sz w:val="17"/>
              </w:rPr>
              <w:t>All five papers</w:t>
            </w:r>
          </w:p>
        </w:tc>
      </w:tr>
    </w:tbl>
    <w:p w14:paraId="70728FB1" w14:textId="77777777" w:rsidR="00000000" w:rsidRDefault="00000000"/>
    <w:p w14:paraId="4E999E3C" w14:textId="2BD60DB8" w:rsidR="002A42EB" w:rsidRDefault="002A42EB" w:rsidP="002A42EB">
      <w:pPr>
        <w:pStyle w:val="Heading2"/>
      </w:pPr>
      <w:r>
        <w:lastRenderedPageBreak/>
        <w:t>BM25 Comparator</w:t>
      </w:r>
    </w:p>
    <w:p w14:paraId="4CE22F35" w14:textId="77777777" w:rsidR="002A42EB" w:rsidRPr="002A42EB" w:rsidRDefault="002A42EB" w:rsidP="002A42EB">
      <w:r w:rsidRPr="002A42EB">
        <w:rPr>
          <w:b/>
          <w:bCs/>
        </w:rPr>
        <w:t>BM25 RAG</w:t>
      </w:r>
      <w:r w:rsidRPr="002A42EB">
        <w:t xml:space="preserve"> is a retrieval-augmented generation system that uses </w:t>
      </w:r>
      <w:r w:rsidRPr="002A42EB">
        <w:rPr>
          <w:b/>
          <w:bCs/>
        </w:rPr>
        <w:t>BM25</w:t>
      </w:r>
      <w:r w:rsidRPr="002A42EB">
        <w:t>, a traditional keyword-based ranking algorithm, to retrieve relevant text passages before an LLM answers a question.</w:t>
      </w:r>
    </w:p>
    <w:p w14:paraId="1C39E3B7" w14:textId="77777777" w:rsidR="002A42EB" w:rsidRPr="002A42EB" w:rsidRDefault="002A42EB" w:rsidP="002A42EB">
      <w:r w:rsidRPr="002A42EB">
        <w:t>The workflow is:</w:t>
      </w:r>
    </w:p>
    <w:p w14:paraId="73E1A6B0" w14:textId="77777777" w:rsidR="002A42EB" w:rsidRPr="002A42EB" w:rsidRDefault="002A42EB" w:rsidP="002A42EB">
      <w:pPr>
        <w:numPr>
          <w:ilvl w:val="0"/>
          <w:numId w:val="10"/>
        </w:numPr>
        <w:spacing w:after="0"/>
      </w:pPr>
      <w:r w:rsidRPr="002A42EB">
        <w:t>Scientific papers are divided into passages.</w:t>
      </w:r>
    </w:p>
    <w:p w14:paraId="32C4AB85" w14:textId="77777777" w:rsidR="002A42EB" w:rsidRPr="002A42EB" w:rsidRDefault="002A42EB" w:rsidP="002A42EB">
      <w:pPr>
        <w:numPr>
          <w:ilvl w:val="0"/>
          <w:numId w:val="10"/>
        </w:numPr>
        <w:spacing w:after="0"/>
      </w:pPr>
      <w:r w:rsidRPr="002A42EB">
        <w:t>BM25 compares the words in the question with those in each passage.</w:t>
      </w:r>
    </w:p>
    <w:p w14:paraId="3DF4D147" w14:textId="77777777" w:rsidR="002A42EB" w:rsidRPr="002A42EB" w:rsidRDefault="002A42EB" w:rsidP="002A42EB">
      <w:pPr>
        <w:numPr>
          <w:ilvl w:val="0"/>
          <w:numId w:val="10"/>
        </w:numPr>
        <w:spacing w:after="0"/>
      </w:pPr>
      <w:r w:rsidRPr="002A42EB">
        <w:t>It ranks passages using:</w:t>
      </w:r>
    </w:p>
    <w:p w14:paraId="740D60F7" w14:textId="77777777" w:rsidR="002A42EB" w:rsidRPr="002A42EB" w:rsidRDefault="002A42EB" w:rsidP="002A42EB">
      <w:pPr>
        <w:numPr>
          <w:ilvl w:val="1"/>
          <w:numId w:val="10"/>
        </w:numPr>
        <w:spacing w:after="0"/>
      </w:pPr>
      <w:r w:rsidRPr="002A42EB">
        <w:t>Term overlap</w:t>
      </w:r>
    </w:p>
    <w:p w14:paraId="404DCB35" w14:textId="77777777" w:rsidR="002A42EB" w:rsidRPr="002A42EB" w:rsidRDefault="002A42EB" w:rsidP="002A42EB">
      <w:pPr>
        <w:numPr>
          <w:ilvl w:val="1"/>
          <w:numId w:val="10"/>
        </w:numPr>
        <w:spacing w:after="0"/>
      </w:pPr>
      <w:r w:rsidRPr="002A42EB">
        <w:t>Term rarity across the corpus</w:t>
      </w:r>
    </w:p>
    <w:p w14:paraId="03798441" w14:textId="77777777" w:rsidR="002A42EB" w:rsidRPr="002A42EB" w:rsidRDefault="002A42EB" w:rsidP="002A42EB">
      <w:pPr>
        <w:numPr>
          <w:ilvl w:val="1"/>
          <w:numId w:val="10"/>
        </w:numPr>
        <w:spacing w:after="0"/>
      </w:pPr>
      <w:r w:rsidRPr="002A42EB">
        <w:t>Term frequency within a passage</w:t>
      </w:r>
    </w:p>
    <w:p w14:paraId="67D3567A" w14:textId="77777777" w:rsidR="002A42EB" w:rsidRPr="002A42EB" w:rsidRDefault="002A42EB" w:rsidP="002A42EB">
      <w:pPr>
        <w:numPr>
          <w:ilvl w:val="1"/>
          <w:numId w:val="10"/>
        </w:numPr>
        <w:spacing w:after="0"/>
      </w:pPr>
      <w:r w:rsidRPr="002A42EB">
        <w:t>Passage-length normalization</w:t>
      </w:r>
    </w:p>
    <w:p w14:paraId="31A96E3F" w14:textId="77777777" w:rsidR="002A42EB" w:rsidRPr="002A42EB" w:rsidRDefault="002A42EB" w:rsidP="002A42EB">
      <w:pPr>
        <w:numPr>
          <w:ilvl w:val="0"/>
          <w:numId w:val="10"/>
        </w:numPr>
        <w:spacing w:after="0"/>
      </w:pPr>
      <w:r w:rsidRPr="002A42EB">
        <w:t xml:space="preserve">The highest-ranked passages are given to </w:t>
      </w:r>
      <w:proofErr w:type="gramStart"/>
      <w:r w:rsidRPr="002A42EB">
        <w:t>the LLM</w:t>
      </w:r>
      <w:proofErr w:type="gramEnd"/>
      <w:r w:rsidRPr="002A42EB">
        <w:t>.</w:t>
      </w:r>
    </w:p>
    <w:p w14:paraId="4BF73E41" w14:textId="77777777" w:rsidR="002A42EB" w:rsidRPr="002A42EB" w:rsidRDefault="002A42EB" w:rsidP="002A42EB">
      <w:pPr>
        <w:numPr>
          <w:ilvl w:val="0"/>
          <w:numId w:val="10"/>
        </w:numPr>
        <w:spacing w:after="0"/>
      </w:pPr>
      <w:r w:rsidRPr="002A42EB">
        <w:t>The LLM generates an answer grounded in those passages.</w:t>
      </w:r>
    </w:p>
    <w:p w14:paraId="671C1582" w14:textId="77777777" w:rsidR="002A42EB" w:rsidRPr="002A42EB" w:rsidRDefault="002A42EB" w:rsidP="002A42EB">
      <w:pPr>
        <w:pStyle w:val="Heading3"/>
      </w:pPr>
      <w:r w:rsidRPr="002A42EB">
        <w:t>Why use it as a benchmark?</w:t>
      </w:r>
    </w:p>
    <w:p w14:paraId="3B720A86" w14:textId="77777777" w:rsidR="002A42EB" w:rsidRPr="002A42EB" w:rsidRDefault="002A42EB" w:rsidP="002A42EB">
      <w:r w:rsidRPr="002A42EB">
        <w:t>BM25 RAG is a strong, simple baseline. If Graph-RAG cannot outperform it on questions requiring integration across papers, the graph may not be adding much value.</w:t>
      </w:r>
    </w:p>
    <w:p w14:paraId="210A788B" w14:textId="77777777" w:rsidR="002A42EB" w:rsidRPr="002A42EB" w:rsidRDefault="002A42EB" w:rsidP="002A42EB">
      <w:pPr>
        <w:pStyle w:val="Heading3"/>
      </w:pPr>
      <w:r w:rsidRPr="002A42EB">
        <w:t>Advantages</w:t>
      </w:r>
    </w:p>
    <w:p w14:paraId="29BF3960" w14:textId="77777777" w:rsidR="002A42EB" w:rsidRPr="002A42EB" w:rsidRDefault="002A42EB" w:rsidP="002A42EB">
      <w:pPr>
        <w:numPr>
          <w:ilvl w:val="0"/>
          <w:numId w:val="11"/>
        </w:numPr>
        <w:spacing w:after="0"/>
      </w:pPr>
      <w:r w:rsidRPr="002A42EB">
        <w:t>Fast, inexpensive, and transparent</w:t>
      </w:r>
    </w:p>
    <w:p w14:paraId="2808D94A" w14:textId="77777777" w:rsidR="002A42EB" w:rsidRPr="002A42EB" w:rsidRDefault="002A42EB" w:rsidP="002A42EB">
      <w:pPr>
        <w:numPr>
          <w:ilvl w:val="0"/>
          <w:numId w:val="11"/>
        </w:numPr>
        <w:spacing w:after="0"/>
      </w:pPr>
      <w:r w:rsidRPr="002A42EB">
        <w:t>Works well for exact scientific terms such as ATG5, autophagosome, or Purkinje cell</w:t>
      </w:r>
    </w:p>
    <w:p w14:paraId="7684B54F" w14:textId="77777777" w:rsidR="002A42EB" w:rsidRPr="002A42EB" w:rsidRDefault="002A42EB" w:rsidP="002A42EB">
      <w:pPr>
        <w:numPr>
          <w:ilvl w:val="0"/>
          <w:numId w:val="11"/>
        </w:numPr>
        <w:spacing w:after="0"/>
      </w:pPr>
      <w:r w:rsidRPr="002A42EB">
        <w:t>Does not require an embedding model</w:t>
      </w:r>
    </w:p>
    <w:p w14:paraId="5C2C9833" w14:textId="77777777" w:rsidR="002A42EB" w:rsidRPr="002A42EB" w:rsidRDefault="002A42EB" w:rsidP="002A42EB">
      <w:pPr>
        <w:numPr>
          <w:ilvl w:val="0"/>
          <w:numId w:val="11"/>
        </w:numPr>
        <w:spacing w:after="0"/>
      </w:pPr>
      <w:r w:rsidRPr="002A42EB">
        <w:t>Easy to reproduce</w:t>
      </w:r>
    </w:p>
    <w:p w14:paraId="35D7CA26" w14:textId="77777777" w:rsidR="002A42EB" w:rsidRPr="002A42EB" w:rsidRDefault="002A42EB" w:rsidP="002A42EB">
      <w:pPr>
        <w:pStyle w:val="Heading3"/>
      </w:pPr>
      <w:r w:rsidRPr="002A42EB">
        <w:t>Limitations</w:t>
      </w:r>
    </w:p>
    <w:p w14:paraId="3272E3AE" w14:textId="77777777" w:rsidR="002A42EB" w:rsidRPr="002A42EB" w:rsidRDefault="002A42EB" w:rsidP="002A42EB">
      <w:pPr>
        <w:numPr>
          <w:ilvl w:val="0"/>
          <w:numId w:val="12"/>
        </w:numPr>
        <w:spacing w:after="0"/>
      </w:pPr>
      <w:r w:rsidRPr="002A42EB">
        <w:t>Depends heavily on shared wording</w:t>
      </w:r>
    </w:p>
    <w:p w14:paraId="7C9555CF" w14:textId="77777777" w:rsidR="002A42EB" w:rsidRPr="002A42EB" w:rsidRDefault="002A42EB" w:rsidP="002A42EB">
      <w:pPr>
        <w:numPr>
          <w:ilvl w:val="0"/>
          <w:numId w:val="12"/>
        </w:numPr>
        <w:spacing w:after="0"/>
      </w:pPr>
      <w:r w:rsidRPr="002A42EB">
        <w:t>Does not understand synonyms well unless they are normalized</w:t>
      </w:r>
    </w:p>
    <w:p w14:paraId="0809F0F8" w14:textId="77777777" w:rsidR="002A42EB" w:rsidRPr="002A42EB" w:rsidRDefault="002A42EB" w:rsidP="002A42EB">
      <w:pPr>
        <w:numPr>
          <w:ilvl w:val="0"/>
          <w:numId w:val="12"/>
        </w:numPr>
        <w:spacing w:after="0"/>
      </w:pPr>
      <w:r w:rsidRPr="002A42EB">
        <w:t>Does not explicitly model biological relationships</w:t>
      </w:r>
    </w:p>
    <w:p w14:paraId="006E1CDC" w14:textId="77777777" w:rsidR="002A42EB" w:rsidRPr="002A42EB" w:rsidRDefault="002A42EB" w:rsidP="002A42EB">
      <w:pPr>
        <w:numPr>
          <w:ilvl w:val="0"/>
          <w:numId w:val="12"/>
        </w:numPr>
        <w:spacing w:after="0"/>
      </w:pPr>
      <w:r w:rsidRPr="002A42EB">
        <w:t>Cannot naturally follow multi-step paths across papers</w:t>
      </w:r>
    </w:p>
    <w:p w14:paraId="1B55D155" w14:textId="77777777" w:rsidR="002A42EB" w:rsidRPr="002A42EB" w:rsidRDefault="002A42EB" w:rsidP="002A42EB">
      <w:pPr>
        <w:numPr>
          <w:ilvl w:val="0"/>
          <w:numId w:val="12"/>
        </w:numPr>
        <w:spacing w:after="0"/>
      </w:pPr>
      <w:r w:rsidRPr="002A42EB">
        <w:t>May retrieve passages containing the right terms but the wrong biological context</w:t>
      </w:r>
    </w:p>
    <w:p w14:paraId="1DF3562C" w14:textId="77777777" w:rsidR="002A42EB" w:rsidRDefault="002A42EB" w:rsidP="002A42EB"/>
    <w:p w14:paraId="464C6034" w14:textId="0C226117" w:rsidR="002A42EB" w:rsidRPr="002A42EB" w:rsidRDefault="002A42EB" w:rsidP="002A42EB">
      <w:r w:rsidRPr="002A42EB">
        <w:t xml:space="preserve">For example, BM25 should handle </w:t>
      </w:r>
      <w:r w:rsidRPr="002A42EB">
        <w:rPr>
          <w:b/>
          <w:bCs/>
        </w:rPr>
        <w:t>“Which gene was deleted in Hara et al.?”</w:t>
      </w:r>
      <w:r w:rsidRPr="002A42EB">
        <w:t xml:space="preserve"> well. Graph-RAG should have an advantage for </w:t>
      </w:r>
      <w:r w:rsidRPr="002A42EB">
        <w:rPr>
          <w:b/>
          <w:bCs/>
        </w:rPr>
        <w:t>“How do genetic autophagy disruption and age-related autophagy decline jointly support a mechanism of neuronal degeneration?”</w:t>
      </w:r>
      <w:r w:rsidRPr="002A42EB">
        <w:t>, because that answer requires connecting evidence across studies.</w:t>
      </w:r>
    </w:p>
    <w:p w14:paraId="0796A6E4" w14:textId="77777777" w:rsidR="002A42EB" w:rsidRDefault="002A42EB"/>
    <w:p w14:paraId="62ED55B1" w14:textId="02129F7F" w:rsidR="002A42EB" w:rsidRDefault="00616F51" w:rsidP="002A42EB">
      <w:pPr>
        <w:pStyle w:val="Heading3"/>
      </w:pPr>
      <w:r>
        <w:t>Pointers to</w:t>
      </w:r>
      <w:r w:rsidR="002A42EB">
        <w:t xml:space="preserve"> BM25 implementations:</w:t>
      </w:r>
    </w:p>
    <w:p w14:paraId="1E9C3F03" w14:textId="5BE15BC2" w:rsidR="002A42EB" w:rsidRPr="002A42EB" w:rsidRDefault="002A42EB" w:rsidP="002A42EB">
      <w:r w:rsidRPr="002A42EB">
        <w:rPr>
          <w:b/>
          <w:bCs/>
        </w:rPr>
        <w:t>BM25 is an openly published retrieval algorithm</w:t>
      </w:r>
      <w:r w:rsidRPr="002A42EB">
        <w:t>, not a proprietary product. Several open-source implementations are available.</w:t>
      </w:r>
    </w:p>
    <w:p w14:paraId="6B2A207E" w14:textId="43CB2FD5" w:rsidR="002A42EB" w:rsidRPr="002A42EB" w:rsidRDefault="002A42EB" w:rsidP="002A42EB">
      <w:r w:rsidRPr="002A42EB">
        <w:rPr>
          <w:b/>
          <w:bCs/>
        </w:rPr>
        <w:t xml:space="preserve">Recommended for </w:t>
      </w:r>
      <w:r>
        <w:rPr>
          <w:b/>
          <w:bCs/>
        </w:rPr>
        <w:t xml:space="preserve">the </w:t>
      </w:r>
      <w:r w:rsidRPr="002A42EB">
        <w:rPr>
          <w:b/>
          <w:bCs/>
        </w:rPr>
        <w:t xml:space="preserve">MVP: </w:t>
      </w:r>
      <w:hyperlink r:id="rId34" w:history="1">
        <w:r w:rsidRPr="002A42EB">
          <w:rPr>
            <w:rStyle w:val="Hyperlink"/>
            <w:b/>
            <w:bCs/>
          </w:rPr>
          <w:t>BM25S</w:t>
        </w:r>
      </w:hyperlink>
      <w:r w:rsidRPr="002A42EB">
        <w:br/>
        <w:t xml:space="preserve">A fast Python implementation with an MIT license. It is suitable for indexing the passages extracted from </w:t>
      </w:r>
      <w:r>
        <w:t xml:space="preserve">the </w:t>
      </w:r>
      <w:r w:rsidRPr="002A42EB">
        <w:t>five papers.</w:t>
      </w:r>
    </w:p>
    <w:p w14:paraId="4A2D69C6" w14:textId="77777777" w:rsidR="002A42EB" w:rsidRPr="002A42EB" w:rsidRDefault="002A42EB" w:rsidP="002A42EB">
      <w:pPr>
        <w:ind w:firstLine="720"/>
      </w:pPr>
      <w:proofErr w:type="gramStart"/>
      <w:r w:rsidRPr="002A42EB">
        <w:t>pip</w:t>
      </w:r>
      <w:proofErr w:type="gramEnd"/>
      <w:r w:rsidRPr="002A42EB">
        <w:t xml:space="preserve"> </w:t>
      </w:r>
      <w:proofErr w:type="gramStart"/>
      <w:r w:rsidRPr="002A42EB">
        <w:t>install</w:t>
      </w:r>
      <w:proofErr w:type="gramEnd"/>
      <w:r w:rsidRPr="002A42EB">
        <w:t xml:space="preserve"> bm25s</w:t>
      </w:r>
    </w:p>
    <w:p w14:paraId="4B3FAF44" w14:textId="77777777" w:rsidR="002A42EB" w:rsidRPr="002A42EB" w:rsidRDefault="002A42EB" w:rsidP="002A42EB">
      <w:r w:rsidRPr="002A42EB">
        <w:t>Other options:</w:t>
      </w:r>
    </w:p>
    <w:p w14:paraId="6533917A" w14:textId="77777777" w:rsidR="002A42EB" w:rsidRPr="002A42EB" w:rsidRDefault="002A42EB" w:rsidP="002A42EB">
      <w:pPr>
        <w:numPr>
          <w:ilvl w:val="0"/>
          <w:numId w:val="13"/>
        </w:numPr>
      </w:pPr>
      <w:hyperlink r:id="rId35" w:history="1">
        <w:r w:rsidRPr="002A42EB">
          <w:rPr>
            <w:rStyle w:val="Hyperlink"/>
            <w:b/>
            <w:bCs/>
          </w:rPr>
          <w:t>rank_bm25</w:t>
        </w:r>
      </w:hyperlink>
      <w:r w:rsidRPr="002A42EB">
        <w:t>: Very simple Python implementation under the Apache 2.0 license. Good for a small proof of concept.</w:t>
      </w:r>
    </w:p>
    <w:p w14:paraId="0660E3FE" w14:textId="77777777" w:rsidR="002A42EB" w:rsidRPr="002A42EB" w:rsidRDefault="002A42EB" w:rsidP="002A42EB">
      <w:pPr>
        <w:numPr>
          <w:ilvl w:val="0"/>
          <w:numId w:val="13"/>
        </w:numPr>
      </w:pPr>
      <w:hyperlink r:id="rId36" w:history="1">
        <w:proofErr w:type="spellStart"/>
        <w:r w:rsidRPr="002A42EB">
          <w:rPr>
            <w:rStyle w:val="Hyperlink"/>
            <w:b/>
            <w:bCs/>
          </w:rPr>
          <w:t>Pyserini</w:t>
        </w:r>
        <w:proofErr w:type="spellEnd"/>
      </w:hyperlink>
      <w:r w:rsidRPr="002A42EB">
        <w:t xml:space="preserve">: Research-oriented toolkit supporting BM25, dense retrieval, and reproducible retrieval experiments. It is particularly appropriate for rigorous benchmarking; see its </w:t>
      </w:r>
      <w:hyperlink r:id="rId37" w:history="1">
        <w:r w:rsidRPr="002A42EB">
          <w:rPr>
            <w:rStyle w:val="Hyperlink"/>
          </w:rPr>
          <w:t>custom-corpus indexing guide</w:t>
        </w:r>
      </w:hyperlink>
      <w:r w:rsidRPr="002A42EB">
        <w:t>.</w:t>
      </w:r>
    </w:p>
    <w:p w14:paraId="4E17459D" w14:textId="77777777" w:rsidR="002A42EB" w:rsidRPr="002A42EB" w:rsidRDefault="002A42EB" w:rsidP="002A42EB">
      <w:pPr>
        <w:numPr>
          <w:ilvl w:val="0"/>
          <w:numId w:val="13"/>
        </w:numPr>
      </w:pPr>
      <w:hyperlink r:id="rId38" w:history="1">
        <w:r w:rsidRPr="002A42EB">
          <w:rPr>
            <w:rStyle w:val="Hyperlink"/>
            <w:b/>
            <w:bCs/>
          </w:rPr>
          <w:t>OpenSearch</w:t>
        </w:r>
      </w:hyperlink>
      <w:r w:rsidRPr="002A42EB">
        <w:t>: Scalable open-source search engine that uses BM25 by default. Better suited to a larger or production system.</w:t>
      </w:r>
    </w:p>
    <w:p w14:paraId="6DD676AB" w14:textId="70BE8628" w:rsidR="002A42EB" w:rsidRPr="002A42EB" w:rsidRDefault="002A42EB" w:rsidP="002A42EB">
      <w:r w:rsidRPr="002A42EB">
        <w:t xml:space="preserve">For </w:t>
      </w:r>
      <w:r>
        <w:t>the</w:t>
      </w:r>
      <w:r w:rsidRPr="002A42EB">
        <w:t xml:space="preserve"> five-paper </w:t>
      </w:r>
      <w:r>
        <w:t xml:space="preserve">MVP </w:t>
      </w:r>
      <w:r w:rsidRPr="002A42EB">
        <w:t xml:space="preserve">evaluation, </w:t>
      </w:r>
      <w:r>
        <w:t xml:space="preserve">we can </w:t>
      </w:r>
      <w:r w:rsidRPr="002A42EB">
        <w:t xml:space="preserve">use </w:t>
      </w:r>
      <w:r w:rsidRPr="002A42EB">
        <w:rPr>
          <w:b/>
          <w:bCs/>
        </w:rPr>
        <w:t>BM25S</w:t>
      </w:r>
      <w:r w:rsidRPr="002A42EB">
        <w:t xml:space="preserve"> to create a transparent baseline:</w:t>
      </w:r>
    </w:p>
    <w:p w14:paraId="579367C5" w14:textId="77777777" w:rsidR="002A42EB" w:rsidRPr="002A42EB" w:rsidRDefault="002A42EB" w:rsidP="002A42EB">
      <w:pPr>
        <w:numPr>
          <w:ilvl w:val="0"/>
          <w:numId w:val="14"/>
        </w:numPr>
        <w:spacing w:after="0"/>
      </w:pPr>
      <w:r w:rsidRPr="002A42EB">
        <w:t>Divide each paper into sentence-level and paragraph-level passages.</w:t>
      </w:r>
    </w:p>
    <w:p w14:paraId="4D00CEE7" w14:textId="77777777" w:rsidR="002A42EB" w:rsidRPr="002A42EB" w:rsidRDefault="002A42EB" w:rsidP="002A42EB">
      <w:pPr>
        <w:numPr>
          <w:ilvl w:val="0"/>
          <w:numId w:val="14"/>
        </w:numPr>
        <w:spacing w:after="0"/>
      </w:pPr>
      <w:r w:rsidRPr="002A42EB">
        <w:t>Index the passages with BM25S.</w:t>
      </w:r>
    </w:p>
    <w:p w14:paraId="330E41B2" w14:textId="77777777" w:rsidR="002A42EB" w:rsidRPr="002A42EB" w:rsidRDefault="002A42EB" w:rsidP="002A42EB">
      <w:pPr>
        <w:numPr>
          <w:ilvl w:val="0"/>
          <w:numId w:val="14"/>
        </w:numPr>
        <w:spacing w:after="0"/>
      </w:pPr>
      <w:r w:rsidRPr="002A42EB">
        <w:t>Retrieve the top k passages for each question.</w:t>
      </w:r>
    </w:p>
    <w:p w14:paraId="44FB11F8" w14:textId="77777777" w:rsidR="002A42EB" w:rsidRPr="002A42EB" w:rsidRDefault="002A42EB" w:rsidP="002A42EB">
      <w:pPr>
        <w:numPr>
          <w:ilvl w:val="0"/>
          <w:numId w:val="14"/>
        </w:numPr>
        <w:spacing w:after="0"/>
      </w:pPr>
      <w:r w:rsidRPr="002A42EB">
        <w:t>Send those passages to the same LLM used by Graph-RAG.</w:t>
      </w:r>
    </w:p>
    <w:p w14:paraId="6EED3BCB" w14:textId="77777777" w:rsidR="002A42EB" w:rsidRPr="002A42EB" w:rsidRDefault="002A42EB" w:rsidP="002A42EB">
      <w:pPr>
        <w:numPr>
          <w:ilvl w:val="0"/>
          <w:numId w:val="14"/>
        </w:numPr>
        <w:spacing w:after="0"/>
      </w:pPr>
      <w:r w:rsidRPr="002A42EB">
        <w:t>Compare retrieval recall, answer accuracy, citation precision, and multi-paper integration.</w:t>
      </w:r>
    </w:p>
    <w:p w14:paraId="1E1BDFBF" w14:textId="77777777" w:rsidR="002A42EB" w:rsidRPr="002A42EB" w:rsidRDefault="002A42EB" w:rsidP="002A42EB">
      <w:r w:rsidRPr="002A42EB">
        <w:t>This isolates the contribution of the graph: both systems use the same papers and LLM, but one retrieves by keyword ranking while the other retrieves through entities and relationships.</w:t>
      </w:r>
    </w:p>
    <w:p w14:paraId="5F7EA3D8" w14:textId="77777777" w:rsidR="002A42EB" w:rsidRDefault="002A42EB"/>
    <w:p w14:paraId="5D1E98AF" w14:textId="77777777" w:rsidR="002A42EB" w:rsidRDefault="002A42EB"/>
    <w:sectPr w:rsidR="002A42EB" w:rsidSect="00034616">
      <w:footerReference w:type="even" r:id="rId39"/>
      <w:footerReference w:type="default" r:id="rId40"/>
      <w:footerReference w:type="first" r:id="rId41"/>
      <w:pgSz w:w="12240" w:h="15840"/>
      <w:pgMar w:top="922" w:right="979" w:bottom="893" w:left="979" w:header="360" w:footer="403"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763E458" w14:textId="77777777" w:rsidR="00A864E0" w:rsidRDefault="00A864E0">
      <w:pPr>
        <w:spacing w:after="0" w:line="240" w:lineRule="auto"/>
      </w:pPr>
      <w:r>
        <w:separator/>
      </w:r>
    </w:p>
  </w:endnote>
  <w:endnote w:type="continuationSeparator" w:id="0">
    <w:p w14:paraId="17C7D63F" w14:textId="77777777" w:rsidR="00A864E0" w:rsidRDefault="00A864E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41C870" w14:textId="77777777" w:rsidR="002B5862" w:rsidRDefault="00000000">
    <w:pPr>
      <w:jc w:val="center"/>
    </w:pPr>
    <w:r>
      <w:rPr>
        <w:color w:val="6B737A"/>
        <w:sz w:val="17"/>
      </w:rPr>
      <w:t xml:space="preserve">Page </w:t>
    </w:r>
    <w:r>
      <w:rPr>
        <w:color w:val="6B737A"/>
        <w:sz w:val="17"/>
      </w:rPr>
      <w:fldChar w:fldCharType="begin"/>
    </w:r>
    <w:r>
      <w:rPr>
        <w:color w:val="6B737A"/>
        <w:sz w:val="17"/>
      </w:rPr>
      <w:instrText xml:space="preserve"> PAGE </w:instrText>
    </w:r>
    <w:r>
      <w:rPr>
        <w:color w:val="6B737A"/>
        <w:sz w:val="17"/>
      </w:rPr>
      <w:fldChar w:fldCharType="separate"/>
    </w:r>
    <w:r>
      <w:rPr>
        <w:color w:val="6B737A"/>
        <w:sz w:val="17"/>
      </w:rPr>
      <w:t>1</w:t>
    </w:r>
    <w:r>
      <w:rPr>
        <w:color w:val="6B737A"/>
        <w:sz w:val="17"/>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42A823" w14:textId="77777777" w:rsidR="002B5862" w:rsidRDefault="00000000">
    <w:pPr>
      <w:jc w:val="center"/>
    </w:pPr>
    <w:r>
      <w:rPr>
        <w:color w:val="6B737A"/>
        <w:sz w:val="17"/>
      </w:rPr>
      <w:t xml:space="preserve">Page </w:t>
    </w:r>
    <w:r>
      <w:rPr>
        <w:color w:val="6B737A"/>
        <w:sz w:val="17"/>
      </w:rPr>
      <w:fldChar w:fldCharType="begin"/>
    </w:r>
    <w:r>
      <w:rPr>
        <w:color w:val="6B737A"/>
        <w:sz w:val="17"/>
      </w:rPr>
      <w:instrText xml:space="preserve"> PAGE </w:instrText>
    </w:r>
    <w:r>
      <w:rPr>
        <w:color w:val="6B737A"/>
        <w:sz w:val="17"/>
      </w:rPr>
      <w:fldChar w:fldCharType="separate"/>
    </w:r>
    <w:r>
      <w:rPr>
        <w:color w:val="6B737A"/>
        <w:sz w:val="17"/>
      </w:rPr>
      <w:t>1</w:t>
    </w:r>
    <w:r>
      <w:rPr>
        <w:color w:val="6B737A"/>
        <w:sz w:val="17"/>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D10E35" w14:textId="77777777" w:rsidR="002B5862" w:rsidRDefault="00000000">
    <w:pPr>
      <w:jc w:val="center"/>
    </w:pPr>
    <w:r>
      <w:rPr>
        <w:color w:val="6B737A"/>
        <w:sz w:val="17"/>
      </w:rPr>
      <w:t xml:space="preserve">Page </w:t>
    </w:r>
    <w:r>
      <w:rPr>
        <w:color w:val="6B737A"/>
        <w:sz w:val="17"/>
      </w:rPr>
      <w:fldChar w:fldCharType="begin"/>
    </w:r>
    <w:r>
      <w:rPr>
        <w:color w:val="6B737A"/>
        <w:sz w:val="17"/>
      </w:rPr>
      <w:instrText xml:space="preserve"> PAGE </w:instrText>
    </w:r>
    <w:r>
      <w:rPr>
        <w:color w:val="6B737A"/>
        <w:sz w:val="17"/>
      </w:rPr>
      <w:fldChar w:fldCharType="separate"/>
    </w:r>
    <w:r>
      <w:rPr>
        <w:color w:val="6B737A"/>
        <w:sz w:val="17"/>
      </w:rPr>
      <w:t>1</w:t>
    </w:r>
    <w:r>
      <w:rPr>
        <w:color w:val="6B737A"/>
        <w:sz w:val="17"/>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449ED7C" w14:textId="77777777" w:rsidR="00A864E0" w:rsidRDefault="00A864E0">
      <w:pPr>
        <w:spacing w:after="0" w:line="240" w:lineRule="auto"/>
      </w:pPr>
      <w:r>
        <w:separator/>
      </w:r>
    </w:p>
  </w:footnote>
  <w:footnote w:type="continuationSeparator" w:id="0">
    <w:p w14:paraId="24930568" w14:textId="77777777" w:rsidR="00A864E0" w:rsidRDefault="00A864E0">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3A805F2"/>
    <w:multiLevelType w:val="multilevel"/>
    <w:tmpl w:val="71D0DA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436348C"/>
    <w:multiLevelType w:val="multilevel"/>
    <w:tmpl w:val="5A863D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9EF52F5"/>
    <w:multiLevelType w:val="multilevel"/>
    <w:tmpl w:val="830E32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B822A27"/>
    <w:multiLevelType w:val="multilevel"/>
    <w:tmpl w:val="9F5898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1B8030E"/>
    <w:multiLevelType w:val="multilevel"/>
    <w:tmpl w:val="A3F448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3F838D6"/>
    <w:multiLevelType w:val="multilevel"/>
    <w:tmpl w:val="48C288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9156712"/>
    <w:multiLevelType w:val="multilevel"/>
    <w:tmpl w:val="E7E6F3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38C87D6C"/>
    <w:multiLevelType w:val="multilevel"/>
    <w:tmpl w:val="D5D033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EF22B90"/>
    <w:multiLevelType w:val="multilevel"/>
    <w:tmpl w:val="D7DCB0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65D5205"/>
    <w:multiLevelType w:val="multilevel"/>
    <w:tmpl w:val="9B628F4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676030908">
    <w:abstractNumId w:val="8"/>
  </w:num>
  <w:num w:numId="2" w16cid:durableId="1536114730">
    <w:abstractNumId w:val="6"/>
  </w:num>
  <w:num w:numId="3" w16cid:durableId="1941374734">
    <w:abstractNumId w:val="5"/>
  </w:num>
  <w:num w:numId="4" w16cid:durableId="2068607367">
    <w:abstractNumId w:val="4"/>
  </w:num>
  <w:num w:numId="5" w16cid:durableId="981882514">
    <w:abstractNumId w:val="7"/>
  </w:num>
  <w:num w:numId="6" w16cid:durableId="776681995">
    <w:abstractNumId w:val="3"/>
  </w:num>
  <w:num w:numId="7" w16cid:durableId="33699649">
    <w:abstractNumId w:val="2"/>
  </w:num>
  <w:num w:numId="8" w16cid:durableId="1567060193">
    <w:abstractNumId w:val="1"/>
  </w:num>
  <w:num w:numId="9" w16cid:durableId="1473405934">
    <w:abstractNumId w:val="0"/>
  </w:num>
  <w:num w:numId="10" w16cid:durableId="2087680798">
    <w:abstractNumId w:val="18"/>
  </w:num>
  <w:num w:numId="11" w16cid:durableId="472255131">
    <w:abstractNumId w:val="12"/>
  </w:num>
  <w:num w:numId="12" w16cid:durableId="677734441">
    <w:abstractNumId w:val="10"/>
  </w:num>
  <w:num w:numId="13" w16cid:durableId="683479708">
    <w:abstractNumId w:val="16"/>
  </w:num>
  <w:num w:numId="14" w16cid:durableId="681316598">
    <w:abstractNumId w:val="15"/>
  </w:num>
  <w:num w:numId="15" w16cid:durableId="1804807436">
    <w:abstractNumId w:val="11"/>
  </w:num>
  <w:num w:numId="16" w16cid:durableId="1345396654">
    <w:abstractNumId w:val="17"/>
  </w:num>
  <w:num w:numId="17" w16cid:durableId="1320420181">
    <w:abstractNumId w:val="14"/>
  </w:num>
  <w:num w:numId="18" w16cid:durableId="2083134242">
    <w:abstractNumId w:val="9"/>
  </w:num>
  <w:num w:numId="19" w16cid:durableId="205215213">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71953"/>
    <w:rsid w:val="0015074B"/>
    <w:rsid w:val="0029639D"/>
    <w:rsid w:val="002A42EB"/>
    <w:rsid w:val="002B5862"/>
    <w:rsid w:val="00326F90"/>
    <w:rsid w:val="005C6F08"/>
    <w:rsid w:val="00616F51"/>
    <w:rsid w:val="00A864E0"/>
    <w:rsid w:val="00AA1D8D"/>
    <w:rsid w:val="00B47730"/>
    <w:rsid w:val="00CB0664"/>
    <w:rsid w:val="00F149B1"/>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E8FA886"/>
  <w14:defaultImageDpi w14:val="300"/>
  <w15:docId w15:val="{266D5C2C-0A2A-4953-A97A-B605D43B18B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ptos" w:hAnsi="Aptos"/>
      <w:color w:val="000000"/>
      <w:sz w:val="20"/>
    </w:rPr>
  </w:style>
  <w:style w:type="paragraph" w:styleId="Heading1">
    <w:name w:val="heading 1"/>
    <w:basedOn w:val="Normal"/>
    <w:next w:val="Normal"/>
    <w:link w:val="Heading1Char"/>
    <w:uiPriority w:val="9"/>
    <w:qFormat/>
    <w:rsid w:val="00FC693F"/>
    <w:pPr>
      <w:keepNext/>
      <w:keepLines/>
      <w:spacing w:before="240" w:after="100"/>
      <w:outlineLvl w:val="0"/>
    </w:pPr>
    <w:rPr>
      <w:rFonts w:asciiTheme="majorHAnsi" w:eastAsiaTheme="majorEastAsia" w:hAnsiTheme="majorHAnsi" w:cstheme="majorBidi"/>
      <w:b/>
      <w:bCs/>
      <w:sz w:val="32"/>
      <w:szCs w:val="28"/>
    </w:rPr>
  </w:style>
  <w:style w:type="paragraph" w:styleId="Heading2">
    <w:name w:val="heading 2"/>
    <w:basedOn w:val="Normal"/>
    <w:next w:val="Normal"/>
    <w:link w:val="Heading2Char"/>
    <w:uiPriority w:val="9"/>
    <w:unhideWhenUsed/>
    <w:qFormat/>
    <w:rsid w:val="00FC693F"/>
    <w:pPr>
      <w:keepNext/>
      <w:keepLines/>
      <w:spacing w:before="160" w:after="100"/>
      <w:outlineLvl w:val="1"/>
    </w:pPr>
    <w:rPr>
      <w:rFonts w:asciiTheme="majorHAnsi" w:eastAsiaTheme="majorEastAsia" w:hAnsiTheme="majorHAnsi" w:cstheme="majorBidi"/>
      <w:b/>
      <w:bCs/>
      <w:sz w:val="24"/>
      <w:szCs w:val="26"/>
    </w:rPr>
  </w:style>
  <w:style w:type="paragraph" w:styleId="Heading3">
    <w:name w:val="heading 3"/>
    <w:basedOn w:val="Normal"/>
    <w:next w:val="Normal"/>
    <w:link w:val="Heading3Char"/>
    <w:uiPriority w:val="9"/>
    <w:unhideWhenUsed/>
    <w:qFormat/>
    <w:rsid w:val="00FC693F"/>
    <w:pPr>
      <w:keepNext/>
      <w:keepLines/>
      <w:spacing w:before="160" w:after="100"/>
      <w:outlineLvl w:val="2"/>
    </w:pPr>
    <w:rPr>
      <w:rFonts w:asciiTheme="majorHAnsi" w:eastAsiaTheme="majorEastAsia" w:hAnsiTheme="majorHAnsi" w:cstheme="majorBidi"/>
      <w:b/>
      <w:bCs/>
      <w:sz w:val="21"/>
    </w:rPr>
  </w:style>
  <w:style w:type="paragraph" w:styleId="Heading4">
    <w:name w:val="heading 4"/>
    <w:basedOn w:val="Normal"/>
    <w:next w:val="Normal"/>
    <w:link w:val="Heading4Char"/>
    <w:uiPriority w:val="9"/>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b/>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yperlink">
    <w:name w:val="Hyperlink"/>
    <w:basedOn w:val="DefaultParagraphFont"/>
    <w:uiPriority w:val="99"/>
    <w:unhideWhenUsed/>
    <w:rsid w:val="002A42EB"/>
    <w:rPr>
      <w:color w:val="0000FF" w:themeColor="hyperlink"/>
      <w:u w:val="single"/>
    </w:rPr>
  </w:style>
  <w:style w:type="character" w:styleId="UnresolvedMention">
    <w:name w:val="Unresolved Mention"/>
    <w:basedOn w:val="DefaultParagraphFont"/>
    <w:uiPriority w:val="99"/>
    <w:semiHidden/>
    <w:unhideWhenUsed/>
    <w:rsid w:val="002A42EB"/>
    <w:rPr>
      <w:color w:val="605E5C"/>
      <w:shd w:val="clear" w:color="auto" w:fill="E1DFDD"/>
    </w:rPr>
  </w:style>
  <w:style w:type="character" w:styleId="FollowedHyperlink">
    <w:name w:val="FollowedHyperlink"/>
    <w:basedOn w:val="DefaultParagraphFont"/>
    <w:uiPriority w:val="99"/>
    <w:semiHidden/>
    <w:unhideWhenUsed/>
    <w:rsid w:val="00616F51"/>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13" Type="http://schemas.openxmlformats.org/officeDocument/2006/relationships/hyperlink" Target="https://pmc.ncbi.nlm.nih.gov/articles/PMC11223843/" TargetMode="External"/><Relationship Id="rId18" Type="http://schemas.openxmlformats.org/officeDocument/2006/relationships/hyperlink" Target="https://www.nature.com/articles/nature04724.pdf" TargetMode="External"/><Relationship Id="rId26" Type="http://schemas.openxmlformats.org/officeDocument/2006/relationships/hyperlink" Target="https://www.ebi.ac.uk/europepmc/webservices/rest/PMC3544596/fullTextXML" TargetMode="External"/><Relationship Id="rId39" Type="http://schemas.openxmlformats.org/officeDocument/2006/relationships/footer" Target="footer1.xml"/><Relationship Id="rId21" Type="http://schemas.openxmlformats.org/officeDocument/2006/relationships/hyperlink" Target="https://www.nature.com/articles/nature04723.pdf" TargetMode="External"/><Relationship Id="rId34" Type="http://schemas.openxmlformats.org/officeDocument/2006/relationships/hyperlink" Target="https://github.com/xhluca/bm25s" TargetMode="External"/><Relationship Id="rId42" Type="http://schemas.openxmlformats.org/officeDocument/2006/relationships/fontTable" Target="fontTable.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hyperlink" Target="https://bioasq.org/home" TargetMode="External"/><Relationship Id="rId20" Type="http://schemas.openxmlformats.org/officeDocument/2006/relationships/hyperlink" Target="https://www.nature.com/articles/nature04723" TargetMode="External"/><Relationship Id="rId29" Type="http://schemas.openxmlformats.org/officeDocument/2006/relationships/hyperlink" Target="https://pmc.ncbi.nlm.nih.gov/articles/PMC10621248/" TargetMode="External"/><Relationship Id="rId41"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pmc.ncbi.nlm.nih.gov/articles/PMC3544596/" TargetMode="External"/><Relationship Id="rId24" Type="http://schemas.openxmlformats.org/officeDocument/2006/relationships/hyperlink" Target="https://pmc.ncbi.nlm.nih.gov/articles/PMC3283992/" TargetMode="External"/><Relationship Id="rId32" Type="http://schemas.openxmlformats.org/officeDocument/2006/relationships/hyperlink" Target="https://pubmed.ncbi.nlm.nih.gov/37464898/" TargetMode="External"/><Relationship Id="rId37" Type="http://schemas.openxmlformats.org/officeDocument/2006/relationships/hyperlink" Target="https://github.com/castorini/pyserini/blob/master/docs/usage-index.md" TargetMode="External"/><Relationship Id="rId40"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hyperlink" Target="https://pmc.ncbi.nlm.nih.gov/articles/PMC8335603/" TargetMode="External"/><Relationship Id="rId23" Type="http://schemas.openxmlformats.org/officeDocument/2006/relationships/hyperlink" Target="https://www.ebi.ac.uk/europepmc/webservices/rest/PMC3283992/fullTextXML" TargetMode="External"/><Relationship Id="rId28" Type="http://schemas.openxmlformats.org/officeDocument/2006/relationships/hyperlink" Target="https://pmc.ncbi.nlm.nih.gov/api/oai/v1/mh/?verb=GetRecord&amp;identifier=oai:pubmedcentral.nih.gov:3544596&amp;metadataPrefix=pmc" TargetMode="External"/><Relationship Id="rId36" Type="http://schemas.openxmlformats.org/officeDocument/2006/relationships/hyperlink" Target="https://github.com/castorini/pyserini" TargetMode="External"/><Relationship Id="rId10" Type="http://schemas.openxmlformats.org/officeDocument/2006/relationships/hyperlink" Target="https://pmc.ncbi.nlm.nih.gov/articles/PMC3283992/" TargetMode="External"/><Relationship Id="rId19" Type="http://schemas.openxmlformats.org/officeDocument/2006/relationships/hyperlink" Target="https://pubmed.ncbi.nlm.nih.gov/16625204/" TargetMode="External"/><Relationship Id="rId31" Type="http://schemas.openxmlformats.org/officeDocument/2006/relationships/hyperlink" Target="https://www.tandfonline.com/doi/pdf/10.1080/15548627.2023.2236485" TargetMode="External"/><Relationship Id="rId4" Type="http://schemas.openxmlformats.org/officeDocument/2006/relationships/settings" Target="settings.xml"/><Relationship Id="rId9" Type="http://schemas.openxmlformats.org/officeDocument/2006/relationships/hyperlink" Target="https://doi.org/10.1038/nature04723" TargetMode="External"/><Relationship Id="rId14" Type="http://schemas.openxmlformats.org/officeDocument/2006/relationships/hyperlink" Target="https://pmc.ncbi.nlm.nih.gov/articles/PMC10027432/" TargetMode="External"/><Relationship Id="rId22" Type="http://schemas.openxmlformats.org/officeDocument/2006/relationships/hyperlink" Target="https://pubmed.ncbi.nlm.nih.gov/16625205/" TargetMode="External"/><Relationship Id="rId27" Type="http://schemas.openxmlformats.org/officeDocument/2006/relationships/hyperlink" Target="https://pmc.ncbi.nlm.nih.gov/articles/PMC3544596/" TargetMode="External"/><Relationship Id="rId30" Type="http://schemas.openxmlformats.org/officeDocument/2006/relationships/hyperlink" Target="https://www.tandfonline.com/doi/full/10.1080/15548627.2023.2236485" TargetMode="External"/><Relationship Id="rId35" Type="http://schemas.openxmlformats.org/officeDocument/2006/relationships/hyperlink" Target="https://github.com/dorianbrown/rank_bm25" TargetMode="External"/><Relationship Id="rId43" Type="http://schemas.openxmlformats.org/officeDocument/2006/relationships/theme" Target="theme/theme1.xml"/><Relationship Id="rId8" Type="http://schemas.openxmlformats.org/officeDocument/2006/relationships/hyperlink" Target="https://doi.org/10.1038/nature04724" TargetMode="External"/><Relationship Id="rId3" Type="http://schemas.openxmlformats.org/officeDocument/2006/relationships/styles" Target="styles.xml"/><Relationship Id="rId12" Type="http://schemas.openxmlformats.org/officeDocument/2006/relationships/hyperlink" Target="https://pmc.ncbi.nlm.nih.gov/articles/PMC10621248/" TargetMode="External"/><Relationship Id="rId17" Type="http://schemas.openxmlformats.org/officeDocument/2006/relationships/hyperlink" Target="https://www.nature.com/articles/nature04724" TargetMode="External"/><Relationship Id="rId25" Type="http://schemas.openxmlformats.org/officeDocument/2006/relationships/hyperlink" Target="https://pmc.ncbi.nlm.nih.gov/api/oai/v1/mh/?verb=GetRecord&amp;identifier=oai:pubmedcentral.nih.gov:3283992&amp;metadataPrefix=pmc" TargetMode="External"/><Relationship Id="rId33" Type="http://schemas.openxmlformats.org/officeDocument/2006/relationships/hyperlink" Target="https://pmc.ncbi.nlm.nih.gov/tools/oai/" TargetMode="External"/><Relationship Id="rId38" Type="http://schemas.openxmlformats.org/officeDocument/2006/relationships/hyperlink" Target="https://docs.opensearch.org/latest/search-plugins/keyword-search/"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18</TotalTime>
  <Pages>10</Pages>
  <Words>3441</Words>
  <Characters>19615</Characters>
  <Application>Microsoft Office Word</Application>
  <DocSecurity>0</DocSecurity>
  <Lines>163</Lines>
  <Paragraphs>46</Paragraphs>
  <ScaleCrop>false</ScaleCrop>
  <HeadingPairs>
    <vt:vector size="2" baseType="variant">
      <vt:variant>
        <vt:lpstr>Title</vt:lpstr>
      </vt:variant>
      <vt:variant>
        <vt:i4>1</vt:i4>
      </vt:variant>
    </vt:vector>
  </HeadingPairs>
  <TitlesOfParts>
    <vt:vector size="1" baseType="lpstr">
      <vt:lpstr>Graph RAG MVP Evaluation Questions and Benchmarking</vt:lpstr>
    </vt:vector>
  </TitlesOfParts>
  <Manager/>
  <Company/>
  <LinksUpToDate>false</LinksUpToDate>
  <CharactersWithSpaces>23010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Graph RAG MVP Evaluation Questions and Benchmarking</dc:title>
  <dc:subject>Evaluation specification for a neuronal macroautophagy Graph RAG MVP</dc:subject>
  <dc:creator>Jeanmarie Bouteiller</dc:creator>
  <cp:keywords>Graph RAG; neuronal health; aging; macroautophagy; evaluation; benchmarking</cp:keywords>
  <dc:description>generated by python-docx</dc:description>
  <cp:lastModifiedBy>Jeanmarie Bouteiller</cp:lastModifiedBy>
  <cp:revision>3</cp:revision>
  <dcterms:created xsi:type="dcterms:W3CDTF">2026-10-07T21:27:00Z</dcterms:created>
  <dcterms:modified xsi:type="dcterms:W3CDTF">2026-10-07T21:40:00Z</dcterms:modified>
  <cp:category/>
</cp:coreProperties>
</file>