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pi-rest-y-websocket-nesgesfinancetrust"/>
    <w:p>
      <w:pPr>
        <w:pStyle w:val="Heading1"/>
      </w:pPr>
      <w:r>
        <w:t xml:space="preserve">API REST y WebSocket — NESGESFinanceTrust</w:t>
      </w:r>
    </w:p>
    <w:p>
      <w:pPr>
        <w:pStyle w:val="BlockText"/>
      </w:pPr>
      <w:r>
        <w:t xml:space="preserve">Plataforma:</w:t>
      </w:r>
      <w:r>
        <w:t xml:space="preserve"> </w:t>
      </w:r>
      <w:r>
        <w:rPr>
          <w:bCs/>
          <w:b/>
        </w:rPr>
        <w:t xml:space="preserve">nesgesfinancetrust.com</w:t>
      </w:r>
      <w:r>
        <w:t xml:space="preserve"> </w:t>
      </w:r>
      <w:r>
        <w:t xml:space="preserve">· Versión</w:t>
      </w:r>
      <w:r>
        <w:t xml:space="preserve"> </w:t>
      </w:r>
      <w:r>
        <w:rPr>
          <w:bCs/>
          <w:b/>
        </w:rPr>
        <w:t xml:space="preserve">v3.4-dev</w:t>
      </w:r>
      <w:r>
        <w:t xml:space="preserve"> </w:t>
      </w:r>
      <w:r>
        <w:t xml:space="preserve">(Agosto 2026)</w:t>
      </w:r>
      <w:r>
        <w:t xml:space="preserve"> </w:t>
      </w:r>
      <w:r>
        <w:t xml:space="preserve">Empresa:</w:t>
      </w:r>
      <w:r>
        <w:t xml:space="preserve"> </w:t>
      </w:r>
      <w:r>
        <w:rPr>
          <w:bCs/>
          <w:b/>
        </w:rPr>
        <w:t xml:space="preserve">NESGESFinance Ecosystem S.A.S. BIC. &amp; LLC.</w:t>
      </w:r>
      <w:r>
        <w:t xml:space="preserve"> </w:t>
      </w:r>
      <w:r>
        <w:t xml:space="preserve">· EIN: 0008086872</w:t>
      </w:r>
      <w:r>
        <w:t xml:space="preserve"> </w:t>
      </w:r>
      <w:r>
        <w:t xml:space="preserve">Lema: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 a tu prójimo como a tí mismo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Todos los endpoints REST se sirven bajo el prefijo configurable</w:t>
      </w:r>
      <w:r>
        <w:t xml:space="preserve"> </w:t>
      </w:r>
      <w:r>
        <w:rPr>
          <w:rStyle w:val="VerbatimChar"/>
        </w:rPr>
        <w:t xml:space="preserve">API_PREFIX</w:t>
      </w:r>
      <w:r>
        <w:t xml:space="preserve"> </w:t>
      </w:r>
      <w:r>
        <w:t xml:space="preserve">(por defecto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). Las respuestas son JSON codificado en UTF-8. Los importes</w:t>
      </w:r>
      <w:r>
        <w:t xml:space="preserve"> </w:t>
      </w:r>
      <w:r>
        <w:t xml:space="preserve">en satoshis y los suministros de tokens se transmiten como cadenas para</w:t>
      </w:r>
      <w:r>
        <w:t xml:space="preserve"> </w:t>
      </w:r>
      <w:r>
        <w:t xml:space="preserve">preservar la precisión de enteros grandes (</w:t>
      </w:r>
      <w:r>
        <w:rPr>
          <w:rStyle w:val="VerbatimChar"/>
        </w:rPr>
        <w:t xml:space="preserve">bigint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salud-del-servicio">
        <w:r>
          <w:rPr>
            <w:rStyle w:val="Hyperlink"/>
          </w:rPr>
          <w:t xml:space="preserve">Salud del servicio</w:t>
        </w:r>
      </w:hyperlink>
    </w:p>
    <w:p>
      <w:pPr>
        <w:numPr>
          <w:ilvl w:val="0"/>
          <w:numId w:val="1001"/>
        </w:numPr>
        <w:pStyle w:val="Compact"/>
      </w:pPr>
      <w:hyperlink w:anchor="bloques">
        <w:r>
          <w:rPr>
            <w:rStyle w:val="Hyperlink"/>
          </w:rPr>
          <w:t xml:space="preserve">Bloques</w:t>
        </w:r>
      </w:hyperlink>
    </w:p>
    <w:p>
      <w:pPr>
        <w:numPr>
          <w:ilvl w:val="0"/>
          <w:numId w:val="1001"/>
        </w:numPr>
        <w:pStyle w:val="Compact"/>
      </w:pPr>
      <w:hyperlink w:anchor="mempool">
        <w:r>
          <w:rPr>
            <w:rStyle w:val="Hyperlink"/>
          </w:rPr>
          <w:t xml:space="preserve">Mempool</w:t>
        </w:r>
      </w:hyperlink>
    </w:p>
    <w:p>
      <w:pPr>
        <w:numPr>
          <w:ilvl w:val="0"/>
          <w:numId w:val="1001"/>
        </w:numPr>
        <w:pStyle w:val="Compact"/>
      </w:pPr>
      <w:hyperlink w:anchor="runes-utility-tokens">
        <w:r>
          <w:rPr>
            <w:rStyle w:val="Hyperlink"/>
          </w:rPr>
          <w:t xml:space="preserve">Runes (Utility Tokens)</w:t>
        </w:r>
      </w:hyperlink>
    </w:p>
    <w:p>
      <w:pPr>
        <w:numPr>
          <w:ilvl w:val="0"/>
          <w:numId w:val="1001"/>
        </w:numPr>
        <w:pStyle w:val="Compact"/>
      </w:pPr>
      <w:hyperlink w:anchor="ordinals-security-tokens--rwa">
        <w:r>
          <w:rPr>
            <w:rStyle w:val="Hyperlink"/>
          </w:rPr>
          <w:t xml:space="preserve">Ordinals (Security Tokens / RWA)</w:t>
        </w:r>
      </w:hyperlink>
    </w:p>
    <w:p>
      <w:pPr>
        <w:numPr>
          <w:ilvl w:val="0"/>
          <w:numId w:val="1001"/>
        </w:numPr>
        <w:pStyle w:val="Compact"/>
      </w:pPr>
      <w:hyperlink w:anchor="rwa--activos-del-mundo-real">
        <w:r>
          <w:rPr>
            <w:rStyle w:val="Hyperlink"/>
          </w:rPr>
          <w:t xml:space="preserve">RWA — Activos del Mundo Real</w:t>
        </w:r>
      </w:hyperlink>
    </w:p>
    <w:p>
      <w:pPr>
        <w:numPr>
          <w:ilvl w:val="0"/>
          <w:numId w:val="1001"/>
        </w:numPr>
        <w:pStyle w:val="Compact"/>
      </w:pPr>
      <w:hyperlink w:anchor="websocket-en-tiempo-real">
        <w:r>
          <w:rPr>
            <w:rStyle w:val="Hyperlink"/>
          </w:rPr>
          <w:t xml:space="preserve">WebSocket en tiempo real</w:t>
        </w:r>
      </w:hyperlink>
    </w:p>
    <w:p>
      <w:pPr>
        <w:numPr>
          <w:ilvl w:val="0"/>
          <w:numId w:val="1001"/>
        </w:numPr>
        <w:pStyle w:val="Compact"/>
      </w:pPr>
      <w:hyperlink w:anchor="códigos-de-estado-y-errores">
        <w:r>
          <w:rPr>
            <w:rStyle w:val="Hyperlink"/>
          </w:rPr>
          <w:t xml:space="preserve">Códigos de estado y errores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salud-del-servicio"/>
    <w:p>
      <w:pPr>
        <w:pStyle w:val="Heading2"/>
      </w:pPr>
      <w:r>
        <w:t xml:space="preserve">Salud del servicio</w:t>
      </w:r>
    </w:p>
    <w:bookmarkStart w:id="21" w:name="get-apihealth"/>
    <w:p>
      <w:pPr>
        <w:pStyle w:val="Heading3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Comprueba que el backend está operativo y devuelve la identidad de la plataforma.</w:t>
      </w:r>
    </w:p>
    <w:p>
      <w:pPr>
        <w:pStyle w:val="BodyText"/>
      </w:pPr>
      <w:r>
        <w:rPr>
          <w:bCs/>
          <w:b/>
        </w:rPr>
        <w:t xml:space="preserve">Respuesta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"plataforma"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"nesgesfinancetrust.com"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"v3.4-dev"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a tu prójimo como a tí mismo"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"empresa"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"NESGESFinance Ecosystem S.A.S. BIC. &amp; LLC."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"0008086872"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bloques"/>
    <w:p>
      <w:pPr>
        <w:pStyle w:val="Heading2"/>
      </w:pPr>
      <w:r>
        <w:t xml:space="preserve">Bloques</w:t>
      </w:r>
    </w:p>
    <w:bookmarkStart w:id="23" w:name="get-apiblocksheight"/>
    <w:p>
      <w:pPr>
        <w:pStyle w:val="Heading3"/>
      </w:pPr>
      <w:r>
        <w:rPr>
          <w:rStyle w:val="VerbatimChar"/>
        </w:rPr>
        <w:t xml:space="preserve">GET /api/blocks/:height</w:t>
      </w:r>
    </w:p>
    <w:p>
      <w:pPr>
        <w:pStyle w:val="FirstParagraph"/>
      </w:pPr>
      <w:r>
        <w:t xml:space="preserve">Devuelve el bloque indexado a la altura indicada.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del bloque (≥ 0).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Respuesta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 OK</w:t>
      </w:r>
      <w:r>
        <w:t xml:space="preserve"> </w:t>
      </w:r>
      <w:r>
        <w:t xml:space="preserve">— objeto</w:t>
      </w:r>
      <w:r>
        <w:t xml:space="preserve"> </w:t>
      </w:r>
      <w:r>
        <w:rPr>
          <w:rStyle w:val="VerbatimChar"/>
        </w:rPr>
        <w:t xml:space="preserve">BlockExtended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tx_count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medianFee</w:t>
      </w:r>
      <w:r>
        <w:t xml:space="preserve">, etc.</w:t>
      </w:r>
    </w:p>
    <w:p>
      <w:pPr>
        <w:pStyle w:val="BodyText"/>
      </w:pPr>
      <w:r>
        <w:rPr>
          <w:bCs/>
          <w:b/>
        </w:rPr>
        <w:t xml:space="preserve">Errores: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si el bloque no está indexado;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en error interno.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mpool"/>
    <w:p>
      <w:pPr>
        <w:pStyle w:val="Heading2"/>
      </w:pPr>
      <w:r>
        <w:t xml:space="preserve">Mempool</w:t>
      </w:r>
    </w:p>
    <w:bookmarkStart w:id="25" w:name="get-apimempool"/>
    <w:p>
      <w:pPr>
        <w:pStyle w:val="Heading3"/>
      </w:pPr>
      <w:r>
        <w:rPr>
          <w:rStyle w:val="VerbatimChar"/>
        </w:rPr>
        <w:t xml:space="preserve">GET /api/mempool</w:t>
      </w:r>
    </w:p>
    <w:p>
      <w:pPr>
        <w:pStyle w:val="FirstParagraph"/>
      </w:pPr>
      <w:r>
        <w:t xml:space="preserve">Estadísticas agregadas del mempool en memoria.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48211234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210394000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"fee_histogram"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98000</w:t>
      </w:r>
      <w:r>
        <w:rPr>
          <w:rStyle w:val="OtherTok"/>
        </w:rPr>
        <w:t xml:space="preserve">]]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get-apimempoolfees"/>
    <w:p>
      <w:pPr>
        <w:pStyle w:val="Heading3"/>
      </w:pPr>
      <w:r>
        <w:rPr>
          <w:rStyle w:val="VerbatimChar"/>
        </w:rPr>
        <w:t xml:space="preserve">GET /api/mempool/fees</w:t>
      </w:r>
    </w:p>
    <w:p>
      <w:pPr>
        <w:pStyle w:val="FirstParagraph"/>
      </w:pPr>
      <w:r>
        <w:t xml:space="preserve">Estimaciones de comisión por objetivo de confirmación (sat/vB).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"fastestFee"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"halfHourFee"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"economyFee"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Start w:id="27" w:name="get-apimempoolrecent"/>
    <w:p>
      <w:pPr>
        <w:pStyle w:val="Heading3"/>
      </w:pPr>
      <w:r>
        <w:rPr>
          <w:rStyle w:val="VerbatimChar"/>
        </w:rPr>
        <w:t xml:space="preserve">GET /api/mempool/recent</w:t>
      </w:r>
    </w:p>
    <w:p>
      <w:pPr>
        <w:pStyle w:val="FirstParagraph"/>
      </w:pPr>
      <w:r>
        <w:t xml:space="preserve">Últimas transacciones observadas en el mempool (array de resúmenes con</w:t>
      </w:r>
      <w:r>
        <w:t xml:space="preserve"> </w:t>
      </w:r>
      <w:r>
        <w:rPr>
          <w:rStyle w:val="VerbatimChar"/>
        </w:rPr>
        <w:t xml:space="preserve">txid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</w:t>
      </w:r>
      <w:r>
        <w:t xml:space="preserve">,</w:t>
      </w:r>
      <w:r>
        <w:t xml:space="preserve"> </w:t>
      </w:r>
      <w:r>
        <w:rPr>
          <w:rStyle w:val="VerbatimChar"/>
        </w:rPr>
        <w:t xml:space="preserve">vsize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runes-utility-tokens"/>
    <w:p>
      <w:pPr>
        <w:pStyle w:val="Heading2"/>
      </w:pPr>
      <w:r>
        <w:t xml:space="preserve">Runes (Utility Tokens)</w:t>
      </w:r>
    </w:p>
    <w:p>
      <w:pPr>
        <w:pStyle w:val="FirstParagraph"/>
      </w:pPr>
      <w:r>
        <w:t xml:space="preserve">Protocolo Runes de Casey Rodarmor (ver</w:t>
      </w:r>
      <w:r>
        <w:t xml:space="preserve"> </w:t>
      </w:r>
      <w:hyperlink r:id="rId29">
        <w:r>
          <w:rPr>
            <w:rStyle w:val="VerbatimChar"/>
          </w:rPr>
          <w:t xml:space="preserve">RUNES_PROTOCOL.md</w:t>
        </w:r>
      </w:hyperlink>
      <w:r>
        <w:t xml:space="preserve">).</w:t>
      </w:r>
    </w:p>
    <w:bookmarkStart w:id="30" w:name="get-apirunes"/>
    <w:p>
      <w:pPr>
        <w:pStyle w:val="Heading3"/>
      </w:pPr>
      <w:r>
        <w:rPr>
          <w:rStyle w:val="VerbatimChar"/>
        </w:rPr>
        <w:t xml:space="preserve">GET /api/runes</w:t>
      </w:r>
    </w:p>
    <w:p>
      <w:pPr>
        <w:pStyle w:val="FirstParagraph"/>
      </w:pPr>
      <w:r>
        <w:t xml:space="preserve">Listado paginado de Runes.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0"/>
        <w:gridCol w:w="1210"/>
        <w:gridCol w:w="880"/>
        <w:gridCol w:w="1430"/>
        <w:gridCol w:w="31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de resultados (≤200).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Desplazamiento de paginación.</w:t>
            </w:r>
          </w:p>
        </w:tc>
      </w:tr>
    </w:tbl>
    <w:bookmarkEnd w:id="30"/>
    <w:bookmarkStart w:id="31" w:name="get-apirunesidblocktx"/>
    <w:p>
      <w:pPr>
        <w:pStyle w:val="Heading3"/>
      </w:pPr>
      <w:r>
        <w:rPr>
          <w:rStyle w:val="VerbatimChar"/>
        </w:rPr>
        <w:t xml:space="preserve">GET /api/runes/id/:block/:tx</w:t>
      </w:r>
    </w:p>
    <w:p>
      <w:pPr>
        <w:pStyle w:val="FirstParagraph"/>
      </w:pPr>
      <w:r>
        <w:t xml:space="preserve">Obtiene un Rune por su</w:t>
      </w:r>
      <w:r>
        <w:t xml:space="preserve"> </w:t>
      </w:r>
      <w:r>
        <w:rPr>
          <w:rStyle w:val="VerbatimChar"/>
        </w:rPr>
        <w:t xml:space="preserve">RuneId</w:t>
      </w:r>
      <w:r>
        <w:t xml:space="preserve"> </w:t>
      </w:r>
      <w:r>
        <w:t xml:space="preserve">(</w:t>
      </w:r>
      <w:r>
        <w:rPr>
          <w:rStyle w:val="VerbatimChar"/>
        </w:rPr>
        <w:t xml:space="preserve">bloque:índiceTx</w:t>
      </w:r>
      <w:r>
        <w:t xml:space="preserve">), p. ej.</w:t>
      </w:r>
      <w:r>
        <w:t xml:space="preserve"> </w:t>
      </w:r>
      <w:r>
        <w:rPr>
          <w:rStyle w:val="VerbatimChar"/>
        </w:rPr>
        <w:t xml:space="preserve">840000:1</w:t>
      </w:r>
      <w:r>
        <w:t xml:space="preserve">.</w:t>
      </w:r>
    </w:p>
    <w:bookmarkEnd w:id="31"/>
    <w:bookmarkStart w:id="32" w:name="get-apirunesname"/>
    <w:p>
      <w:pPr>
        <w:pStyle w:val="Heading3"/>
      </w:pPr>
      <w:r>
        <w:rPr>
          <w:rStyle w:val="VerbatimChar"/>
        </w:rPr>
        <w:t xml:space="preserve">GET /api/runes/:name</w:t>
      </w:r>
    </w:p>
    <w:p>
      <w:pPr>
        <w:pStyle w:val="FirstParagraph"/>
      </w:pPr>
      <w:r>
        <w:t xml:space="preserve">Obtiene un Rune por su nombre (con o sin espaciadores</w:t>
      </w:r>
      <w:r>
        <w:t xml:space="preserve"> </w:t>
      </w:r>
      <w:r>
        <w:rPr>
          <w:rStyle w:val="VerbatimChar"/>
        </w:rPr>
        <w:t xml:space="preserve">•</w:t>
      </w:r>
      <w:r>
        <w:t xml:space="preserve">).</w:t>
      </w:r>
    </w:p>
    <w:bookmarkEnd w:id="32"/>
    <w:bookmarkStart w:id="33" w:name="get-apirunesnameholders"/>
    <w:p>
      <w:pPr>
        <w:pStyle w:val="Heading3"/>
      </w:pPr>
      <w:r>
        <w:rPr>
          <w:rStyle w:val="VerbatimChar"/>
        </w:rPr>
        <w:t xml:space="preserve">GET /api/runes/:name/holders</w:t>
      </w:r>
    </w:p>
    <w:p>
      <w:pPr>
        <w:pStyle w:val="FirstParagraph"/>
      </w:pPr>
      <w:r>
        <w:t xml:space="preserve">Lista de titulares de un Rune con su saldo (ordenado descendente).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ordinals-security-tokens-rwa"/>
    <w:p>
      <w:pPr>
        <w:pStyle w:val="Heading2"/>
      </w:pPr>
      <w:r>
        <w:t xml:space="preserve">Ordinals (Security Tokens / RWA)</w:t>
      </w:r>
    </w:p>
    <w:p>
      <w:pPr>
        <w:pStyle w:val="FirstParagraph"/>
      </w:pPr>
      <w:r>
        <w:t xml:space="preserve">Teoría ordinal y protocolo de inscripciones (ver</w:t>
      </w:r>
      <w:r>
        <w:t xml:space="preserve"> </w:t>
      </w:r>
      <w:hyperlink r:id="rId35">
        <w:r>
          <w:rPr>
            <w:rStyle w:val="VerbatimChar"/>
          </w:rPr>
          <w:t xml:space="preserve">ORDINALS_PROTOCOL.md</w:t>
        </w:r>
      </w:hyperlink>
      <w:r>
        <w:t xml:space="preserve">).</w:t>
      </w:r>
    </w:p>
    <w:bookmarkStart w:id="36" w:name="get-apiordinalsinscriptions"/>
    <w:p>
      <w:pPr>
        <w:pStyle w:val="Heading3"/>
      </w:pPr>
      <w:r>
        <w:rPr>
          <w:rStyle w:val="VerbatimChar"/>
        </w:rPr>
        <w:t xml:space="preserve">GET /api/ordinals/inscriptions</w:t>
      </w:r>
    </w:p>
    <w:p>
      <w:pPr>
        <w:pStyle w:val="FirstParagraph"/>
      </w:pPr>
      <w:r>
        <w:t xml:space="preserve">Listado paginado de inscripciones (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como en Runes).</w:t>
      </w:r>
    </w:p>
    <w:bookmarkEnd w:id="36"/>
    <w:bookmarkStart w:id="37" w:name="get-apiordinalsinscriptionid"/>
    <w:p>
      <w:pPr>
        <w:pStyle w:val="Heading3"/>
      </w:pPr>
      <w:r>
        <w:rPr>
          <w:rStyle w:val="VerbatimChar"/>
        </w:rPr>
        <w:t xml:space="preserve">GET /api/ordinals/inscription/:id</w:t>
      </w:r>
    </w:p>
    <w:p>
      <w:pPr>
        <w:pStyle w:val="FirstParagraph"/>
      </w:pPr>
      <w:r>
        <w:t xml:space="preserve">Metadatos de una inscripción por su ID (</w:t>
      </w:r>
      <w:r>
        <w:rPr>
          <w:rStyle w:val="VerbatimChar"/>
        </w:rPr>
        <w:t xml:space="preserve">&lt;txid&gt;i&lt;index&gt;</w:t>
      </w:r>
      <w:r>
        <w:t xml:space="preserve">).</w:t>
      </w:r>
    </w:p>
    <w:bookmarkEnd w:id="37"/>
    <w:bookmarkStart w:id="38" w:name="get-apiordinalscontentid"/>
    <w:p>
      <w:pPr>
        <w:pStyle w:val="Heading3"/>
      </w:pPr>
      <w:r>
        <w:rPr>
          <w:rStyle w:val="VerbatimChar"/>
        </w:rPr>
        <w:t xml:space="preserve">GET /api/ordinals/content/:id</w:t>
      </w:r>
    </w:p>
    <w:p>
      <w:pPr>
        <w:pStyle w:val="FirstParagraph"/>
      </w:pPr>
      <w:r>
        <w:t xml:space="preserve">Contenido bruto de la inscripción. Se responde con el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original de la inscripción (imagen, texto, JSON, etc.).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rwa-activos-del-mundo-real"/>
    <w:p>
      <w:pPr>
        <w:pStyle w:val="Heading2"/>
      </w:pPr>
      <w:r>
        <w:t xml:space="preserve">RWA — Activos del Mundo Real</w:t>
      </w:r>
    </w:p>
    <w:p>
      <w:pPr>
        <w:pStyle w:val="FirstParagraph"/>
      </w:pPr>
      <w:r>
        <w:t xml:space="preserve">Registro de activos tokenizados. Cumplimiento MiCA/KYC/AML descrito en</w:t>
      </w:r>
      <w:r>
        <w:t xml:space="preserve"> </w:t>
      </w:r>
      <w:hyperlink r:id="rId40">
        <w:r>
          <w:rPr>
            <w:rStyle w:val="VerbatimChar"/>
          </w:rPr>
          <w:t xml:space="preserve">COMPLIANCE.md</w:t>
        </w:r>
      </w:hyperlink>
      <w:r>
        <w:t xml:space="preserve">.</w:t>
      </w:r>
    </w:p>
    <w:bookmarkStart w:id="41" w:name="get-apirwaassets"/>
    <w:p>
      <w:pPr>
        <w:pStyle w:val="Heading3"/>
      </w:pPr>
      <w:r>
        <w:rPr>
          <w:rStyle w:val="VerbatimChar"/>
        </w:rPr>
        <w:t xml:space="preserve">GET /api/rwa/assets</w:t>
      </w:r>
    </w:p>
    <w:p>
      <w:pPr>
        <w:pStyle w:val="FirstParagraph"/>
      </w:pPr>
      <w:r>
        <w:t xml:space="preserve">Listado de activos con filtros.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3"/>
        <w:gridCol w:w="1013"/>
        <w:gridCol w:w="736"/>
        <w:gridCol w:w="51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INMUEBLE</w:t>
            </w:r>
            <w:r>
              <w:t xml:space="preserve">,</w:t>
            </w:r>
            <w:r>
              <w:rPr>
                <w:rStyle w:val="VerbatimChar"/>
              </w:rPr>
              <w:t xml:space="preserve">VEHICULO</w:t>
            </w:r>
            <w:r>
              <w:t xml:space="preserve">,</w:t>
            </w:r>
            <w:r>
              <w:rPr>
                <w:rStyle w:val="VerbatimChar"/>
              </w:rPr>
              <w:t xml:space="preserve">ARTE</w:t>
            </w:r>
            <w:r>
              <w:t xml:space="preserve">,</w:t>
            </w:r>
            <w:r>
              <w:rPr>
                <w:rStyle w:val="VerbatimChar"/>
              </w:rPr>
              <w:t xml:space="preserve">COMMODITIES</w:t>
            </w:r>
            <w:r>
              <w:t xml:space="preserve">,</w:t>
            </w:r>
            <w:r>
              <w:rPr>
                <w:rStyle w:val="VerbatimChar"/>
              </w:rPr>
              <w:t xml:space="preserve">DEUDA</w:t>
            </w:r>
            <w:r>
              <w:t xml:space="preserve">,</w:t>
            </w:r>
            <w:r>
              <w:rPr>
                <w:rStyle w:val="VerbatimChar"/>
              </w:rPr>
              <w:t xml:space="preserve">EQUITY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rPr>
                <w:rStyle w:val="VerbatimChar"/>
              </w:rPr>
              <w:t xml:space="preserve">TRANSFERIDO</w:t>
            </w:r>
            <w:r>
              <w:t xml:space="preserve">,</w:t>
            </w:r>
            <w:r>
              <w:rPr>
                <w:rStyle w:val="VerbatimChar"/>
              </w:rPr>
              <w:t xml:space="preserve">CANCELADO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de resultados (≤200, por defecto 50).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Desplazamiento de paginación.</w:t>
            </w:r>
          </w:p>
        </w:tc>
      </w:tr>
    </w:tbl>
    <w:bookmarkEnd w:id="41"/>
    <w:bookmarkStart w:id="42" w:name="get-apirwaassetsid"/>
    <w:p>
      <w:pPr>
        <w:pStyle w:val="Heading3"/>
      </w:pPr>
      <w:r>
        <w:rPr>
          <w:rStyle w:val="VerbatimChar"/>
        </w:rPr>
        <w:t xml:space="preserve">GET /api/rwa/assets/:id</w:t>
      </w:r>
    </w:p>
    <w:p>
      <w:pPr>
        <w:pStyle w:val="FirstParagraph"/>
      </w:pPr>
      <w:r>
        <w:t xml:space="preserve">Detalle de un activo por su UUID interno.</w:t>
      </w:r>
    </w:p>
    <w:bookmarkEnd w:id="42"/>
    <w:bookmarkStart w:id="43" w:name="get-apirwaassetsidhistory"/>
    <w:p>
      <w:pPr>
        <w:pStyle w:val="Heading3"/>
      </w:pPr>
      <w:r>
        <w:rPr>
          <w:rStyle w:val="VerbatimChar"/>
        </w:rPr>
        <w:t xml:space="preserve">GET /api/rwa/assets/:id/history</w:t>
      </w:r>
    </w:p>
    <w:p>
      <w:pPr>
        <w:pStyle w:val="FirstParagraph"/>
      </w:pPr>
      <w:r>
        <w:t xml:space="preserve">Historial de eventos (registro, transferencias, cambios de estado).</w:t>
      </w:r>
    </w:p>
    <w:bookmarkEnd w:id="43"/>
    <w:bookmarkStart w:id="44" w:name="post-apirwaassets"/>
    <w:p>
      <w:pPr>
        <w:pStyle w:val="Heading3"/>
      </w:pPr>
      <w:r>
        <w:rPr>
          <w:rStyle w:val="VerbatimChar"/>
        </w:rPr>
        <w:t xml:space="preserve">POST /api/rwa/assets</w:t>
      </w:r>
    </w:p>
    <w:p>
      <w:pPr>
        <w:pStyle w:val="FirstParagraph"/>
      </w:pPr>
      <w:r>
        <w:t xml:space="preserve">Registra y tokeniza un nuevo activo. Ejecuta las validaciones de cumplimiento</w:t>
      </w:r>
      <w:r>
        <w:t xml:space="preserve"> </w:t>
      </w:r>
      <w:r>
        <w:t xml:space="preserve">antes de persistir.</w:t>
      </w:r>
    </w:p>
    <w:p>
      <w:pPr>
        <w:pStyle w:val="BodyText"/>
      </w:pPr>
      <w:r>
        <w:rPr>
          <w:bCs/>
          <w:b/>
        </w:rPr>
        <w:t xml:space="preserve">Cuerpo (JSON)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"INMUEBLE"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"Apartamento Torre Central 12B"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"Inmueble residencial de 92 m²."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"valuationUSD"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"bc1p..."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"&lt;txid&gt;i0"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"840000:1"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"ownerKyc"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"jurisdictionRisk"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"Bogotá, Colombia"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"appraisalDate"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"appraisalValue"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"Escritura pública No. 1234"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Campos obligatorios: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valuationUSD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inscriptionId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Respuestas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"asset": { ... }, "validation": { "valid": true, "errors": [] }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→ faltan campos obligatorios.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"error": "Validación fallida.", "validation": { "errors": [ ... ] } }</w:t>
      </w:r>
    </w:p>
    <w:bookmarkEnd w:id="44"/>
    <w:bookmarkStart w:id="45" w:name="post-apirwaassetsidtransfer"/>
    <w:p>
      <w:pPr>
        <w:pStyle w:val="Heading3"/>
      </w:pPr>
      <w:r>
        <w:rPr>
          <w:rStyle w:val="VerbatimChar"/>
        </w:rPr>
        <w:t xml:space="preserve">POST /api/rwa/assets/:id/transfer</w:t>
      </w:r>
    </w:p>
    <w:p>
      <w:pPr>
        <w:pStyle w:val="FirstParagraph"/>
      </w:pPr>
      <w:r>
        <w:t xml:space="preserve">Transfiere la titularidad de un activo.</w:t>
      </w:r>
    </w:p>
    <w:p>
      <w:pPr>
        <w:pStyle w:val="BodyText"/>
      </w:pPr>
      <w:r>
        <w:rPr>
          <w:bCs/>
          <w:b/>
        </w:rPr>
        <w:t xml:space="preserve">Cuerpo:</w:t>
      </w:r>
      <w:r>
        <w:t xml:space="preserve"> </w:t>
      </w:r>
      <w:r>
        <w:rPr>
          <w:rStyle w:val="VerbatimChar"/>
        </w:rPr>
        <w:t xml:space="preserve">{ "newOwner": "bc1p...", "txid": "&lt;txid de la transferencia&gt;" 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ebsocket-en-tiempo-real"/>
    <w:p>
      <w:pPr>
        <w:pStyle w:val="Heading2"/>
      </w:pPr>
      <w:r>
        <w:t xml:space="preserve">WebSocket en tiempo real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ws(s)://&lt;host&gt;/ws</w:t>
      </w:r>
    </w:p>
    <w:p>
      <w:pPr>
        <w:pStyle w:val="BodyText"/>
      </w:pPr>
      <w:r>
        <w:t xml:space="preserve">El cliente se suscribe a canales mediante un mensaje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"blocks"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"mempool"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"ordinals"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"rwa"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emitido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bloque minado e indexado.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estadísticas y comisiones del mempool.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evento Rune (etch / mint / transfer).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inscripción indexada.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o transferencia de un activo del mundo real.</w:t>
            </w:r>
          </w:p>
        </w:tc>
      </w:tr>
    </w:tbl>
    <w:p>
      <w:pPr>
        <w:pStyle w:val="BodyText"/>
      </w:pPr>
      <w:r>
        <w:t xml:space="preserve">Cada mensaje del servidor tiene la forma: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códigos-de-estado-y-errores"/>
    <w:p>
      <w:pPr>
        <w:pStyle w:val="Heading2"/>
      </w:pPr>
      <w:r>
        <w:t xml:space="preserve">Códigos de estado y errores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correcta.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creado.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 inválida (parámetros o cuerpo).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no encontrado.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cumplimiento fallida.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interno del servidor.</w:t>
            </w:r>
          </w:p>
        </w:tc>
      </w:tr>
    </w:tbl>
    <w:p>
      <w:pPr>
        <w:pStyle w:val="BodyText"/>
      </w:pPr>
      <w:r>
        <w:t xml:space="preserve">Los errores se devuelven con la forma</w:t>
      </w:r>
      <w:r>
        <w:t xml:space="preserve"> </w:t>
      </w:r>
      <w:r>
        <w:rPr>
          <w:rStyle w:val="VerbatimChar"/>
        </w:rPr>
        <w:t xml:space="preserve">{ "error": "mensaje descriptivo" 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®NESGESFinance Ecosystem S.A.S. BIC. &amp; LLC. EIN: 0008086872 — TODOS LOS DERECHOS RESERVADOS 2025-2026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/COMPLIANCE.md" TargetMode="External" /><Relationship Type="http://schemas.openxmlformats.org/officeDocument/2006/relationships/hyperlink" Id="rId35" Target="./ORDINALS_PROTOCOL.md" TargetMode="External" /><Relationship Type="http://schemas.openxmlformats.org/officeDocument/2006/relationships/hyperlink" Id="rId29" Target="./RUNES_PROTOCO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/COMPLIANCE.md" TargetMode="External" /><Relationship Type="http://schemas.openxmlformats.org/officeDocument/2006/relationships/hyperlink" Id="rId35" Target="./ORDINALS_PROTOCOL.md" TargetMode="External" /><Relationship Type="http://schemas.openxmlformats.org/officeDocument/2006/relationships/hyperlink" Id="rId29" Target="./RUNES_PROTOCO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2026-08-01T15:56:09Z</dcterms:created>
  <dcterms:modified xsi:type="dcterms:W3CDTF">2026-08-01T15:56:09Z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